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C47B003" w14:textId="77777777" w:rsidR="00AB177F" w:rsidRPr="006601C6" w:rsidRDefault="00AB177F" w:rsidP="006601C6">
      <w:pPr>
        <w:jc w:val="center"/>
        <w:rPr>
          <w:b/>
        </w:rPr>
      </w:pPr>
      <w:r w:rsidRPr="006601C6">
        <w:rPr>
          <w:b/>
        </w:rPr>
        <w:t>The m</w:t>
      </w:r>
      <w:r w:rsidR="00A34336" w:rsidRPr="006601C6">
        <w:rPr>
          <w:b/>
        </w:rPr>
        <w:t xml:space="preserve">egafauna </w:t>
      </w:r>
      <w:r w:rsidRPr="006601C6">
        <w:rPr>
          <w:b/>
        </w:rPr>
        <w:t>community</w:t>
      </w:r>
      <w:r w:rsidR="00A34336" w:rsidRPr="006601C6">
        <w:rPr>
          <w:b/>
        </w:rPr>
        <w:t xml:space="preserve"> from an abyssal area of interest for </w:t>
      </w:r>
      <w:r w:rsidR="00D84DE5" w:rsidRPr="006601C6">
        <w:rPr>
          <w:b/>
        </w:rPr>
        <w:t>mining of polymetallic nodules.</w:t>
      </w:r>
    </w:p>
    <w:p w14:paraId="096330B4" w14:textId="440F8ADB" w:rsidR="002A08EA" w:rsidRPr="00FD3202" w:rsidRDefault="002A08EA" w:rsidP="000C18F0">
      <w:pPr>
        <w:jc w:val="center"/>
        <w:rPr>
          <w:lang w:val="en-GB"/>
        </w:rPr>
      </w:pPr>
      <w:r w:rsidRPr="00FD3202">
        <w:rPr>
          <w:lang w:val="en-GB"/>
        </w:rPr>
        <w:t xml:space="preserve">Bart De Smet </w:t>
      </w:r>
      <w:r w:rsidRPr="00FD3202">
        <w:rPr>
          <w:vertAlign w:val="superscript"/>
          <w:lang w:val="en-GB"/>
        </w:rPr>
        <w:t>a,</w:t>
      </w:r>
      <w:r w:rsidR="00A83E18" w:rsidRPr="00FD3202">
        <w:rPr>
          <w:vertAlign w:val="superscript"/>
          <w:lang w:val="en-GB"/>
        </w:rPr>
        <w:t xml:space="preserve"> b</w:t>
      </w:r>
      <w:r w:rsidRPr="00FD3202">
        <w:rPr>
          <w:vertAlign w:val="superscript"/>
          <w:lang w:val="en-GB"/>
        </w:rPr>
        <w:t xml:space="preserve"> *</w:t>
      </w:r>
      <w:r w:rsidRPr="00FD3202">
        <w:rPr>
          <w:lang w:val="en-GB"/>
        </w:rPr>
        <w:t xml:space="preserve">, </w:t>
      </w:r>
      <w:r w:rsidR="002447DF" w:rsidRPr="00FD3202">
        <w:rPr>
          <w:lang w:val="en-GB"/>
        </w:rPr>
        <w:t>Erik Simon-Lledó</w:t>
      </w:r>
      <w:r w:rsidR="000C18F0" w:rsidRPr="00FD3202">
        <w:rPr>
          <w:vertAlign w:val="superscript"/>
          <w:lang w:val="en-GB"/>
        </w:rPr>
        <w:t xml:space="preserve"> </w:t>
      </w:r>
      <w:r w:rsidR="00A83E18" w:rsidRPr="00FD3202">
        <w:rPr>
          <w:vertAlign w:val="superscript"/>
          <w:lang w:val="en-GB"/>
        </w:rPr>
        <w:t>c</w:t>
      </w:r>
      <w:r w:rsidR="0037253F" w:rsidRPr="00FD3202">
        <w:rPr>
          <w:lang w:val="en-GB"/>
        </w:rPr>
        <w:t xml:space="preserve">, </w:t>
      </w:r>
      <w:r w:rsidR="00231C6F" w:rsidRPr="00FD3202">
        <w:rPr>
          <w:lang w:val="en-GB"/>
        </w:rPr>
        <w:t>Lisa Mevenkamp</w:t>
      </w:r>
      <w:r w:rsidR="00231C6F" w:rsidRPr="00FD3202">
        <w:rPr>
          <w:vertAlign w:val="superscript"/>
          <w:lang w:val="en-GB"/>
        </w:rPr>
        <w:t xml:space="preserve"> a</w:t>
      </w:r>
      <w:r w:rsidR="00231C6F" w:rsidRPr="00FD3202">
        <w:rPr>
          <w:lang w:val="en-GB"/>
        </w:rPr>
        <w:t xml:space="preserve">, </w:t>
      </w:r>
      <w:r w:rsidR="00AC1E6F" w:rsidRPr="00FD3202">
        <w:rPr>
          <w:lang w:val="en-GB"/>
        </w:rPr>
        <w:t xml:space="preserve">Ellen Pape </w:t>
      </w:r>
      <w:r w:rsidR="00AC1E6F" w:rsidRPr="00FD3202">
        <w:rPr>
          <w:vertAlign w:val="superscript"/>
          <w:lang w:val="en-GB"/>
        </w:rPr>
        <w:t>a</w:t>
      </w:r>
      <w:r w:rsidR="00AC1E6F" w:rsidRPr="00FD3202">
        <w:rPr>
          <w:lang w:val="en-GB"/>
        </w:rPr>
        <w:t xml:space="preserve">, </w:t>
      </w:r>
      <w:r w:rsidR="00A81518">
        <w:rPr>
          <w:lang w:val="en-GB"/>
        </w:rPr>
        <w:t xml:space="preserve">Francesca Pasotti </w:t>
      </w:r>
      <w:r w:rsidR="00A81518" w:rsidRPr="00A81518">
        <w:rPr>
          <w:vertAlign w:val="superscript"/>
          <w:lang w:val="en-GB"/>
        </w:rPr>
        <w:t>a</w:t>
      </w:r>
      <w:r w:rsidR="00A81518">
        <w:rPr>
          <w:lang w:val="en-GB"/>
        </w:rPr>
        <w:t xml:space="preserve">, </w:t>
      </w:r>
      <w:r w:rsidR="0037253F" w:rsidRPr="00FD3202">
        <w:rPr>
          <w:lang w:val="en-GB"/>
        </w:rPr>
        <w:t xml:space="preserve">Daniel O. B. Jones </w:t>
      </w:r>
      <w:r w:rsidR="00A83E18" w:rsidRPr="00FD3202">
        <w:rPr>
          <w:vertAlign w:val="superscript"/>
          <w:lang w:val="en-GB"/>
        </w:rPr>
        <w:t>c</w:t>
      </w:r>
      <w:r w:rsidR="0037253F" w:rsidRPr="00FD3202">
        <w:rPr>
          <w:lang w:val="en-GB"/>
        </w:rPr>
        <w:t xml:space="preserve">, Ann Vanreusel </w:t>
      </w:r>
      <w:r w:rsidR="0037253F" w:rsidRPr="00FD3202">
        <w:rPr>
          <w:vertAlign w:val="superscript"/>
          <w:lang w:val="en-GB"/>
        </w:rPr>
        <w:t>a</w:t>
      </w:r>
    </w:p>
    <w:p w14:paraId="3D50154D" w14:textId="77777777" w:rsidR="00B326B0" w:rsidRPr="00FD3202" w:rsidRDefault="00B326B0" w:rsidP="007F255B">
      <w:pPr>
        <w:rPr>
          <w:vertAlign w:val="superscript"/>
          <w:lang w:val="en-GB"/>
        </w:rPr>
      </w:pPr>
    </w:p>
    <w:p w14:paraId="0941AE96" w14:textId="598E4BD2" w:rsidR="000B415D" w:rsidRPr="00FD3202" w:rsidRDefault="002A08EA" w:rsidP="007F255B">
      <w:pPr>
        <w:contextualSpacing/>
        <w:rPr>
          <w:lang w:val="en-GB"/>
        </w:rPr>
      </w:pPr>
      <w:r w:rsidRPr="00FD3202">
        <w:rPr>
          <w:vertAlign w:val="superscript"/>
          <w:lang w:val="en-GB"/>
        </w:rPr>
        <w:t xml:space="preserve">a </w:t>
      </w:r>
      <w:r w:rsidRPr="00FD3202">
        <w:rPr>
          <w:lang w:val="en-GB"/>
        </w:rPr>
        <w:t>Department of Biology, Marine Biology Research Group, Ghent University, Krijgsl</w:t>
      </w:r>
      <w:r w:rsidR="0050034D" w:rsidRPr="00FD3202">
        <w:rPr>
          <w:lang w:val="en-GB"/>
        </w:rPr>
        <w:t>aan 281/S8, 9000 Ghent, Belgium</w:t>
      </w:r>
      <w:r w:rsidR="000B415D">
        <w:rPr>
          <w:lang w:val="en-GB"/>
        </w:rPr>
        <w:t xml:space="preserve"> (</w:t>
      </w:r>
      <w:hyperlink r:id="rId8" w:history="1">
        <w:r w:rsidR="000B415D" w:rsidRPr="0056374C">
          <w:rPr>
            <w:rStyle w:val="Hyperlink"/>
            <w:lang w:val="en-GB"/>
          </w:rPr>
          <w:t>mevenkamp@bioconsult.de</w:t>
        </w:r>
      </w:hyperlink>
      <w:r w:rsidR="000B415D">
        <w:rPr>
          <w:lang w:val="en-GB"/>
        </w:rPr>
        <w:t xml:space="preserve">; </w:t>
      </w:r>
      <w:hyperlink r:id="rId9" w:history="1">
        <w:r w:rsidR="000B415D" w:rsidRPr="0056374C">
          <w:rPr>
            <w:rStyle w:val="Hyperlink"/>
            <w:lang w:val="en-GB"/>
          </w:rPr>
          <w:t>ellen.pape@ugent.be</w:t>
        </w:r>
      </w:hyperlink>
      <w:r w:rsidR="000B415D">
        <w:rPr>
          <w:lang w:val="en-GB"/>
        </w:rPr>
        <w:t xml:space="preserve">; </w:t>
      </w:r>
      <w:hyperlink r:id="rId10" w:history="1">
        <w:r w:rsidR="000B415D" w:rsidRPr="0056374C">
          <w:rPr>
            <w:rStyle w:val="Hyperlink"/>
            <w:lang w:val="en-GB"/>
          </w:rPr>
          <w:t>francesca.pasotti@ugent.be</w:t>
        </w:r>
      </w:hyperlink>
      <w:r w:rsidR="000B415D">
        <w:rPr>
          <w:lang w:val="en-GB"/>
        </w:rPr>
        <w:t xml:space="preserve">; </w:t>
      </w:r>
      <w:hyperlink r:id="rId11" w:history="1">
        <w:r w:rsidR="000B415D" w:rsidRPr="0056374C">
          <w:rPr>
            <w:rStyle w:val="Hyperlink"/>
            <w:lang w:val="en-GB"/>
          </w:rPr>
          <w:t>ann.vanreusel@ugent.be</w:t>
        </w:r>
      </w:hyperlink>
      <w:r w:rsidR="000B415D">
        <w:rPr>
          <w:lang w:val="en-GB"/>
        </w:rPr>
        <w:t>)</w:t>
      </w:r>
    </w:p>
    <w:p w14:paraId="68B9BECC" w14:textId="0DF6337F" w:rsidR="00A83E18" w:rsidRPr="00A21FAD" w:rsidRDefault="00A83E18" w:rsidP="007F255B">
      <w:pPr>
        <w:contextualSpacing/>
        <w:rPr>
          <w:lang w:val="nl-BE"/>
        </w:rPr>
      </w:pPr>
      <w:r w:rsidRPr="00A21FAD">
        <w:rPr>
          <w:vertAlign w:val="superscript"/>
          <w:lang w:val="nl-BE"/>
        </w:rPr>
        <w:t>b</w:t>
      </w:r>
      <w:r w:rsidRPr="00A21FAD">
        <w:rPr>
          <w:lang w:val="nl-BE"/>
        </w:rPr>
        <w:t xml:space="preserve"> Flanders Marine Institute, Wandelaarkaai 7, 8400 Oostende, Belgium</w:t>
      </w:r>
      <w:r w:rsidR="000B415D">
        <w:rPr>
          <w:lang w:val="nl-BE"/>
        </w:rPr>
        <w:t xml:space="preserve"> (</w:t>
      </w:r>
      <w:hyperlink r:id="rId12" w:history="1">
        <w:r w:rsidR="000B415D" w:rsidRPr="000B415D">
          <w:rPr>
            <w:rStyle w:val="Hyperlink"/>
            <w:rFonts w:cs="Times New Roman"/>
            <w:lang w:val="nl-BE"/>
          </w:rPr>
          <w:t>bart.de.smet@vliz.be</w:t>
        </w:r>
      </w:hyperlink>
      <w:r w:rsidR="000B415D">
        <w:rPr>
          <w:lang w:val="nl-BE"/>
        </w:rPr>
        <w:t>)</w:t>
      </w:r>
    </w:p>
    <w:p w14:paraId="7CE55638" w14:textId="79989332" w:rsidR="002A08EA" w:rsidRPr="00FD3202" w:rsidRDefault="002A08EA" w:rsidP="000C18F0">
      <w:pPr>
        <w:contextualSpacing/>
        <w:rPr>
          <w:lang w:val="en-GB"/>
        </w:rPr>
      </w:pPr>
      <w:r w:rsidRPr="00FD3202">
        <w:rPr>
          <w:vertAlign w:val="superscript"/>
          <w:lang w:val="en-GB"/>
        </w:rPr>
        <w:t xml:space="preserve">b </w:t>
      </w:r>
      <w:r w:rsidR="0037253F" w:rsidRPr="00FD3202">
        <w:rPr>
          <w:lang w:val="en-GB"/>
        </w:rPr>
        <w:t xml:space="preserve">National Oceanography Centre, </w:t>
      </w:r>
      <w:r w:rsidR="004962EE">
        <w:rPr>
          <w:lang w:val="en-GB"/>
        </w:rPr>
        <w:t>European Way</w:t>
      </w:r>
      <w:r w:rsidR="0037253F" w:rsidRPr="00FD3202">
        <w:rPr>
          <w:lang w:val="en-GB"/>
        </w:rPr>
        <w:t xml:space="preserve">, Southampton, </w:t>
      </w:r>
      <w:r w:rsidR="00E4646B" w:rsidRPr="00FD3202">
        <w:rPr>
          <w:lang w:val="en-GB"/>
        </w:rPr>
        <w:t xml:space="preserve">SO14 3ZH. </w:t>
      </w:r>
      <w:r w:rsidR="0037253F" w:rsidRPr="00FD3202">
        <w:rPr>
          <w:lang w:val="en-GB"/>
        </w:rPr>
        <w:t>United Kingdom</w:t>
      </w:r>
      <w:r w:rsidR="000B415D">
        <w:rPr>
          <w:lang w:val="en-GB"/>
        </w:rPr>
        <w:t xml:space="preserve"> (</w:t>
      </w:r>
      <w:hyperlink r:id="rId13" w:history="1">
        <w:r w:rsidR="000B415D" w:rsidRPr="0056374C">
          <w:rPr>
            <w:rStyle w:val="Hyperlink"/>
            <w:lang w:val="en-GB"/>
          </w:rPr>
          <w:t>erimon@noc.ac.uk</w:t>
        </w:r>
      </w:hyperlink>
      <w:r w:rsidR="000B415D">
        <w:rPr>
          <w:lang w:val="en-GB"/>
        </w:rPr>
        <w:t xml:space="preserve">; </w:t>
      </w:r>
      <w:hyperlink r:id="rId14" w:history="1">
        <w:r w:rsidR="000B415D" w:rsidRPr="0056374C">
          <w:rPr>
            <w:rStyle w:val="Hyperlink"/>
            <w:lang w:val="en-GB"/>
          </w:rPr>
          <w:t>dj1@noc.ac.uk</w:t>
        </w:r>
      </w:hyperlink>
      <w:r w:rsidR="000B415D">
        <w:rPr>
          <w:lang w:val="en-GB"/>
        </w:rPr>
        <w:t>)</w:t>
      </w:r>
    </w:p>
    <w:p w14:paraId="05299776" w14:textId="77777777" w:rsidR="00643317" w:rsidRPr="00FD3202" w:rsidRDefault="00643317" w:rsidP="007F255B">
      <w:pPr>
        <w:rPr>
          <w:lang w:val="en-GB"/>
        </w:rPr>
      </w:pPr>
    </w:p>
    <w:p w14:paraId="27A439C0" w14:textId="77777777" w:rsidR="00B025C7" w:rsidRPr="00FD3202" w:rsidRDefault="00B025C7" w:rsidP="007F255B">
      <w:pPr>
        <w:rPr>
          <w:lang w:val="en-GB"/>
        </w:rPr>
      </w:pPr>
    </w:p>
    <w:p w14:paraId="624830D9" w14:textId="77777777" w:rsidR="00B025C7" w:rsidRPr="00FD3202" w:rsidRDefault="00B025C7" w:rsidP="007F255B">
      <w:pPr>
        <w:rPr>
          <w:lang w:val="en-GB"/>
        </w:rPr>
      </w:pPr>
    </w:p>
    <w:p w14:paraId="0686D438" w14:textId="77777777" w:rsidR="00B025C7" w:rsidRPr="00FD3202" w:rsidRDefault="00B025C7" w:rsidP="007F255B">
      <w:pPr>
        <w:rPr>
          <w:lang w:val="en-GB"/>
        </w:rPr>
      </w:pPr>
    </w:p>
    <w:p w14:paraId="7D882495" w14:textId="77777777" w:rsidR="00D048BD" w:rsidRPr="00FD3202" w:rsidRDefault="00D048BD" w:rsidP="007F255B">
      <w:pPr>
        <w:rPr>
          <w:lang w:val="en-GB"/>
        </w:rPr>
      </w:pPr>
    </w:p>
    <w:p w14:paraId="6AF069D4" w14:textId="77777777" w:rsidR="00B025C7" w:rsidRPr="00FD3202" w:rsidRDefault="00B025C7" w:rsidP="007F255B">
      <w:pPr>
        <w:rPr>
          <w:lang w:val="en-GB"/>
        </w:rPr>
      </w:pPr>
    </w:p>
    <w:p w14:paraId="2418D40B" w14:textId="77777777" w:rsidR="00DF65A5" w:rsidRPr="00FD3202" w:rsidRDefault="00DF65A5" w:rsidP="007F255B">
      <w:pPr>
        <w:rPr>
          <w:lang w:val="en-GB"/>
        </w:rPr>
      </w:pPr>
    </w:p>
    <w:p w14:paraId="4BD73C91" w14:textId="0C098E14" w:rsidR="00E56431" w:rsidRPr="00FD3202" w:rsidRDefault="00535348" w:rsidP="007F255B">
      <w:pPr>
        <w:contextualSpacing/>
        <w:rPr>
          <w:lang w:val="en-GB"/>
        </w:rPr>
      </w:pPr>
      <w:r w:rsidRPr="00FD3202">
        <w:rPr>
          <w:vertAlign w:val="superscript"/>
          <w:lang w:val="en-GB"/>
        </w:rPr>
        <w:t>*</w:t>
      </w:r>
      <w:r w:rsidRPr="00FD3202">
        <w:rPr>
          <w:lang w:val="en-GB"/>
        </w:rPr>
        <w:t xml:space="preserve"> Corresponding author: Bart De Smet</w:t>
      </w:r>
    </w:p>
    <w:p w14:paraId="1B3B5966" w14:textId="77777777" w:rsidR="00535348" w:rsidRPr="00FD3202" w:rsidRDefault="0098752D" w:rsidP="007F255B">
      <w:pPr>
        <w:contextualSpacing/>
        <w:rPr>
          <w:rFonts w:cs="Times New Roman"/>
          <w:lang w:val="en-GB"/>
        </w:rPr>
      </w:pPr>
      <w:r w:rsidRPr="00FD3202">
        <w:rPr>
          <w:rFonts w:cs="Times New Roman"/>
          <w:lang w:val="en-GB"/>
        </w:rPr>
        <w:t xml:space="preserve">E-mail: </w:t>
      </w:r>
      <w:hyperlink r:id="rId15" w:history="1">
        <w:r w:rsidR="001003A8" w:rsidRPr="00FD3202">
          <w:rPr>
            <w:rStyle w:val="Hyperlink"/>
            <w:rFonts w:cs="Times New Roman"/>
            <w:lang w:val="en-GB"/>
          </w:rPr>
          <w:t>bart.de.smet@vliz.be</w:t>
        </w:r>
      </w:hyperlink>
      <w:r w:rsidRPr="00FD3202">
        <w:rPr>
          <w:rFonts w:cs="Times New Roman"/>
          <w:lang w:val="en-GB"/>
        </w:rPr>
        <w:t xml:space="preserve"> </w:t>
      </w:r>
    </w:p>
    <w:p w14:paraId="4EE165E9" w14:textId="77777777" w:rsidR="00231C6F" w:rsidRPr="00FD3202" w:rsidRDefault="00231C6F" w:rsidP="00231C6F">
      <w:pPr>
        <w:contextualSpacing/>
        <w:rPr>
          <w:rFonts w:cs="Times New Roman"/>
          <w:b/>
          <w:lang w:val="en-GB"/>
        </w:rPr>
      </w:pPr>
      <w:r w:rsidRPr="00FD3202">
        <w:rPr>
          <w:lang w:val="en-GB"/>
        </w:rPr>
        <w:t>Telephone: +32 (0)478 56 96 78</w:t>
      </w:r>
      <w:r w:rsidRPr="00FD3202">
        <w:rPr>
          <w:lang w:val="en-GB"/>
        </w:rPr>
        <w:br w:type="page"/>
      </w:r>
    </w:p>
    <w:p w14:paraId="380F7CE7" w14:textId="6F57B4F3" w:rsidR="00273E2D" w:rsidRPr="006601C6" w:rsidRDefault="00273E2D" w:rsidP="00B820BC">
      <w:pPr>
        <w:pStyle w:val="Kop1"/>
        <w:numPr>
          <w:ilvl w:val="0"/>
          <w:numId w:val="0"/>
        </w:numPr>
      </w:pPr>
      <w:r w:rsidRPr="006601C6">
        <w:lastRenderedPageBreak/>
        <w:t>Abstract</w:t>
      </w:r>
    </w:p>
    <w:p w14:paraId="07A07A0B" w14:textId="7CFE5CF5" w:rsidR="001C6DFA" w:rsidRDefault="002345F8" w:rsidP="007F255B">
      <w:pPr>
        <w:rPr>
          <w:lang w:val="en-GB"/>
        </w:rPr>
      </w:pPr>
      <w:r>
        <w:rPr>
          <w:lang w:val="en-GB"/>
        </w:rPr>
        <w:t>P</w:t>
      </w:r>
      <w:r w:rsidRPr="00FD3202">
        <w:rPr>
          <w:lang w:val="en-GB"/>
        </w:rPr>
        <w:t xml:space="preserve">olymetallic nodules </w:t>
      </w:r>
      <w:r w:rsidR="004962EE" w:rsidRPr="00FD3202">
        <w:rPr>
          <w:lang w:val="en-GB"/>
        </w:rPr>
        <w:t>increas</w:t>
      </w:r>
      <w:r w:rsidR="004962EE">
        <w:rPr>
          <w:lang w:val="en-GB"/>
        </w:rPr>
        <w:t>e</w:t>
      </w:r>
      <w:r w:rsidR="004962EE" w:rsidRPr="00FD3202">
        <w:rPr>
          <w:lang w:val="en-GB"/>
        </w:rPr>
        <w:t xml:space="preserve"> habitat heterogeneity</w:t>
      </w:r>
      <w:r w:rsidR="004962EE">
        <w:rPr>
          <w:lang w:val="en-GB"/>
        </w:rPr>
        <w:t xml:space="preserve"> in some abyssal benthic ecosystems by providing hard substrate. </w:t>
      </w:r>
      <w:r w:rsidR="005D7F5D">
        <w:rPr>
          <w:lang w:val="en-GB"/>
        </w:rPr>
        <w:t>Besides</w:t>
      </w:r>
      <w:r w:rsidR="00D77D6D">
        <w:rPr>
          <w:lang w:val="en-GB"/>
        </w:rPr>
        <w:t xml:space="preserve"> the</w:t>
      </w:r>
      <w:r w:rsidR="001C6DFA">
        <w:rPr>
          <w:lang w:val="en-GB"/>
        </w:rPr>
        <w:t>ir</w:t>
      </w:r>
      <w:r w:rsidR="00D77D6D">
        <w:rPr>
          <w:lang w:val="en-GB"/>
        </w:rPr>
        <w:t xml:space="preserve"> important role</w:t>
      </w:r>
      <w:r w:rsidR="004962EE">
        <w:rPr>
          <w:lang w:val="en-GB"/>
        </w:rPr>
        <w:t xml:space="preserve"> in structuring ecosystems, polymetallic nodules have high grades of valuable minerals and are a target of likely future exploitation, particularly in the Pacific Clarion-Clipperton Zone (CCZ)</w:t>
      </w:r>
      <w:r w:rsidR="00481835">
        <w:rPr>
          <w:lang w:val="en-GB"/>
        </w:rPr>
        <w:t>.</w:t>
      </w:r>
      <w:r w:rsidR="00481835" w:rsidRPr="00FD3202">
        <w:rPr>
          <w:lang w:val="en-GB"/>
        </w:rPr>
        <w:t xml:space="preserve"> </w:t>
      </w:r>
      <w:r w:rsidR="002B4554">
        <w:rPr>
          <w:lang w:val="en-GB"/>
        </w:rPr>
        <w:t>M</w:t>
      </w:r>
      <w:r w:rsidR="00481835">
        <w:rPr>
          <w:lang w:val="en-GB"/>
        </w:rPr>
        <w:t xml:space="preserve">ining </w:t>
      </w:r>
      <w:r w:rsidR="00D77D6D">
        <w:rPr>
          <w:lang w:val="en-GB"/>
        </w:rPr>
        <w:t xml:space="preserve">activities </w:t>
      </w:r>
      <w:r w:rsidR="00BB7AD8">
        <w:rPr>
          <w:lang w:val="en-GB"/>
        </w:rPr>
        <w:t>will remove hard substrate and sediment</w:t>
      </w:r>
      <w:r w:rsidR="00481835" w:rsidRPr="00FD3202">
        <w:rPr>
          <w:lang w:val="en-GB"/>
        </w:rPr>
        <w:t xml:space="preserve"> </w:t>
      </w:r>
      <w:r w:rsidR="00D77D6D">
        <w:rPr>
          <w:lang w:val="en-GB"/>
        </w:rPr>
        <w:t xml:space="preserve">and </w:t>
      </w:r>
      <w:r w:rsidR="00BB7AD8">
        <w:rPr>
          <w:lang w:val="en-GB"/>
        </w:rPr>
        <w:t xml:space="preserve">cause </w:t>
      </w:r>
      <w:r w:rsidR="00481835" w:rsidRPr="00FD3202">
        <w:rPr>
          <w:lang w:val="en-GB"/>
        </w:rPr>
        <w:t>sediment plume</w:t>
      </w:r>
      <w:r w:rsidR="00BB7AD8">
        <w:rPr>
          <w:lang w:val="en-GB"/>
        </w:rPr>
        <w:t>s</w:t>
      </w:r>
      <w:r w:rsidR="00481835" w:rsidRPr="00FD3202">
        <w:rPr>
          <w:lang w:val="en-GB"/>
        </w:rPr>
        <w:t xml:space="preserve"> potentially affecting </w:t>
      </w:r>
      <w:r w:rsidR="00BB7AD8">
        <w:rPr>
          <w:lang w:val="en-GB"/>
        </w:rPr>
        <w:t xml:space="preserve">faunal communities over </w:t>
      </w:r>
      <w:r w:rsidR="00481835" w:rsidRPr="00FD3202">
        <w:rPr>
          <w:lang w:val="en-GB"/>
        </w:rPr>
        <w:t>large areas</w:t>
      </w:r>
      <w:r w:rsidR="00D77D6D">
        <w:rPr>
          <w:lang w:val="en-GB"/>
        </w:rPr>
        <w:t xml:space="preserve">. </w:t>
      </w:r>
      <w:r w:rsidR="00BB7AD8">
        <w:rPr>
          <w:lang w:val="en-GB"/>
        </w:rPr>
        <w:t>Long-lived megafaunal assemblages may be particularly vulnerable but data are lacking o</w:t>
      </w:r>
      <w:r w:rsidR="00D77D6D" w:rsidRPr="00D77D6D">
        <w:rPr>
          <w:lang w:val="en-GB"/>
        </w:rPr>
        <w:t xml:space="preserve">n the </w:t>
      </w:r>
      <w:r w:rsidR="00FC3544">
        <w:rPr>
          <w:lang w:val="en-GB"/>
        </w:rPr>
        <w:t>density</w:t>
      </w:r>
      <w:r w:rsidR="00D77D6D">
        <w:rPr>
          <w:lang w:val="en-GB"/>
        </w:rPr>
        <w:t>,</w:t>
      </w:r>
      <w:r w:rsidR="00D77D6D" w:rsidRPr="00D77D6D">
        <w:rPr>
          <w:lang w:val="en-GB"/>
        </w:rPr>
        <w:t xml:space="preserve"> biodiversity and community</w:t>
      </w:r>
      <w:r w:rsidR="00FC3544">
        <w:rPr>
          <w:lang w:val="en-GB"/>
        </w:rPr>
        <w:t xml:space="preserve"> </w:t>
      </w:r>
      <w:r w:rsidR="00D77D6D" w:rsidRPr="00D77D6D">
        <w:rPr>
          <w:lang w:val="en-GB"/>
        </w:rPr>
        <w:t xml:space="preserve">structure </w:t>
      </w:r>
      <w:r w:rsidR="00BB7AD8">
        <w:rPr>
          <w:lang w:val="en-GB"/>
        </w:rPr>
        <w:t xml:space="preserve">in many areas of the </w:t>
      </w:r>
      <w:r w:rsidR="00CA7951">
        <w:rPr>
          <w:lang w:val="en-GB"/>
        </w:rPr>
        <w:t>CC</w:t>
      </w:r>
      <w:r w:rsidR="00BB7AD8">
        <w:rPr>
          <w:lang w:val="en-GB"/>
        </w:rPr>
        <w:t>Z</w:t>
      </w:r>
      <w:r w:rsidR="00D77D6D" w:rsidRPr="00D77D6D">
        <w:rPr>
          <w:lang w:val="en-GB"/>
        </w:rPr>
        <w:t>.</w:t>
      </w:r>
      <w:r w:rsidR="00FC3544">
        <w:rPr>
          <w:lang w:val="en-GB"/>
        </w:rPr>
        <w:t xml:space="preserve"> </w:t>
      </w:r>
      <w:r w:rsidRPr="00FD3202">
        <w:rPr>
          <w:lang w:val="en-GB"/>
        </w:rPr>
        <w:t xml:space="preserve">This study aims to </w:t>
      </w:r>
      <w:r w:rsidR="00BB7AD8">
        <w:rPr>
          <w:lang w:val="en-GB"/>
        </w:rPr>
        <w:t xml:space="preserve">provide </w:t>
      </w:r>
      <w:r w:rsidR="00FC3544">
        <w:rPr>
          <w:lang w:val="en-GB"/>
        </w:rPr>
        <w:t>megabenthic community</w:t>
      </w:r>
      <w:r w:rsidR="00BB7AD8">
        <w:rPr>
          <w:lang w:val="en-GB"/>
        </w:rPr>
        <w:t xml:space="preserve"> baseline data from</w:t>
      </w:r>
      <w:r w:rsidR="00FC3544" w:rsidRPr="00FC3544">
        <w:rPr>
          <w:lang w:val="en-GB"/>
        </w:rPr>
        <w:t xml:space="preserve"> two physically </w:t>
      </w:r>
      <w:r w:rsidR="00BB7AD8">
        <w:rPr>
          <w:lang w:val="en-GB"/>
        </w:rPr>
        <w:t>similar areas</w:t>
      </w:r>
      <w:r w:rsidR="00FC3544" w:rsidRPr="00FC3544">
        <w:rPr>
          <w:lang w:val="en-GB"/>
        </w:rPr>
        <w:t xml:space="preserve"> </w:t>
      </w:r>
      <w:r w:rsidR="00193203">
        <w:rPr>
          <w:lang w:val="en-GB"/>
        </w:rPr>
        <w:t>(</w:t>
      </w:r>
      <w:r w:rsidR="00193203" w:rsidRPr="00F82B46">
        <w:rPr>
          <w:lang w:val="en-GB"/>
        </w:rPr>
        <w:t>B6S</w:t>
      </w:r>
      <w:r w:rsidR="00193203">
        <w:rPr>
          <w:lang w:val="en-GB"/>
        </w:rPr>
        <w:t>02</w:t>
      </w:r>
      <w:r w:rsidR="00193203" w:rsidRPr="00F82B46">
        <w:rPr>
          <w:lang w:val="en-GB"/>
        </w:rPr>
        <w:t xml:space="preserve"> and B4S</w:t>
      </w:r>
      <w:r w:rsidR="00193203">
        <w:rPr>
          <w:lang w:val="en-GB"/>
        </w:rPr>
        <w:t xml:space="preserve">03) </w:t>
      </w:r>
      <w:r w:rsidR="00B73220">
        <w:rPr>
          <w:lang w:val="en-GB"/>
        </w:rPr>
        <w:t>located in the contract</w:t>
      </w:r>
      <w:r w:rsidR="00FC3544" w:rsidRPr="00FC3544">
        <w:rPr>
          <w:lang w:val="en-GB"/>
        </w:rPr>
        <w:t xml:space="preserve"> area of</w:t>
      </w:r>
      <w:r w:rsidR="00FC3544">
        <w:rPr>
          <w:lang w:val="en-GB"/>
        </w:rPr>
        <w:t xml:space="preserve"> </w:t>
      </w:r>
      <w:r w:rsidR="00FC3544" w:rsidRPr="00FC3544">
        <w:rPr>
          <w:lang w:val="en-GB"/>
        </w:rPr>
        <w:t>Global Sea Mineral Resources N.V. (GSR)</w:t>
      </w:r>
      <w:r w:rsidR="00BB7AD8">
        <w:rPr>
          <w:lang w:val="en-GB"/>
        </w:rPr>
        <w:t>. S</w:t>
      </w:r>
      <w:r w:rsidRPr="00FD3202">
        <w:rPr>
          <w:lang w:val="en-GB"/>
        </w:rPr>
        <w:t>eafloor image</w:t>
      </w:r>
      <w:r w:rsidR="00BB7AD8">
        <w:rPr>
          <w:lang w:val="en-GB"/>
        </w:rPr>
        <w:t xml:space="preserve">s, obtained by an autonomous underwater vehicle are used to characterise the large areas required for robust evaluation of sparse megafauna. Higher altitude images cover a larger area </w:t>
      </w:r>
      <w:r w:rsidR="004236BB">
        <w:rPr>
          <w:lang w:val="en-GB"/>
        </w:rPr>
        <w:t xml:space="preserve">for the same effort </w:t>
      </w:r>
      <w:r w:rsidR="00BB7AD8">
        <w:rPr>
          <w:lang w:val="en-GB"/>
        </w:rPr>
        <w:t xml:space="preserve">but have reduced resolution compared to images obtained closer to the seafloor, leading to difficulties in detecting and identifying individuals. Our comparison of images obtained at </w:t>
      </w:r>
      <w:r w:rsidR="004236BB">
        <w:rPr>
          <w:lang w:val="en-GB"/>
        </w:rPr>
        <w:t>different</w:t>
      </w:r>
      <w:r w:rsidR="00BB7AD8">
        <w:rPr>
          <w:lang w:val="en-GB"/>
        </w:rPr>
        <w:t xml:space="preserve"> altitudes shows that images taken above 8m altitude underestimate the megafauna density by almost 50%, so images &lt;8m were used for further analysis. We also used multi</w:t>
      </w:r>
      <w:r w:rsidR="00F72505" w:rsidRPr="00FD3202">
        <w:rPr>
          <w:lang w:val="en-GB"/>
        </w:rPr>
        <w:t>observer agreement</w:t>
      </w:r>
      <w:r w:rsidR="005D7F5D">
        <w:rPr>
          <w:lang w:val="en-GB"/>
        </w:rPr>
        <w:t xml:space="preserve"> analysis</w:t>
      </w:r>
      <w:r w:rsidR="00F72505" w:rsidRPr="00FD3202">
        <w:rPr>
          <w:lang w:val="en-GB"/>
        </w:rPr>
        <w:t xml:space="preserve"> </w:t>
      </w:r>
      <w:r w:rsidR="00BB7AD8">
        <w:rPr>
          <w:lang w:val="en-GB"/>
        </w:rPr>
        <w:t>to improve</w:t>
      </w:r>
      <w:r w:rsidR="00F72505">
        <w:rPr>
          <w:lang w:val="en-GB"/>
        </w:rPr>
        <w:t xml:space="preserve"> the </w:t>
      </w:r>
      <w:r w:rsidR="005D7F5D">
        <w:rPr>
          <w:lang w:val="en-GB"/>
        </w:rPr>
        <w:t>megafauna</w:t>
      </w:r>
      <w:r w:rsidR="00BB7AD8">
        <w:rPr>
          <w:lang w:val="en-GB"/>
        </w:rPr>
        <w:t>l</w:t>
      </w:r>
      <w:r w:rsidR="005D7F5D">
        <w:rPr>
          <w:lang w:val="en-GB"/>
        </w:rPr>
        <w:t xml:space="preserve"> </w:t>
      </w:r>
      <w:r w:rsidR="00F72505" w:rsidRPr="000255BD">
        <w:rPr>
          <w:lang w:val="en-GB"/>
        </w:rPr>
        <w:t>annotation consistency</w:t>
      </w:r>
      <w:r w:rsidR="00F72505">
        <w:rPr>
          <w:lang w:val="en-GB"/>
        </w:rPr>
        <w:t xml:space="preserve">, </w:t>
      </w:r>
      <w:r w:rsidR="00F72505" w:rsidRPr="000255BD">
        <w:rPr>
          <w:lang w:val="en-GB"/>
        </w:rPr>
        <w:t>and</w:t>
      </w:r>
      <w:r w:rsidR="00F72505">
        <w:rPr>
          <w:lang w:val="en-GB"/>
        </w:rPr>
        <w:t xml:space="preserve"> the quality and robustness of the data in this study</w:t>
      </w:r>
      <w:r w:rsidR="00BB7AD8">
        <w:rPr>
          <w:lang w:val="en-GB"/>
        </w:rPr>
        <w:t>. T</w:t>
      </w:r>
      <w:r w:rsidR="00BB7AD8" w:rsidRPr="00F82B46">
        <w:rPr>
          <w:lang w:val="en-GB"/>
        </w:rPr>
        <w:t xml:space="preserve">he two </w:t>
      </w:r>
      <w:r w:rsidR="00BB7AD8">
        <w:rPr>
          <w:lang w:val="en-GB"/>
        </w:rPr>
        <w:t xml:space="preserve">GSR </w:t>
      </w:r>
      <w:r w:rsidR="00BB7AD8" w:rsidRPr="00F82B46">
        <w:rPr>
          <w:lang w:val="en-GB"/>
        </w:rPr>
        <w:t xml:space="preserve">areas </w:t>
      </w:r>
      <w:r w:rsidR="00BB7AD8">
        <w:rPr>
          <w:lang w:val="en-GB"/>
        </w:rPr>
        <w:t>were</w:t>
      </w:r>
      <w:r w:rsidR="00BB7AD8" w:rsidRPr="00F82B46">
        <w:rPr>
          <w:lang w:val="en-GB"/>
        </w:rPr>
        <w:t xml:space="preserve"> significantly different in nodule </w:t>
      </w:r>
      <w:r w:rsidR="00BB7AD8">
        <w:rPr>
          <w:lang w:val="en-GB"/>
        </w:rPr>
        <w:t>coverage and megafauna composition and a general p</w:t>
      </w:r>
      <w:r w:rsidR="00193203">
        <w:rPr>
          <w:lang w:val="en-GB"/>
        </w:rPr>
        <w:t>ositive relationship between nodule coverage and megafauna abundance was observed.</w:t>
      </w:r>
      <w:r w:rsidR="00624283">
        <w:rPr>
          <w:lang w:val="en-GB"/>
        </w:rPr>
        <w:t xml:space="preserve"> </w:t>
      </w:r>
      <w:r w:rsidR="0019120B">
        <w:rPr>
          <w:lang w:val="en-GB"/>
        </w:rPr>
        <w:t>Differences in the megafauna</w:t>
      </w:r>
      <w:r w:rsidR="00BB7AD8">
        <w:rPr>
          <w:lang w:val="en-GB"/>
        </w:rPr>
        <w:t>l</w:t>
      </w:r>
      <w:r w:rsidR="0019120B">
        <w:rPr>
          <w:lang w:val="en-GB"/>
        </w:rPr>
        <w:t xml:space="preserve"> composition were </w:t>
      </w:r>
      <w:r w:rsidR="00BB7AD8">
        <w:rPr>
          <w:lang w:val="en-GB"/>
        </w:rPr>
        <w:t>primarily caused by</w:t>
      </w:r>
      <w:r w:rsidR="0019120B">
        <w:rPr>
          <w:lang w:val="en-GB"/>
        </w:rPr>
        <w:t xml:space="preserve"> differences in echinoderms </w:t>
      </w:r>
      <w:r w:rsidR="00BB7AD8">
        <w:rPr>
          <w:lang w:val="en-GB"/>
        </w:rPr>
        <w:t>(</w:t>
      </w:r>
      <w:r w:rsidR="001C6DFA" w:rsidRPr="00F82B46">
        <w:rPr>
          <w:lang w:val="en-GB"/>
        </w:rPr>
        <w:t>asteroids, echinoids, ophiuroids and holothuroids</w:t>
      </w:r>
      <w:r w:rsidR="00BB7AD8">
        <w:rPr>
          <w:lang w:val="en-GB"/>
        </w:rPr>
        <w:t>)</w:t>
      </w:r>
      <w:r w:rsidR="001C6DFA" w:rsidRPr="00F82B46">
        <w:rPr>
          <w:lang w:val="en-GB"/>
        </w:rPr>
        <w:t>, rep</w:t>
      </w:r>
      <w:r w:rsidR="001C6DFA">
        <w:rPr>
          <w:lang w:val="en-GB"/>
        </w:rPr>
        <w:t>resent</w:t>
      </w:r>
      <w:r w:rsidR="00BB7AD8">
        <w:rPr>
          <w:lang w:val="en-GB"/>
        </w:rPr>
        <w:t>ing</w:t>
      </w:r>
      <w:r w:rsidR="001C6DFA">
        <w:rPr>
          <w:lang w:val="en-GB"/>
        </w:rPr>
        <w:t xml:space="preserve"> almost 7</w:t>
      </w:r>
      <w:r w:rsidR="001C6DFA" w:rsidRPr="00F82B46">
        <w:rPr>
          <w:lang w:val="en-GB"/>
        </w:rPr>
        <w:t xml:space="preserve">0% of the </w:t>
      </w:r>
      <w:r w:rsidR="001C6DFA">
        <w:rPr>
          <w:lang w:val="en-GB"/>
        </w:rPr>
        <w:t>megafauna</w:t>
      </w:r>
      <w:r w:rsidR="001C6DFA" w:rsidRPr="00F82B46">
        <w:rPr>
          <w:lang w:val="en-GB"/>
        </w:rPr>
        <w:t>.</w:t>
      </w:r>
    </w:p>
    <w:p w14:paraId="6DFA6B18" w14:textId="1EA2BC96" w:rsidR="00273E2D" w:rsidRPr="00FD3202" w:rsidRDefault="00DF3A58" w:rsidP="007F255B">
      <w:pPr>
        <w:rPr>
          <w:lang w:val="en-GB"/>
        </w:rPr>
      </w:pPr>
      <w:r w:rsidRPr="00FD3202">
        <w:rPr>
          <w:b/>
          <w:lang w:val="en-GB"/>
        </w:rPr>
        <w:t xml:space="preserve">Keywords: </w:t>
      </w:r>
      <w:r w:rsidR="00A81518" w:rsidRPr="00A81518">
        <w:rPr>
          <w:lang w:val="en-GB"/>
        </w:rPr>
        <w:t>Megafauna</w:t>
      </w:r>
      <w:r w:rsidR="00D96377">
        <w:rPr>
          <w:lang w:val="en-GB"/>
        </w:rPr>
        <w:t>;</w:t>
      </w:r>
      <w:r w:rsidR="00A81518">
        <w:rPr>
          <w:lang w:val="en-GB"/>
        </w:rPr>
        <w:t xml:space="preserve"> deep-sea m</w:t>
      </w:r>
      <w:r w:rsidR="00D96377">
        <w:rPr>
          <w:lang w:val="en-GB"/>
        </w:rPr>
        <w:t>ining; polymetallic nodules;</w:t>
      </w:r>
      <w:r w:rsidR="00CA7951">
        <w:rPr>
          <w:lang w:val="en-GB"/>
        </w:rPr>
        <w:t xml:space="preserve"> CC</w:t>
      </w:r>
      <w:r w:rsidR="00D96377">
        <w:rPr>
          <w:lang w:val="en-GB"/>
        </w:rPr>
        <w:t>Z; biodiversity; community structure; deep sea;</w:t>
      </w:r>
      <w:r w:rsidR="00A81518">
        <w:rPr>
          <w:lang w:val="en-GB"/>
        </w:rPr>
        <w:t xml:space="preserve"> AUV</w:t>
      </w:r>
      <w:r w:rsidR="00273E2D" w:rsidRPr="00FD3202">
        <w:rPr>
          <w:lang w:val="en-GB"/>
        </w:rPr>
        <w:br w:type="page"/>
      </w:r>
    </w:p>
    <w:p w14:paraId="3AEB668A" w14:textId="77777777" w:rsidR="006E65C7" w:rsidRPr="00DA15E1" w:rsidRDefault="001E4E8A" w:rsidP="006601C6">
      <w:pPr>
        <w:pStyle w:val="Kop1"/>
      </w:pPr>
      <w:r w:rsidRPr="00DA15E1">
        <w:lastRenderedPageBreak/>
        <w:t>Introduction</w:t>
      </w:r>
    </w:p>
    <w:p w14:paraId="73C9887B" w14:textId="4C383123" w:rsidR="00707EFD" w:rsidRPr="00FD3202" w:rsidRDefault="00707EFD" w:rsidP="00707EFD">
      <w:pPr>
        <w:rPr>
          <w:lang w:val="en-GB"/>
        </w:rPr>
      </w:pPr>
      <w:r w:rsidRPr="00FD3202">
        <w:rPr>
          <w:lang w:val="en-GB"/>
        </w:rPr>
        <w:t xml:space="preserve">The Clarion-Clipperton Zone (CCZ) in the equatorial North-East Pacific encompasses approx. 6 million km² and </w:t>
      </w:r>
      <w:r w:rsidR="00FA254B" w:rsidRPr="00FD3202">
        <w:rPr>
          <w:lang w:val="en-GB"/>
        </w:rPr>
        <w:t>harbours</w:t>
      </w:r>
      <w:r w:rsidRPr="00FD3202">
        <w:rPr>
          <w:lang w:val="en-GB"/>
        </w:rPr>
        <w:t xml:space="preserve"> the greatest concentration of polymetallic nodules known to date with an average </w:t>
      </w:r>
      <w:r w:rsidR="00E56431" w:rsidRPr="00FD3202">
        <w:rPr>
          <w:lang w:val="en-GB"/>
        </w:rPr>
        <w:t xml:space="preserve">nodule density </w:t>
      </w:r>
      <w:r w:rsidRPr="00FD3202">
        <w:rPr>
          <w:lang w:val="en-GB"/>
        </w:rPr>
        <w:t xml:space="preserve">of </w:t>
      </w:r>
      <w:r w:rsidR="003557BC">
        <w:rPr>
          <w:lang w:val="en-GB"/>
        </w:rPr>
        <w:t>nearly</w:t>
      </w:r>
      <w:r w:rsidR="00E4646B" w:rsidRPr="00FD3202">
        <w:rPr>
          <w:lang w:val="en-GB"/>
        </w:rPr>
        <w:t xml:space="preserve"> </w:t>
      </w:r>
      <w:r w:rsidRPr="00FD3202">
        <w:rPr>
          <w:lang w:val="en-GB"/>
        </w:rPr>
        <w:t>15 kg m</w:t>
      </w:r>
      <w:r w:rsidRPr="00FD3202">
        <w:rPr>
          <w:vertAlign w:val="superscript"/>
          <w:lang w:val="en-GB"/>
        </w:rPr>
        <w:t>-2</w:t>
      </w:r>
      <w:r w:rsidRPr="00FD3202">
        <w:rPr>
          <w:lang w:val="en-GB"/>
        </w:rPr>
        <w:t xml:space="preserve"> </w:t>
      </w:r>
      <w:r w:rsidRPr="003A470D">
        <w:rPr>
          <w:rFonts w:cs="Times New Roman"/>
          <w:lang w:val="en-GB"/>
        </w:rPr>
        <w:fldChar w:fldCharType="begin"/>
      </w:r>
      <w:r w:rsidR="00374BE8">
        <w:rPr>
          <w:rFonts w:cs="Times New Roman"/>
          <w:lang w:val="en-GB"/>
        </w:rPr>
        <w:instrText xml:space="preserve"> ADDIN ZOTERO_ITEM CSL_CITATION {"citationID":"a2dkbttd3at","properties":{"formattedCitation":"(Petersen et al., 2016)","plainCitation":"(Petersen et al., 2016)","noteIndex":0},"citationItems":[{"id":"ZQeM7Wy2/S5oVyDlJ","uris":["http://zotero.org/users/1851394/items/QG9PKVGF"],"uri":["http://zotero.org/users/1851394/items/QG9PKVGF"],"itemData":{"id":2514,"type":"article-journal","title":"News from the seabed – Geological characteristics and resource potential of deep-sea mineral resources","container-title":"Marine Policy","page":"175-187","volume":"70","source":"ScienceDirect","abstract":"Marine minerals such as manganese nodules, Co-rich ferromanganese crusts, and seafloor massive sulfides are commonly seen as possible future resources that could potentially add to the global raw materials supply. At present, a proper assessment of these resources is not possible due to a severe lack of information regarding their size, distribution, and composition. It is clear, however, that manganese nodules and Co-rich ferromanganese crusts are a vast resource and mining them could have a profound impact on global metal markets, whereas the global resource potential of seafloor massive sulfides appears to be small. These deep-sea mineral commodities are formed by very different geological processes resulting in deposits with distinctly different characteristics. The geological boundary conditions also determine the size of any future mining operations and the area that will be affected by mining. Similarly, the sizes of the most favorable areas that need to be explored for a global resource assessment are also dependent on the geological environment. Size reaches 38 million km2 for manganese nodules, while those for Co-rich crusts (1.7 million km2) and massive sulfides (3.2 millionkm2) are much smaller. Moreover, different commodities are more abundant in some jurisdictions than in others. While only 19% of the favorable area for manganese nodules lies within the Exclusive Economic Zone of coastal states or is covered by proposals for the extension of the continental shelf, 42% of the favorable areas for massive sulfides and 54% for Co-rich crusts are located in EEZs.","DOI":"10.1016/j.marpol.2016.03.012","ISSN":"0308-597X","journalAbbreviation":"Marine Policy","author":[{"family":"Petersen","given":"S."},{"family":"Krätschell","given":"A."},{"family":"Augustin","given":"N."},{"family":"Jamieson","given":"J."},{"family":"Hein","given":"J. R."},{"family":"Hannington","given":"M. D."}],"issued":{"date-parts":[["2016",8,1]]}}}],"schema":"https://github.com/citation-style-language/schema/raw/master/csl-citation.json"} </w:instrText>
      </w:r>
      <w:r w:rsidRPr="003A470D">
        <w:rPr>
          <w:rFonts w:cs="Times New Roman"/>
          <w:lang w:val="en-GB"/>
        </w:rPr>
        <w:fldChar w:fldCharType="separate"/>
      </w:r>
      <w:r w:rsidRPr="003A470D">
        <w:rPr>
          <w:rFonts w:cs="Times New Roman"/>
          <w:lang w:val="en-GB"/>
        </w:rPr>
        <w:t>(Petersen et al., 2016)</w:t>
      </w:r>
      <w:r w:rsidRPr="003A470D">
        <w:rPr>
          <w:rFonts w:cs="Times New Roman"/>
          <w:lang w:val="en-GB"/>
        </w:rPr>
        <w:fldChar w:fldCharType="end"/>
      </w:r>
      <w:r w:rsidRPr="00FD3202">
        <w:rPr>
          <w:lang w:val="en-GB"/>
        </w:rPr>
        <w:t>. The economic interest in</w:t>
      </w:r>
      <w:r w:rsidR="00A83E18" w:rsidRPr="00FD3202">
        <w:rPr>
          <w:lang w:val="en-GB"/>
        </w:rPr>
        <w:t xml:space="preserve"> this abyssal resource</w:t>
      </w:r>
      <w:r w:rsidRPr="00FD3202">
        <w:rPr>
          <w:lang w:val="en-GB"/>
        </w:rPr>
        <w:t xml:space="preserve"> is high</w:t>
      </w:r>
      <w:r w:rsidR="001003A8" w:rsidRPr="00FD3202">
        <w:rPr>
          <w:lang w:val="en-GB"/>
        </w:rPr>
        <w:t>,</w:t>
      </w:r>
      <w:r w:rsidRPr="00FD3202">
        <w:rPr>
          <w:lang w:val="en-GB"/>
        </w:rPr>
        <w:t xml:space="preserve"> mainly </w:t>
      </w:r>
      <w:r w:rsidR="00E4646B" w:rsidRPr="00FD3202">
        <w:rPr>
          <w:lang w:val="en-GB"/>
        </w:rPr>
        <w:t>resulting from</w:t>
      </w:r>
      <w:r w:rsidRPr="00FD3202">
        <w:rPr>
          <w:lang w:val="en-GB"/>
        </w:rPr>
        <w:t xml:space="preserve"> their high ore grade of valuable minerals including cobalt, copper, nickel but also rare earth elements (REE) compared to land-based resources </w:t>
      </w:r>
      <w:r w:rsidRPr="003A470D">
        <w:rPr>
          <w:rFonts w:cs="Times New Roman"/>
          <w:lang w:val="en-GB"/>
        </w:rPr>
        <w:fldChar w:fldCharType="begin"/>
      </w:r>
      <w:r w:rsidR="00374BE8">
        <w:rPr>
          <w:rFonts w:cs="Times New Roman"/>
          <w:lang w:val="en-GB"/>
        </w:rPr>
        <w:instrText xml:space="preserve"> ADDIN ZOTERO_ITEM CSL_CITATION {"citationID":"am18av318d","properties":{"formattedCitation":"(Hein et al., 2013)","plainCitation":"(Hein et al., 2013)","noteIndex":0},"citationItems":[{"id":"ZQeM7Wy2/sNSKEqws","uris":["http://zotero.org/users/1851394/items/7PPS3GU5"],"uri":["http://zotero.org/users/1851394/items/7PPS3GU5"],"itemData":{"id":1475,"type":"article-journal","title":"Deep-ocean mineral deposits as a source of critical metals for high- and green-technology applications: Comparison with land-based resources","container-title":"Ore Geology Reviews","page":"1-14","volume":"51","source":"ScienceDirect","abstract":"Ferromanganese (Fe–Mn) crusts are strongly enriched relative to the Earth's lithosphere in many rare and critical metals, including Co, Te, Mo, Bi, Pt, W, Zr, Nb, Y, and rare-earth elements (REEs). Fe–Mn nodules are strongly enriched in Ni, Cu, Co, Mo, Zr, Li, Y, and REEs. Compared to Fe–Mn crusts, nodules are more enriched in Ni, Cu, and Li, with subequal amounts of Mo and crusts are more enriched in the other metals. The metal ions and complexes in seawater are sorbed onto the two major host phases, FeO(OH) with a positively charged surface and MnO2 with a negatively charged surface. Metals are also derived from diagenetically modified sediment pore fluids and incorporated into most nodules. Seafloor massive sulfides (SMS), especially those in arc and back-arc settings, can also be enriched in rare metals and metalloids, such as Cd, Ga, Ge, In, As, Sb, and Se. Metal grades for the elements of economic interest in SMS (Cu, Zn, Au, Ag) are much greater than those in land-based volcanogenic massive sulfides. However, their tonnage throughout the global ocean is poorly known and grade/tonnage comparisons with land-based deposits would be premature.\nThe Clarion–Clipperton Fe–Mn Nodule Zone (CCZ) in the NE Pacific and the prime Fe–Mn crust zone (PCZ) in the central Pacific are the areas of greatest economic interest for nodules and crusts and grades and tonnages for those areas are moderately well known. We compare the grades and tonnages of nodules and crusts in those two areas with the global terrestrial reserves and resources. Nodules in the CCZ have more Tl (6000 times), Mn, Te, Ni, Co, and Y than the entire global terrestrial reserve base for those metals. The CCZ nodules also contain significant amounts of Cu, Mo, W, Li, Nb, and rare earth oxides (REO) compared to the global land-based reserves. Fe–Mn crusts in the PCZ have significantly more Tl (1700 times), Te (10 times more), Co, and Y than the entire terrestrial reserve base. Other metals of significance in the PCZ crusts relative to the total global land-based reserves are Bi, REO, Nb, and W. CCZ nodules and PCZ crusts are also compared with the two largest existing land-based REE mines, Bayan Obo in China and Mountain Pass in the USA. The land-based deposits are higher grade but lower tonnage deposits. Notably, both land-based deposits have &amp;lt; 1% heavy REEs (HREEs), whereas the CCZ has 26% HREEs and the PCZ, 18% HREEs; the HREEs have a much greater economic value. Radioactive Th concentrations are appreciably higher in the land-based deposits than in either type of marine deposit. A discussion of the differences between terrestrial and marine impacts and mine characteristics is also presented, including the potential for rare metals and REEs in marine deposits to be recovered as byproducts of mining the main metals of economic interest in nodules and crusts.","DOI":"10.1016/j.oregeorev.2012.12.001","ISSN":"0169-1368","shortTitle":"Deep-ocean mineral deposits as a source of critical metals for high- and green-technology applications","journalAbbreviation":"Ore Geology Reviews","author":[{"family":"Hein","given":"James R."},{"family":"Mizell","given":"Kira"},{"family":"Koschinsky","given":"Andrea"},{"family":"Conrad","given":"Tracey A."}],"issued":{"date-parts":[["2013",6]]}}}],"schema":"https://github.com/citation-style-language/schema/raw/master/csl-citation.json"} </w:instrText>
      </w:r>
      <w:r w:rsidRPr="003A470D">
        <w:rPr>
          <w:rFonts w:cs="Times New Roman"/>
          <w:lang w:val="en-GB"/>
        </w:rPr>
        <w:fldChar w:fldCharType="separate"/>
      </w:r>
      <w:r w:rsidRPr="003A470D">
        <w:rPr>
          <w:rFonts w:cs="Times New Roman"/>
          <w:lang w:val="en-GB"/>
        </w:rPr>
        <w:t>(Hein et al., 2013)</w:t>
      </w:r>
      <w:r w:rsidRPr="003A470D">
        <w:rPr>
          <w:rFonts w:cs="Times New Roman"/>
          <w:lang w:val="en-GB"/>
        </w:rPr>
        <w:fldChar w:fldCharType="end"/>
      </w:r>
      <w:r w:rsidRPr="003A470D">
        <w:rPr>
          <w:rFonts w:cs="Times New Roman"/>
          <w:lang w:val="en-GB"/>
        </w:rPr>
        <w:t xml:space="preserve">. </w:t>
      </w:r>
      <w:r w:rsidRPr="00FD3202">
        <w:rPr>
          <w:lang w:val="en-GB"/>
        </w:rPr>
        <w:t xml:space="preserve">As a hard substrate in the </w:t>
      </w:r>
      <w:r w:rsidR="00D15077">
        <w:rPr>
          <w:lang w:val="en-GB"/>
        </w:rPr>
        <w:t>predominantly</w:t>
      </w:r>
      <w:r w:rsidRPr="00FD3202">
        <w:rPr>
          <w:lang w:val="en-GB"/>
        </w:rPr>
        <w:t xml:space="preserve"> fine sediment </w:t>
      </w:r>
      <w:r w:rsidR="00D15077">
        <w:rPr>
          <w:lang w:val="en-GB"/>
        </w:rPr>
        <w:t xml:space="preserve">environment </w:t>
      </w:r>
      <w:r w:rsidRPr="00FD3202">
        <w:rPr>
          <w:lang w:val="en-GB"/>
        </w:rPr>
        <w:t xml:space="preserve">of the abyssal plains, polymetallic nodules are </w:t>
      </w:r>
      <w:r w:rsidR="0089688D" w:rsidRPr="00FD3202">
        <w:rPr>
          <w:lang w:val="en-GB"/>
        </w:rPr>
        <w:t>an important</w:t>
      </w:r>
      <w:r w:rsidRPr="00FD3202">
        <w:rPr>
          <w:lang w:val="en-GB"/>
        </w:rPr>
        <w:t xml:space="preserve"> component structuring the benthic ecosystem and increasing habitat heterogeneity </w:t>
      </w:r>
      <w:r w:rsidRPr="003A470D">
        <w:rPr>
          <w:rFonts w:cs="Times New Roman"/>
          <w:lang w:val="en-GB"/>
        </w:rPr>
        <w:fldChar w:fldCharType="begin"/>
      </w:r>
      <w:r w:rsidR="00B93285">
        <w:rPr>
          <w:rFonts w:cs="Times New Roman"/>
          <w:lang w:val="en-GB"/>
        </w:rPr>
        <w:instrText xml:space="preserve"> ADDIN ZOTERO_ITEM CSL_CITATION {"citationID":"4Kr2kKZZ","properties":{"formattedCitation":"(Vanreusel et al., 2010, 2016; Simon\\uc0\\u8208{}Lled\\uc0\\u243{} et al., 2019)","plainCitation":"(Vanreusel et al., 2010, 2016; Simon‐Lledó et al., 2019)","noteIndex":0},"citationItems":[{"id":722,"uris":["http://zotero.org/groups/512020/items/8N62HHCX"],"uri":["http://zotero.org/groups/512020/items/8N62HHCX"],"itemData":{"id":722,"type":"article-journal","abstract":"The great variety of geological and hydrological conditions in the deep sea generates many different habitats. Some are only recently explored, although their true extent and geographical coverage are still not fully established. Both continental margins and mid-oceanic seafloors are much more complex ecologically, geologically, chemically and hydrodynamically than originally thought. As a result, fundamental patterns of species distribution first observed and explained in the context of relatively monotonous slopes and abyssal plains must now be re-evaluated in the light of this newly recognized habitat heterogeneity. Based on a global database of nematode genus composition, collected as part of the Census of Marine Life, we show that macrohabitat heterogeneity contributes significantly to total deep-sea nematode diversity on a global scale. Different deep-sea settings harbour specific nematode assemblages. Some of them, like coral rubble zones or nodule areas, are very diverse habitats. Factors such as increased substrate complexity in the case of nodules and corals seem to facilitate the co-existence of a large number of genera with different modes of life, ranging from sediment dwelling to epifaunal. Furthermore, strong biochemical gradients in the case of vents or seeps are responsible for the success of particular genera, which are not prominent in more typical soft sediments. Many nematode deep-sea genera are cosmopolitan, inhabiting a variety of deep-sea habitats and oceans, whereas only 21% of all deep-sea genera recorded are restricted to a single habitat. In addition to habitat heterogeneity, regional differences are important in structuring nematode assemblages. For instance, seeps from different regions yield different genera that thrive on the sulphidic sediments. This study also shows that many areas and habitats remain highly under-sampled, affecting our ability to understand fully the contribution of habitat heterogeneity versus regional differences to global nematode diversity.","call-number":"EP-V30","container-title":"Marine Ecology-an Evolutionary Perspective","DOI":"10.1111/j.1439-0485.2009.00352.x","ISSN":"0173-9565","issue":"1","page":"6-20","title":"The contribution of deep-sea macrohabitat heterogeneity to global nematode diversity","volume":"31","author":[{"family":"Vanreusel","given":"A."},{"family":"Fonseca","given":"G."},{"family":"Danovaro","given":"R."},{"family":"Silva","given":"M. C.","non-dropping-particle":"da"},{"family":"Esteves","given":"A. M."},{"family":"Ferrero","given":"T."},{"family":"Gad","given":"G."},{"family":"Galtsova","given":"V."},{"family":"Gambi","given":"C."},{"family":"Genevois","given":"V. D."},{"family":"Ingels","given":"J."},{"family":"Ingole","given":"B."},{"family":"Lampadariou","given":"N."},{"family":"Merckx","given":"B."},{"family":"Miljutin","given":"D."},{"family":"Miljutina","given":"M."},{"family":"Muthumbi","given":"A."},{"family":"Netto","given":"S."},{"family":"Portnova","given":"D."},{"family":"Radziejewska","given":"T."},{"family":"Raes","given":"M."},{"family":"Tchesunov","given":"A."},{"family":"Vanaverbeke","given":"J."},{"family":"Van Gaever","given":"S."},{"family":"Venekey","given":"V."},{"family":"Bezerra","given":"T. N."},{"family":"Flint","given":"H."},{"family":"Copley","given":"J."},{"family":"Pape","given":"E."},{"family":"Zeppilli","given":"D."},{"family":"Martinez","given":"P. A."},{"family":"Galeron","given":"J."}],"issued":{"date-parts":[["2010"]]}},"label":"page"},{"id":741,"uris":["http://zotero.org/groups/512020/items/5DHCXFTK"],"uri":["http://zotero.org/groups/512020/items/5DHCXFTK"],"itemData":{"id":741,"type":"article-journal","container-title":"Scientific Reports","DOI":"10.1038/srep26808","ISSN":"2045-2322","page":"26808","source":"CrossRef","title":"Threatened by mining, polymetallic nodules are required to preserve abyssal epifauna","volume":"6","author":[{"family":"Vanreusel","given":"Ann"},{"family":"Hilario","given":"Ana"},{"family":"Ribeiro","given":"Pedro A."},{"family":"Menot","given":"Lenaick"},{"family":"Arbizu","given":"Pedro Martínez"}],"issued":{"date-parts":[["2016",6,1]]}},"label":"page"},{"id":1581,"uris":["http://zotero.org/groups/512020/items/ANQLZWD4"],"uri":["http://zotero.org/groups/512020/items/ANQLZWD4"],"itemData":{"id":1581,"type":"article-journal","abstract":"Abyssal polymetallic nodule fields constitute an unusual deep-sea habitat. The mix of soft sediment and the hard substratum provided by nodules increases the complexity of these environments. Hard substrata typically support a very distinct fauna to that of seabed sediments, and its presence can play a major role in the structuring of benthic assemblages. We assessed the influence of seafloor nodule cover on the megabenthos of a marine conservation area (area of particular environmental interest 6) in the Clarion Clipperton Zone (3950–4250 m water depth) using extensive photographic surveys from an autonomous underwater vehicle. Variations in nodule cover (1–20%) appeared to exert statistically significant differences in faunal standing stocks, some biological diversity attributes, faunal composition, functional group composition, and the distribution of individual species. The standing stock of both the metazoan fauna and the giant protists (xenophyophores) doubled with a very modest initial increase in nodule cover (from 1% to 3%). Perhaps contrary to expectation, we detected little if any substantive variation in biological diversity along the nodule cover gradient. Faunal composition varied continuously along the nodule cover gradient. We discuss these results in the context of potential seabed-mining operations and the associated sustainable management and conservation plans. We note in particular that successful conservation actions will likely require the preservation of areas comprising the full range of nodule cover and not just the low cover areas that are least attractive to mining.","container-title":"Limnology and Oceanography","DOI":"10.1002/lno.11157","ISSN":"1939-5590","issue":"5","language":"en","source":"Wiley Online Library","title":"Ecology of a polymetallic nodule occurrence gradient: Implications for deep-sea mining","title-short":"Ecology of a polymetallic nodule occurrence gradient","URL":"https://aslopubs.onlinelibrary.wiley.com/doi/abs/10.1002/lno.11157","volume":"64","author":[{"family":"Simon‐Lledó","given":"Erik"},{"family":"Bett","given":"Brian J."},{"family":"Huvenne","given":"Veerle A. I."},{"family":"Schoening","given":"Timm"},{"family":"Benoist","given":"Noelie M. A."},{"family":"Jones","given":"Daniel O. B."}],"accessed":{"date-parts":[["2019",5,2]]},"issued":{"date-parts":[["2019"]]}},"label":"page"}],"schema":"https://github.com/citation-style-language/schema/raw/master/csl-citation.json"} </w:instrText>
      </w:r>
      <w:r w:rsidRPr="003A470D">
        <w:rPr>
          <w:rFonts w:cs="Times New Roman"/>
          <w:lang w:val="en-GB"/>
        </w:rPr>
        <w:fldChar w:fldCharType="separate"/>
      </w:r>
      <w:r w:rsidR="006A5603" w:rsidRPr="006A5603">
        <w:rPr>
          <w:rFonts w:cs="Times New Roman"/>
          <w:szCs w:val="24"/>
        </w:rPr>
        <w:t>(Vanreusel et al., 2010, 2016; Simon‐Lledó et al., 2019)</w:t>
      </w:r>
      <w:r w:rsidRPr="003A470D">
        <w:rPr>
          <w:rFonts w:cs="Times New Roman"/>
          <w:lang w:val="en-GB"/>
        </w:rPr>
        <w:fldChar w:fldCharType="end"/>
      </w:r>
      <w:r w:rsidRPr="00FD3202">
        <w:rPr>
          <w:lang w:val="en-GB"/>
        </w:rPr>
        <w:t xml:space="preserve">. </w:t>
      </w:r>
      <w:r w:rsidR="0089688D" w:rsidRPr="00FD3202">
        <w:rPr>
          <w:lang w:val="en-GB"/>
        </w:rPr>
        <w:t>S</w:t>
      </w:r>
      <w:r w:rsidRPr="00FD3202">
        <w:rPr>
          <w:lang w:val="en-GB"/>
        </w:rPr>
        <w:t>essile species attach themselves</w:t>
      </w:r>
      <w:r w:rsidR="0089688D" w:rsidRPr="00FD3202">
        <w:rPr>
          <w:lang w:val="en-GB"/>
        </w:rPr>
        <w:t xml:space="preserve"> to nodules,</w:t>
      </w:r>
      <w:r w:rsidRPr="00FD3202">
        <w:rPr>
          <w:lang w:val="en-GB"/>
        </w:rPr>
        <w:t xml:space="preserve"> which in turn support diverse species assemblages with other sessile and mobile organisms </w:t>
      </w:r>
      <w:r w:rsidRPr="00D97ED2">
        <w:rPr>
          <w:rFonts w:cs="Times New Roman"/>
          <w:lang w:val="en-GB"/>
        </w:rPr>
        <w:fldChar w:fldCharType="begin"/>
      </w:r>
      <w:r w:rsidR="00B93285">
        <w:rPr>
          <w:rFonts w:cs="Times New Roman"/>
          <w:lang w:val="en-GB"/>
        </w:rPr>
        <w:instrText xml:space="preserve"> ADDIN ZOTERO_ITEM CSL_CITATION {"citationID":"MwMrNeRn","properties":{"formattedCitation":"(Amon et al., 2016; Simon\\uc0\\u8208{}Lled\\uc0\\u243{} et al., 2019)","plainCitation":"(Amon et al., 2016; Simon‐Lledó et al., 2019)","noteIndex":0},"citationItems":[{"id":734,"uris":["http://zotero.org/groups/512020/items/HVVC9STZ"],"uri":["http://zotero.org/groups/512020/items/HVVC9STZ"],"itemData":{"id":734,"type":"article-journal","call-number":"EP-A","container-title":"Scientific Reports","DOI":"10.1038/srep30492","ISSN":"2045-2322","page":"30492","source":"CrossRef","title":"Insights into the abundance and diversity of abyssal megafauna in a polymetallic-nodule region in the eastern Clarion-Clipperton Zone","volume":"6","author":[{"family":"Amon","given":"Diva J."},{"family":"Ziegler","given":"Amanda F."},{"family":"Dahlgren","given":"Thomas G."},{"family":"Glover","given":"Adrian G."},{"family":"Goineau","given":"Aurélie"},{"family":"Gooday","given":"Andrew J."},{"family":"Wiklund","given":"Helena"},{"family":"Smith","given":"Craig R."}],"issued":{"date-parts":[["2016",7,29]]}},"label":"page"},{"id":1581,"uris":["http://zotero.org/groups/512020/items/ANQLZWD4"],"uri":["http://zotero.org/groups/512020/items/ANQLZWD4"],"itemData":{"id":1581,"type":"article-journal","abstract":"Abyssal polymetallic nodule fields constitute an unusual deep-sea habitat. The mix of soft sediment and the hard substratum provided by nodules increases the complexity of these environments. Hard substrata typically support a very distinct fauna to that of seabed sediments, and its presence can play a major role in the structuring of benthic assemblages. We assessed the influence of seafloor nodule cover on the megabenthos of a marine conservation area (area of particular environmental interest 6) in the Clarion Clipperton Zone (3950–4250 m water depth) using extensive photographic surveys from an autonomous underwater vehicle. Variations in nodule cover (1–20%) appeared to exert statistically significant differences in faunal standing stocks, some biological diversity attributes, faunal composition, functional group composition, and the distribution of individual species. The standing stock of both the metazoan fauna and the giant protists (xenophyophores) doubled with a very modest initial increase in nodule cover (from 1% to 3%). Perhaps contrary to expectation, we detected little if any substantive variation in biological diversity along the nodule cover gradient. Faunal composition varied continuously along the nodule cover gradient. We discuss these results in the context of potential seabed-mining operations and the associated sustainable management and conservation plans. We note in particular that successful conservation actions will likely require the preservation of areas comprising the full range of nodule cover and not just the low cover areas that are least attractive to mining.","container-title":"Limnology and Oceanography","DOI":"10.1002/lno.11157","ISSN":"1939-5590","issue":"5","language":"en","source":"Wiley Online Library","title":"Ecology of a polymetallic nodule occurrence gradient: Implications for deep-sea mining","title-short":"Ecology of a polymetallic nodule occurrence gradient","URL":"https://aslopubs.onlinelibrary.wiley.com/doi/abs/10.1002/lno.11157","volume":"64","author":[{"family":"Simon‐Lledó","given":"Erik"},{"family":"Bett","given":"Brian J."},{"family":"Huvenne","given":"Veerle A. I."},{"family":"Schoening","given":"Timm"},{"family":"Benoist","given":"Noelie M. A."},{"family":"Jones","given":"Daniel O. B."}],"accessed":{"date-parts":[["2019",5,2]]},"issued":{"date-parts":[["2019"]]}},"label":"page"}],"schema":"https://github.com/citation-style-language/schema/raw/master/csl-citation.json"} </w:instrText>
      </w:r>
      <w:r w:rsidRPr="00D97ED2">
        <w:rPr>
          <w:rFonts w:cs="Times New Roman"/>
          <w:lang w:val="en-GB"/>
        </w:rPr>
        <w:fldChar w:fldCharType="separate"/>
      </w:r>
      <w:r w:rsidR="006A5603" w:rsidRPr="006A5603">
        <w:rPr>
          <w:rFonts w:cs="Times New Roman"/>
          <w:szCs w:val="24"/>
        </w:rPr>
        <w:t>(Amon et al., 2016; Simon‐Lledó et al., 2019)</w:t>
      </w:r>
      <w:r w:rsidRPr="00D97ED2">
        <w:rPr>
          <w:rFonts w:cs="Times New Roman"/>
          <w:lang w:val="en-GB"/>
        </w:rPr>
        <w:fldChar w:fldCharType="end"/>
      </w:r>
      <w:r w:rsidRPr="00FD3202">
        <w:rPr>
          <w:lang w:val="en-GB"/>
        </w:rPr>
        <w:t xml:space="preserve">. Consequently, </w:t>
      </w:r>
      <w:r w:rsidR="0089688D" w:rsidRPr="00FD3202">
        <w:rPr>
          <w:lang w:val="en-GB"/>
        </w:rPr>
        <w:t xml:space="preserve">the presence and density of nodules is important in driving </w:t>
      </w:r>
      <w:r w:rsidRPr="00FD3202">
        <w:rPr>
          <w:lang w:val="en-GB"/>
        </w:rPr>
        <w:t xml:space="preserve">the abundance </w:t>
      </w:r>
      <w:r w:rsidR="0089688D" w:rsidRPr="00FD3202">
        <w:rPr>
          <w:lang w:val="en-GB"/>
        </w:rPr>
        <w:t xml:space="preserve">and diversity </w:t>
      </w:r>
      <w:r w:rsidRPr="00FD3202">
        <w:rPr>
          <w:lang w:val="en-GB"/>
        </w:rPr>
        <w:t>of both</w:t>
      </w:r>
      <w:r w:rsidR="0089688D" w:rsidRPr="00FD3202">
        <w:rPr>
          <w:lang w:val="en-GB"/>
        </w:rPr>
        <w:t xml:space="preserve"> </w:t>
      </w:r>
      <w:r w:rsidRPr="00FD3202">
        <w:rPr>
          <w:lang w:val="en-GB"/>
        </w:rPr>
        <w:t xml:space="preserve">mobile and sessile megafauna </w:t>
      </w:r>
      <w:r w:rsidRPr="003A470D">
        <w:rPr>
          <w:rFonts w:cs="Times New Roman"/>
          <w:lang w:val="en-GB"/>
        </w:rPr>
        <w:fldChar w:fldCharType="begin"/>
      </w:r>
      <w:r w:rsidR="00B93285">
        <w:rPr>
          <w:rFonts w:cs="Times New Roman"/>
          <w:lang w:val="en-GB"/>
        </w:rPr>
        <w:instrText xml:space="preserve"> ADDIN ZOTERO_ITEM CSL_CITATION {"citationID":"UNhxdz2X","properties":{"formattedCitation":"(Vanreusel et al., 2016; Simon\\uc0\\u8208{}Lled\\uc0\\u243{} et al., 2019)","plainCitation":"(Vanreusel et al., 2016; Simon‐Lledó et al., 2019)","noteIndex":0},"citationItems":[{"id":741,"uris":["http://zotero.org/groups/512020/items/5DHCXFTK"],"uri":["http://zotero.org/groups/512020/items/5DHCXFTK"],"itemData":{"id":741,"type":"article-journal","container-title":"Scientific Reports","DOI":"10.1038/srep26808","ISSN":"2045-2322","page":"26808","source":"CrossRef","title":"Threatened by mining, polymetallic nodules are required to preserve abyssal epifauna","volume":"6","author":[{"family":"Vanreusel","given":"Ann"},{"family":"Hilario","given":"Ana"},{"family":"Ribeiro","given":"Pedro A."},{"family":"Menot","given":"Lenaick"},{"family":"Arbizu","given":"Pedro Martínez"}],"issued":{"date-parts":[["2016",6,1]]}},"label":"page"},{"id":1581,"uris":["http://zotero.org/groups/512020/items/ANQLZWD4"],"uri":["http://zotero.org/groups/512020/items/ANQLZWD4"],"itemData":{"id":1581,"type":"article-journal","abstract":"Abyssal polymetallic nodule fields constitute an unusual deep-sea habitat. The mix of soft sediment and the hard substratum provided by nodules increases the complexity of these environments. Hard substrata typically support a very distinct fauna to that of seabed sediments, and its presence can play a major role in the structuring of benthic assemblages. We assessed the influence of seafloor nodule cover on the megabenthos of a marine conservation area (area of particular environmental interest 6) in the Clarion Clipperton Zone (3950–4250 m water depth) using extensive photographic surveys from an autonomous underwater vehicle. Variations in nodule cover (1–20%) appeared to exert statistically significant differences in faunal standing stocks, some biological diversity attributes, faunal composition, functional group composition, and the distribution of individual species. The standing stock of both the metazoan fauna and the giant protists (xenophyophores) doubled with a very modest initial increase in nodule cover (from 1% to 3%). Perhaps contrary to expectation, we detected little if any substantive variation in biological diversity along the nodule cover gradient. Faunal composition varied continuously along the nodule cover gradient. We discuss these results in the context of potential seabed-mining operations and the associated sustainable management and conservation plans. We note in particular that successful conservation actions will likely require the preservation of areas comprising the full range of nodule cover and not just the low cover areas that are least attractive to mining.","container-title":"Limnology and Oceanography","DOI":"10.1002/lno.11157","ISSN":"1939-5590","issue":"5","language":"en","source":"Wiley Online Library","title":"Ecology of a polymetallic nodule occurrence gradient: Implications for deep-sea mining","title-short":"Ecology of a polymetallic nodule occurrence gradient","URL":"https://aslopubs.onlinelibrary.wiley.com/doi/abs/10.1002/lno.11157","volume":"64","author":[{"family":"Simon‐Lledó","given":"Erik"},{"family":"Bett","given":"Brian J."},{"family":"Huvenne","given":"Veerle A. I."},{"family":"Schoening","given":"Timm"},{"family":"Benoist","given":"Noelie M. A."},{"family":"Jones","given":"Daniel O. B."}],"accessed":{"date-parts":[["2019",5,2]]},"issued":{"date-parts":[["2019"]]}},"label":"page"}],"schema":"https://github.com/citation-style-language/schema/raw/master/csl-citation.json"} </w:instrText>
      </w:r>
      <w:r w:rsidRPr="003A470D">
        <w:rPr>
          <w:rFonts w:cs="Times New Roman"/>
          <w:lang w:val="en-GB"/>
        </w:rPr>
        <w:fldChar w:fldCharType="separate"/>
      </w:r>
      <w:r w:rsidR="006A5603" w:rsidRPr="006A5603">
        <w:rPr>
          <w:rFonts w:cs="Times New Roman"/>
          <w:szCs w:val="24"/>
        </w:rPr>
        <w:t>(Vanreusel et al., 2016; Simon‐Lledó et al., 2019)</w:t>
      </w:r>
      <w:r w:rsidRPr="003A470D">
        <w:rPr>
          <w:rFonts w:cs="Times New Roman"/>
          <w:lang w:val="en-GB"/>
        </w:rPr>
        <w:fldChar w:fldCharType="end"/>
      </w:r>
      <w:r w:rsidRPr="003A470D">
        <w:rPr>
          <w:rFonts w:cs="Times New Roman"/>
          <w:lang w:val="en-GB"/>
        </w:rPr>
        <w:t>.</w:t>
      </w:r>
    </w:p>
    <w:p w14:paraId="5E6AD57E" w14:textId="47D8A674" w:rsidR="0089204F" w:rsidRDefault="00792F07" w:rsidP="00707EFD">
      <w:pPr>
        <w:rPr>
          <w:lang w:val="en-GB"/>
        </w:rPr>
      </w:pPr>
      <w:r w:rsidRPr="00FD3202">
        <w:rPr>
          <w:lang w:val="en-GB"/>
        </w:rPr>
        <w:t>Direct</w:t>
      </w:r>
      <w:r w:rsidR="00707EFD" w:rsidRPr="00FD3202">
        <w:rPr>
          <w:lang w:val="en-GB"/>
        </w:rPr>
        <w:t xml:space="preserve"> impacts of po</w:t>
      </w:r>
      <w:r w:rsidR="0089204F">
        <w:rPr>
          <w:lang w:val="en-GB"/>
        </w:rPr>
        <w:t>lymetallic nodule mining on benthic communities</w:t>
      </w:r>
      <w:r w:rsidR="00707EFD" w:rsidRPr="00FD3202">
        <w:rPr>
          <w:lang w:val="en-GB"/>
        </w:rPr>
        <w:t xml:space="preserve"> are expected to emerge from the removal of hard substrate and sediment</w:t>
      </w:r>
      <w:r w:rsidRPr="00FD3202">
        <w:rPr>
          <w:lang w:val="en-GB"/>
        </w:rPr>
        <w:t>, while</w:t>
      </w:r>
      <w:r w:rsidR="00707EFD" w:rsidRPr="00FD3202">
        <w:rPr>
          <w:lang w:val="en-GB"/>
        </w:rPr>
        <w:t xml:space="preserve"> indirect </w:t>
      </w:r>
      <w:r w:rsidRPr="00FD3202">
        <w:rPr>
          <w:lang w:val="en-GB"/>
        </w:rPr>
        <w:t xml:space="preserve">impacts are expected to be driven </w:t>
      </w:r>
      <w:r w:rsidR="00707EFD" w:rsidRPr="00FD3202">
        <w:rPr>
          <w:lang w:val="en-GB"/>
        </w:rPr>
        <w:t>by sediment plume</w:t>
      </w:r>
      <w:r w:rsidRPr="00FD3202">
        <w:rPr>
          <w:lang w:val="en-GB"/>
        </w:rPr>
        <w:t xml:space="preserve"> re-depositions</w:t>
      </w:r>
      <w:r w:rsidR="00707EFD" w:rsidRPr="00FD3202">
        <w:rPr>
          <w:lang w:val="en-GB"/>
        </w:rPr>
        <w:t xml:space="preserve"> </w:t>
      </w:r>
      <w:r w:rsidRPr="00FD3202">
        <w:rPr>
          <w:lang w:val="en-GB"/>
        </w:rPr>
        <w:t xml:space="preserve">potentially affecting </w:t>
      </w:r>
      <w:r w:rsidR="00707EFD" w:rsidRPr="00FD3202">
        <w:rPr>
          <w:lang w:val="en-GB"/>
        </w:rPr>
        <w:t xml:space="preserve">large areas </w:t>
      </w:r>
      <w:r w:rsidR="00707EFD" w:rsidRPr="0007593A">
        <w:rPr>
          <w:rFonts w:cs="Times New Roman"/>
          <w:lang w:val="en-GB"/>
        </w:rPr>
        <w:fldChar w:fldCharType="begin"/>
      </w:r>
      <w:r w:rsidR="00BE18D9" w:rsidRPr="0007593A">
        <w:rPr>
          <w:rFonts w:cs="Times New Roman"/>
          <w:lang w:val="en-GB"/>
        </w:rPr>
        <w:instrText xml:space="preserve"> ADDIN ZOTERO_ITEM CSL_CITATION {"citationID":"m1cjf3Fc","properties":{"formattedCitation":"(Oebius et al., 2001; Peukert et al., 2018)","plainCitation":"(Oebius et al., 2001; Peukert et al., 2018)","noteIndex":0},"citationItems":[{"id":498,"uris":["http://zotero.org/groups/512020/items/HU3UGJZQ"],"uri":["http://zotero.org/groups/512020/items/HU3UGJZQ"],"itemData":{"id":498,"type":"article-journal","abstract":"The evaluation of marine environmental impacts resulting from the exploitation of marine resources requires the numerical description, parametrization, and modelling of such processes in order to be able to transfer, compare, and forecast the effects of anthropogenic activities in the deep sea. One of the controversial effects is the formation and behaviour of sediment clouds as a consequence of anthropogenic activities on the seafloor. Since there is a need for reliable data, two subprojects of the “Interdisciplinary Deep-sea Environmental Protection Group (TUSCH)”-project “Impacts from Technical Activities on the Deep-Sea Ecosystem of the South East Pacific Offshore Peru (ATESEPP)” were devoted to the assembly of such data. Based on the German technical approach for deep-sea mining, the possible environmental impacts by a miner were estimated, the impacts on the seafloor were simulated and investigated by tests with large volume undisturbed sediment samples on board the research vessel and in the laboratory, and the results were evaluated and extrapolated. This report gives a comprehensive presentation of the physical problems, the technical approach, and the results of these investigations.","call-number":"EP-O24","container-title":"Deep Sea Research Part II: Topical Studies in Oceanography","DOI":"10.1016/S0967-0645(01)00052-2","ISSN":"0967-0645","issue":"17–18","journalAbbreviation":"Deep Sea Research Part II: Topical Studies in Oceanography","page":"3453-3467","source":"ScienceDirect","title":"Parametrization and evaluation of marine environmental impacts produced by deep-sea manganese nodule mining","volume":"48","author":[{"family":"Oebius","given":"Horst U"},{"family":"Becker","given":"Hermann J"},{"family":"Rolinski","given":"Susanne"},{"family":"Jankowski","given":"Jacek A"}],"issued":{"date-parts":[["2001"]]}},"label":"page"},{"id":673,"uris":["http://zotero.org/groups/512020/items/XD4P5VWE"],"uri":["http://zotero.org/groups/512020/items/XD4P5VWE"],"itemData":{"id":673,"type":"article-journal","abstract":"In this study, ship- and autonomous underwater vehicle (AUV)-based multibeam data from the German ferromanganese-nodule (Mn-nodule) license area in the Clarion–Clipperton Zone (CCZ; eastern Paciﬁc) are linked to ground-truth data from optical imaging. Photographs obtained by an AUV enable semi-quantitative assessments of nodule coverage at a spatial resolution in the range of meters. Together with high-resolution AUV bathymetry, this revealed a correlation of small-scale terrain variations ( &lt; 5 m horizontally, &lt; 1 m vertically) with nodule coverage. In the presented data set, increased nodule coverage could be correlated with slopes &gt; 1.8◦ and concave terrain. On a more regional scale, factors such as the geological setting (existence of horst and graben structures, sediment thickness, outcropping basement) and inﬂuence of bottom currents seem to play an essential role for the spatial variation of nodule coverage and the related hard substrate habitat.","container-title":"Biogeosciences","DOI":"10.5194/bg-15-2525-2018","ISSN":"1726-4189","issue":"8","language":"en","page":"2525-2549","source":"Crossref","title":"Understanding Mn-nodule distribution and evaluation of related deep-sea mining impacts using AUV-based hydroacoustic and optical data","volume":"15","author":[{"family":"Peukert","given":"Anne"},{"family":"Schoening","given":"Timm"},{"family":"Alevizos","given":"Evangelos"},{"family":"Köser","given":"Kevin"},{"family":"Kwasnitschka","given":"Tom"},{"family":"Greinert","given":"Jens"}],"issued":{"date-parts":[["2018",4,27]]}},"label":"page"}],"schema":"https://github.com/citation-style-language/schema/raw/master/csl-citation.json"} </w:instrText>
      </w:r>
      <w:r w:rsidR="00707EFD" w:rsidRPr="0007593A">
        <w:rPr>
          <w:rFonts w:cs="Times New Roman"/>
          <w:lang w:val="en-GB"/>
        </w:rPr>
        <w:fldChar w:fldCharType="separate"/>
      </w:r>
      <w:r w:rsidR="00BE18D9" w:rsidRPr="0007593A">
        <w:rPr>
          <w:rFonts w:cs="Times New Roman"/>
        </w:rPr>
        <w:t>(Oebius et al., 2001; Peukert et al., 2018)</w:t>
      </w:r>
      <w:r w:rsidR="00707EFD" w:rsidRPr="0007593A">
        <w:rPr>
          <w:rFonts w:cs="Times New Roman"/>
          <w:lang w:val="en-GB"/>
        </w:rPr>
        <w:fldChar w:fldCharType="end"/>
      </w:r>
      <w:r w:rsidR="00707EFD" w:rsidRPr="00FD3202">
        <w:rPr>
          <w:lang w:val="en-GB"/>
        </w:rPr>
        <w:t>. Considering that nodule re-growth is unlikely within the next millennia and the growth of many deep-sea taxa</w:t>
      </w:r>
      <w:r w:rsidR="00286C29" w:rsidRPr="00FD3202">
        <w:rPr>
          <w:lang w:val="en-GB"/>
        </w:rPr>
        <w:t xml:space="preserve"> is slow</w:t>
      </w:r>
      <w:r w:rsidR="00707EFD" w:rsidRPr="00FD3202">
        <w:rPr>
          <w:lang w:val="en-GB"/>
        </w:rPr>
        <w:t xml:space="preserve">, recovery of disturbed nodule </w:t>
      </w:r>
      <w:r w:rsidR="00B73220">
        <w:rPr>
          <w:lang w:val="en-GB"/>
        </w:rPr>
        <w:t>fields</w:t>
      </w:r>
      <w:r w:rsidR="00707EFD" w:rsidRPr="00FD3202">
        <w:rPr>
          <w:lang w:val="en-GB"/>
        </w:rPr>
        <w:t xml:space="preserve"> is expected to </w:t>
      </w:r>
      <w:r w:rsidR="00286C29" w:rsidRPr="00FD3202">
        <w:rPr>
          <w:lang w:val="en-GB"/>
        </w:rPr>
        <w:t xml:space="preserve">take a long time </w:t>
      </w:r>
      <w:r w:rsidR="00707EFD" w:rsidRPr="00FD3202">
        <w:rPr>
          <w:lang w:val="en-GB"/>
        </w:rPr>
        <w:t xml:space="preserve">and </w:t>
      </w:r>
      <w:r w:rsidR="00D15077">
        <w:rPr>
          <w:lang w:val="en-GB"/>
        </w:rPr>
        <w:t>lead to altered community structure</w:t>
      </w:r>
      <w:r w:rsidR="00286C29" w:rsidRPr="00FD3202">
        <w:rPr>
          <w:lang w:val="en-GB"/>
        </w:rPr>
        <w:t xml:space="preserve"> </w:t>
      </w:r>
      <w:r w:rsidR="00707EFD" w:rsidRPr="0007593A">
        <w:rPr>
          <w:rFonts w:cs="Times New Roman"/>
          <w:lang w:val="en-GB"/>
        </w:rPr>
        <w:fldChar w:fldCharType="begin"/>
      </w:r>
      <w:r w:rsidR="00374BE8">
        <w:rPr>
          <w:rFonts w:cs="Times New Roman"/>
          <w:lang w:val="en-GB"/>
        </w:rPr>
        <w:instrText xml:space="preserve"> ADDIN ZOTERO_ITEM CSL_CITATION {"citationID":"5YevJTzO","properties":{"formattedCitation":"(Gollner et al., 2017; Jones et al., 2017)","plainCitation":"(Gollner et al., 2017; Jones et al., 2017)","noteIndex":0},"citationItems":[{"id":587,"uris":["http://zotero.org/groups/512020/items/55FZ3V2W"],"uri":["http://zotero.org/groups/512020/items/55FZ3V2W"],"itemData":{"id":587,"type":"article-journal","abstract":"With increasing demand for mineral resources, extraction of polymetallic sulphides at hydrothermal vents, cobalt-rich ferromanganese crusts at seamounts, and polymetallic nodules on abyssal plains may be imminent. Here, we shortly introduce ecosystem characteristics of mining areas, report on recent mining developments, and identify potential stress and disturbances created by mining. We analyze species’ potential resistance to future mining and perform meta-analyses on population density and diversity recovery after disturbances most similar to mining: volcanic eruptions at vents, fisheries on seamounts, and experiments that mimic nodule mining on abyssal plains. We report wide variation in recovery rates among taxa, size, and mobility of fauna. While densities and diversities of some taxa can recover to or even exceed pre-disturbance levels, community composition remains affected after decades. The loss of hard substrata or alteration of substrata composition may cause substantial community shifts that persist over geological timescales at mined sites.","container-title":"Marine Environmental Research","DOI":"10.1016/j.marenvres.2017.04.010","ISSN":"0141-1136","journalAbbreviation":"Marine Environmental Research","source":"ScienceDirect","title":"Resilience of benthic deep-sea fauna to mining activities","URL":"http://www.sciencedirect.com/science/article/pii/S0141113617302441","author":[{"family":"Gollner","given":"Sabine"},{"family":"Kaiser","given":"Stefanie"},{"family":"Menzel","given":"Lena"},{"family":"Jones","given":"Daniel O. B."},{"family":"Brown","given":"Alastair"},{"family":"Mestre","given":"Nelia C."},{"family":"Oevelen","given":"Dick","non-dropping-particle":"van"},{"family":"Menot","given":"Lenaick"},{"family":"Colaço","given":"Ana"},{"family":"Canals","given":"Miquel"},{"family":"Cuvelier","given":"Daphne"},{"family":"Durden","given":"Jennifer M."},{"family":"Gebruk","given":"Andrey"},{"family":"Egho","given":"Great A."},{"family":"Haeckel","given":"Matthias"},{"family":"Marcon","given":"Yann"},{"family":"Mevenkamp","given":"Lisa"},{"family":"Morato","given":"Telmo"},{"family":"Pham","given":"Christopher K."},{"family":"Purser","given":"Autun"},{"family":"Sanchez-Vidal","given":"Anna"},{"family":"Vanreusel","given":"Ann"},{"family":"Vink","given":"Annemiek"},{"family":"Martinez Arbizu","given":"Pedro"}],"accessed":{"date-parts":[["2017",7,3]]},"issued":{"date-parts":[["2017"]]}},"label":"page"},{"id":"ZQeM7Wy2/omLKv8bU","uris":["http://zotero.org/users/1851394/items/DBJJIPQQ"],"uri":["http://zotero.org/users/1851394/items/DBJJIPQQ"],"itemData":{"id":"46g7rjKF/FHkgFypc","type":"article-journal","title":"Biological responses to disturbance from simulated deep-sea polymetallic nodule mining","container-title":"PLOS ONE","page":"e0171750","volume":"12","issue":"2","source":"PLoS Journals","abstract":"Commercial-scale mining for polymetallic nodules could have a major impact on the deep-sea environment, but the effects of these mining activities on deep-sea ecosystems are very poorly known. The first commercial test mining for polymetallic nodules was carried out in 1970. Since then a number of small-scale commercial test mining or scientific disturbance studies have been carried out. Here we evaluate changes in faunal densities and diversity of benthic communities measured in response to these 11 simulated or test nodule mining disturbances using meta-analysis techniques. We find that impacts are often severe immediately after mining, with major negative changes in density and diversity of most groups occurring. However, in some cases, the mobile fauna and small-sized fauna experienced less negative impacts over the longer term. At seven sites in the Pacific, multiple surveys assessed recovery in fauna over periods of up to 26 years. Almost all studies show some recovery in faunal density and diversity for meiofauna and mobile megafauna, often within one year. However, very few faunal groups return to baseline or control conditions after two decades. The effects of polymetallic nodule mining are likely to be long term. Our analyses show considerable negative biological effects of seafloor nodule mining, even at the small scale of test mining experiments, although there is variation in sensitivity amongst organisms of different sizes and functional groups, which have important implications for ecosystem responses. Unfortunately, many past studies have limitations that reduce their effectiveness in determining responses. We provide recommendations to improve future mining impact test studies. Further research to assess the effects of test-mining activities will inform ways to improve mining practices and guide effective environmental management of mining activities.","DOI":"10.1371/journal.pone.0171750","ISSN":"1932-6203","journalAbbreviation":"PLOS ONE","author":[{"family":"Jones","given":"Daniel O. B."},{"family":"Kaiser","given":"Stefanie"},{"family":"Sweetman","given":"Andrew K."},{"family":"Smith","given":"Craig R."},{"family":"Menot","given":"Lenaick"},{"family":"Vink","given":"Annemiek"},{"family":"Trueblood","given":"Dwight"},{"family":"Greinert","given":"Jens"},{"family":"Billett","given":"David S. M."},{"family":"Arbizu","given":"Pedro Martinez"},{"family":"Radziejewska","given":"Teresa"},{"family":"Singh","given":"Ravail"},{"family":"Ingole","given":"Baban"},{"family":"Stratmann","given":"Tanja"},{"family":"Simon-Lledó","given":"Erik"},{"family":"Durden","given":"Jennifer M."},{"family":"Clark","given":"Malcolm R."}],"issued":{"date-parts":[["2017",2,8]]}}}],"schema":"https://github.com/citation-style-language/schema/raw/master/csl-citation.json"} </w:instrText>
      </w:r>
      <w:r w:rsidR="00707EFD" w:rsidRPr="0007593A">
        <w:rPr>
          <w:rFonts w:cs="Times New Roman"/>
          <w:lang w:val="en-GB"/>
        </w:rPr>
        <w:fldChar w:fldCharType="separate"/>
      </w:r>
      <w:r w:rsidR="00A36890" w:rsidRPr="00A36890">
        <w:rPr>
          <w:rFonts w:cs="Times New Roman"/>
        </w:rPr>
        <w:t>(Gollner et al., 2017; Jones et al., 2017)</w:t>
      </w:r>
      <w:r w:rsidR="00707EFD" w:rsidRPr="0007593A">
        <w:rPr>
          <w:rFonts w:cs="Times New Roman"/>
          <w:lang w:val="en-GB"/>
        </w:rPr>
        <w:fldChar w:fldCharType="end"/>
      </w:r>
      <w:r w:rsidR="00707EFD" w:rsidRPr="00FD3202">
        <w:rPr>
          <w:lang w:val="en-GB"/>
        </w:rPr>
        <w:t xml:space="preserve">. </w:t>
      </w:r>
      <w:r w:rsidR="00286C29" w:rsidRPr="00FD3202">
        <w:rPr>
          <w:lang w:val="en-GB"/>
        </w:rPr>
        <w:t xml:space="preserve">Our knowledge </w:t>
      </w:r>
      <w:r w:rsidR="00D15077">
        <w:rPr>
          <w:lang w:val="en-GB"/>
        </w:rPr>
        <w:t>of</w:t>
      </w:r>
      <w:r w:rsidR="00496023">
        <w:rPr>
          <w:lang w:val="en-GB"/>
        </w:rPr>
        <w:t xml:space="preserve"> recovery is rudimentary and</w:t>
      </w:r>
      <w:r w:rsidR="00286C29" w:rsidRPr="00FD3202">
        <w:rPr>
          <w:lang w:val="en-GB"/>
        </w:rPr>
        <w:t xml:space="preserve"> m</w:t>
      </w:r>
      <w:r w:rsidR="00707EFD" w:rsidRPr="00FD3202">
        <w:rPr>
          <w:lang w:val="en-GB"/>
        </w:rPr>
        <w:t xml:space="preserve">ost </w:t>
      </w:r>
      <w:r w:rsidR="00286C29" w:rsidRPr="00FD3202">
        <w:rPr>
          <w:lang w:val="en-GB"/>
        </w:rPr>
        <w:t xml:space="preserve">past </w:t>
      </w:r>
      <w:r w:rsidR="00707EFD" w:rsidRPr="00FD3202">
        <w:rPr>
          <w:lang w:val="en-GB"/>
        </w:rPr>
        <w:t>studies on the recovery of fauna from polymetallic nodule fields are based on relatively small-scale experiments that focused only on some aspects of the benth</w:t>
      </w:r>
      <w:r w:rsidR="00286C29" w:rsidRPr="00FD3202">
        <w:rPr>
          <w:lang w:val="en-GB"/>
        </w:rPr>
        <w:t xml:space="preserve">os </w:t>
      </w:r>
      <w:r w:rsidR="00707EFD" w:rsidRPr="00240991">
        <w:rPr>
          <w:rFonts w:cs="Times New Roman"/>
          <w:lang w:val="en-GB"/>
        </w:rPr>
        <w:fldChar w:fldCharType="begin"/>
      </w:r>
      <w:r w:rsidR="00374BE8">
        <w:rPr>
          <w:rFonts w:cs="Times New Roman"/>
          <w:lang w:val="en-GB"/>
        </w:rPr>
        <w:instrText xml:space="preserve"> ADDIN ZOTERO_ITEM CSL_CITATION {"citationID":"ah7d7q6sri","properties":{"formattedCitation":"(Jones et al., 2017)","plainCitation":"(Jones et al., 2017)","noteIndex":0},"citationItems":[{"id":"ZQeM7Wy2/omLKv8bU","uris":["http://zotero.org/users/1851394/items/DBJJIPQQ"],"uri":["http://zotero.org/users/1851394/items/DBJJIPQQ"],"itemData":{"id":1496,"type":"article-journal","title":"Biological responses to disturbance from simulated deep-sea polymetallic nodule mining","container-title":"PLOS ONE","page":"e0171750","volume":"12","issue":"2","source":"PLoS Journals","abstract":"Commercial-scale mining for polymetallic nodules could have a major impact on the deep-sea environment, but the effects of these mining activities on deep-sea ecosystems are very poorly known. The first commercial test mining for polymetallic nodules was carried out in 1970. Since then a number of small-scale commercial test mining or scientific disturbance studies have been carried out. Here we evaluate changes in faunal densities and diversity of benthic communities measured in response to these 11 simulated or test nodule mining disturbances using meta-analysis techniques. We find that impacts are often severe immediately after mining, with major negative changes in density and diversity of most groups occurring. However, in some cases, the mobile fauna and small-sized fauna experienced less negative impacts over the longer term. At seven sites in the Pacific, multiple surveys assessed recovery in fauna over periods of up to 26 years. Almost all studies show some recovery in faunal density and diversity for meiofauna and mobile megafauna, often within one year. However, very few faunal groups return to baseline or control conditions after two decades. The effects of polymetallic nodule mining are likely to be long term. Our analyses show considerable negative biological effects of seafloor nodule mining, even at the small scale of test mining experiments, although there is variation in sensitivity amongst organisms of different sizes and functional groups, which have important implications for ecosystem responses. Unfortunately, many past studies have limitations that reduce their effectiveness in determining responses. We provide recommendations to improve future mining impact test studies. Further research to assess the effects of test-mining activities will inform ways to improve mining practices and guide effective environmental management of mining activities.","DOI":"10.1371/journal.pone.0171750","ISSN":"1932-6203","journalAbbreviation":"PLOS ONE","author":[{"family":"Jones","given":"Daniel O. B."},{"family":"Kaiser","given":"Stefanie"},{"family":"Sweetman","given":"Andrew K."},{"family":"Smith","given":"Craig R."},{"family":"Menot","given":"Lenaick"},{"family":"Vink","given":"Annemiek"},{"family":"Trueblood","given":"Dwight"},{"family":"Greinert","given":"Jens"},{"family":"Billett","given":"David S. M."},{"family":"Arbizu","given":"Pedro Martinez"},{"family":"Radziejewska","given":"Teresa"},{"family":"Singh","given":"Ravail"},{"family":"Ingole","given":"Baban"},{"family":"Stratmann","given":"Tanja"},{"family":"Simon-Lledó","given":"Erik"},{"family":"Durden","given":"Jennifer M."},{"family":"Clark","given":"Malcolm R."}],"issued":{"date-parts":[["2017",2,8]]}}}],"schema":"https://github.com/citation-style-language/schema/raw/master/csl-citation.json"} </w:instrText>
      </w:r>
      <w:r w:rsidR="00707EFD" w:rsidRPr="00240991">
        <w:rPr>
          <w:rFonts w:cs="Times New Roman"/>
          <w:lang w:val="en-GB"/>
        </w:rPr>
        <w:fldChar w:fldCharType="separate"/>
      </w:r>
      <w:r w:rsidR="00A36890" w:rsidRPr="00A36890">
        <w:rPr>
          <w:rFonts w:cs="Times New Roman"/>
        </w:rPr>
        <w:t>(Jones et al., 2017)</w:t>
      </w:r>
      <w:r w:rsidR="00707EFD" w:rsidRPr="00240991">
        <w:rPr>
          <w:rFonts w:cs="Times New Roman"/>
          <w:lang w:val="en-GB"/>
        </w:rPr>
        <w:fldChar w:fldCharType="end"/>
      </w:r>
      <w:r w:rsidR="0089204F">
        <w:rPr>
          <w:lang w:val="en-GB"/>
        </w:rPr>
        <w:t>.</w:t>
      </w:r>
    </w:p>
    <w:p w14:paraId="39A4180F" w14:textId="038111B2" w:rsidR="0089204F" w:rsidRPr="00FD3202" w:rsidRDefault="0089204F" w:rsidP="0089204F">
      <w:pPr>
        <w:rPr>
          <w:lang w:val="en-GB"/>
        </w:rPr>
      </w:pPr>
      <w:r>
        <w:rPr>
          <w:lang w:val="en-GB"/>
        </w:rPr>
        <w:t xml:space="preserve">With limited </w:t>
      </w:r>
      <w:r w:rsidR="00581413">
        <w:rPr>
          <w:lang w:val="en-GB"/>
        </w:rPr>
        <w:t xml:space="preserve">existing </w:t>
      </w:r>
      <w:r>
        <w:rPr>
          <w:lang w:val="en-GB"/>
        </w:rPr>
        <w:t>information</w:t>
      </w:r>
      <w:r w:rsidRPr="00FD3202">
        <w:rPr>
          <w:lang w:val="en-GB"/>
        </w:rPr>
        <w:t xml:space="preserve">, </w:t>
      </w:r>
      <w:r>
        <w:rPr>
          <w:lang w:val="en-GB"/>
        </w:rPr>
        <w:t>thorough</w:t>
      </w:r>
      <w:r w:rsidRPr="00FD3202">
        <w:rPr>
          <w:lang w:val="en-GB"/>
        </w:rPr>
        <w:t xml:space="preserve"> environmental baseline </w:t>
      </w:r>
      <w:r>
        <w:rPr>
          <w:lang w:val="en-GB"/>
        </w:rPr>
        <w:t xml:space="preserve">data for potential exploitation areas and the wider </w:t>
      </w:r>
      <w:r w:rsidRPr="00FD3202">
        <w:rPr>
          <w:lang w:val="en-GB"/>
        </w:rPr>
        <w:t xml:space="preserve">CCZ </w:t>
      </w:r>
      <w:r>
        <w:rPr>
          <w:lang w:val="en-GB"/>
        </w:rPr>
        <w:t xml:space="preserve">are </w:t>
      </w:r>
      <w:r w:rsidRPr="00FD3202">
        <w:rPr>
          <w:lang w:val="en-GB"/>
        </w:rPr>
        <w:t xml:space="preserve">urgently needed </w:t>
      </w:r>
      <w:r w:rsidRPr="00240991">
        <w:rPr>
          <w:rFonts w:cs="Times New Roman"/>
          <w:lang w:val="en-GB"/>
        </w:rPr>
        <w:fldChar w:fldCharType="begin"/>
      </w:r>
      <w:r w:rsidR="00374BE8">
        <w:rPr>
          <w:rFonts w:cs="Times New Roman"/>
          <w:lang w:val="en-GB"/>
        </w:rPr>
        <w:instrText xml:space="preserve"> ADDIN ZOTERO_ITEM CSL_CITATION {"citationID":"a21pgpf6jh5","properties":{"formattedCitation":"(Durden et al., 2017)","plainCitation":"(Durden et al., 2017)","noteIndex":0},"citationItems":[{"id":"ZQeM7Wy2/3T8ye6uJ","uris":["http://zotero.org/users/1851394/items/54SN3RMI"],"uri":["http://zotero.org/users/1851394/items/54SN3RMI"],"itemData":{"id":4251,"type":"article-journal","title":"A procedural framework for robust environmental management of deep-sea mining projects using a conceptual model","container-title":"Marine Policy","page":"193-201","volume":"84","source":"ScienceDirect","abstract":"Robust environmental management of deep-sea mining projects must be integrated into the planning and execution of mining operations, and developed concurrently. It should follow a framework indicating the environmental management-related activities necessary at each project phase, and their interrelationships. An environmental management framework with this purpose is presented in this paper; it facilitates the development of environmental information and decision-making throughout the phases of a mining project. It is based environmental management frameworks used in allied industries, but adjusted for unique characteristics of deep-sea mining. It defines the gathering and synthesis of information and its use in decision-making, and employs a conceptual model as a growing repository of claim-specific information. The environmental management activities at each phase have been designed to enable the implementation of the precautionary approach in decision making, while facilitating review of adaptive management measures to improve environmental management as the quantity and quality of data increases and technologies are honed. This framework will ensure fairness and uniformity in the application of environmental standards, assist the regulator in its requirements to protect the environment, and benefit contractors and financiers by reducing uncertainty in the process.","DOI":"10.1016/j.marpol.2017.07.002","ISSN":"0308-597X","journalAbbreviation":"Marine Policy","author":[{"family":"Durden","given":"Jennifer M."},{"family":"Murphy","given":"Kevin"},{"family":"Jaeckel","given":"Aline"},{"family":"Van Dover","given":"Cindy L."},{"family":"Christiansen","given":"Sabine"},{"family":"Gjerde","given":"Kristina"},{"family":"Ortega","given":"Aleyda"},{"family":"Jones","given":"Daniel O. B."}],"issued":{"date-parts":[["2017",10,1]]}}}],"schema":"https://github.com/citation-style-language/schema/raw/master/csl-citation.json"} </w:instrText>
      </w:r>
      <w:r w:rsidRPr="00240991">
        <w:rPr>
          <w:rFonts w:cs="Times New Roman"/>
          <w:lang w:val="en-GB"/>
        </w:rPr>
        <w:fldChar w:fldCharType="separate"/>
      </w:r>
      <w:r w:rsidRPr="00240991">
        <w:rPr>
          <w:rFonts w:cs="Times New Roman"/>
          <w:lang w:val="en-GB"/>
        </w:rPr>
        <w:t>(Durden et al., 2017)</w:t>
      </w:r>
      <w:r w:rsidRPr="00240991">
        <w:rPr>
          <w:rFonts w:cs="Times New Roman"/>
          <w:lang w:val="en-GB"/>
        </w:rPr>
        <w:fldChar w:fldCharType="end"/>
      </w:r>
      <w:r>
        <w:rPr>
          <w:lang w:val="en-GB"/>
        </w:rPr>
        <w:t>. These data will help assess any impact of a realistic mining scenario and to develop a good environmental management and monitoring plan, as required by the</w:t>
      </w:r>
      <w:r w:rsidRPr="00FD3202">
        <w:rPr>
          <w:lang w:val="en-GB"/>
        </w:rPr>
        <w:t xml:space="preserve"> International Seabed Authority (ISA)</w:t>
      </w:r>
      <w:r>
        <w:rPr>
          <w:lang w:val="en-GB"/>
        </w:rPr>
        <w:t xml:space="preserve">. </w:t>
      </w:r>
      <w:r w:rsidR="00B73220">
        <w:rPr>
          <w:lang w:val="en-GB"/>
        </w:rPr>
        <w:t>As of today, t</w:t>
      </w:r>
      <w:r>
        <w:rPr>
          <w:lang w:val="en-GB"/>
        </w:rPr>
        <w:t xml:space="preserve">he ISA </w:t>
      </w:r>
      <w:r w:rsidRPr="00FD3202">
        <w:rPr>
          <w:lang w:val="en-GB"/>
        </w:rPr>
        <w:t xml:space="preserve">has issued </w:t>
      </w:r>
      <w:r w:rsidR="00BA4C35">
        <w:rPr>
          <w:lang w:val="en-GB"/>
        </w:rPr>
        <w:t>eight</w:t>
      </w:r>
      <w:r w:rsidR="00BA4C35" w:rsidRPr="00FD3202">
        <w:rPr>
          <w:lang w:val="en-GB"/>
        </w:rPr>
        <w:t>een</w:t>
      </w:r>
      <w:r w:rsidRPr="00FD3202">
        <w:rPr>
          <w:lang w:val="en-GB"/>
        </w:rPr>
        <w:t xml:space="preserve"> </w:t>
      </w:r>
      <w:r>
        <w:rPr>
          <w:lang w:val="en-GB"/>
        </w:rPr>
        <w:t>fifteen</w:t>
      </w:r>
      <w:r w:rsidR="00216B28">
        <w:rPr>
          <w:lang w:val="en-GB"/>
        </w:rPr>
        <w:t>-</w:t>
      </w:r>
      <w:r w:rsidRPr="00FD3202">
        <w:rPr>
          <w:lang w:val="en-GB"/>
        </w:rPr>
        <w:t>year</w:t>
      </w:r>
      <w:r w:rsidR="00216B28">
        <w:rPr>
          <w:lang w:val="en-GB"/>
        </w:rPr>
        <w:t xml:space="preserve"> long</w:t>
      </w:r>
      <w:r w:rsidRPr="00FD3202">
        <w:rPr>
          <w:lang w:val="en-GB"/>
        </w:rPr>
        <w:t xml:space="preserve"> contracts for the exploration of polymetallic nodules in the CCZ (</w:t>
      </w:r>
      <w:hyperlink r:id="rId16" w:history="1">
        <w:r w:rsidR="00B73220" w:rsidRPr="00BC47A1">
          <w:rPr>
            <w:rStyle w:val="Hyperlink"/>
            <w:lang w:val="en-GB"/>
          </w:rPr>
          <w:t>www.isa.org.jm</w:t>
        </w:r>
      </w:hyperlink>
      <w:r w:rsidR="00B73220">
        <w:rPr>
          <w:lang w:val="en-GB"/>
        </w:rPr>
        <w:t>; accessed 30.06.2020</w:t>
      </w:r>
      <w:r w:rsidRPr="00FD3202">
        <w:rPr>
          <w:lang w:val="en-GB"/>
        </w:rPr>
        <w:t xml:space="preserve">), each for an area of approximately 75,000 km². One of the contractors is the Belgian </w:t>
      </w:r>
      <w:r w:rsidRPr="00FD3202">
        <w:rPr>
          <w:lang w:val="en-GB"/>
        </w:rPr>
        <w:lastRenderedPageBreak/>
        <w:t xml:space="preserve">company Global Sea Mineral Resources (GSR), which holds a </w:t>
      </w:r>
      <w:r w:rsidR="00B73220">
        <w:rPr>
          <w:lang w:val="en-GB"/>
        </w:rPr>
        <w:t>contract</w:t>
      </w:r>
      <w:r w:rsidRPr="00FD3202">
        <w:rPr>
          <w:lang w:val="en-GB"/>
        </w:rPr>
        <w:t xml:space="preserve"> area in the </w:t>
      </w:r>
      <w:r>
        <w:rPr>
          <w:lang w:val="en-GB"/>
        </w:rPr>
        <w:t>e</w:t>
      </w:r>
      <w:r w:rsidRPr="00FD3202">
        <w:rPr>
          <w:lang w:val="en-GB"/>
        </w:rPr>
        <w:t xml:space="preserve">astern part of the CCZ. In accordance with the ISA </w:t>
      </w:r>
      <w:r w:rsidR="00487F89">
        <w:rPr>
          <w:lang w:val="en-GB"/>
        </w:rPr>
        <w:t>recommendations</w:t>
      </w:r>
      <w:r w:rsidRPr="00FD3202">
        <w:rPr>
          <w:lang w:val="en-GB"/>
        </w:rPr>
        <w:t xml:space="preserve"> for exploration </w:t>
      </w:r>
      <w:r w:rsidRPr="00A87FA5">
        <w:rPr>
          <w:rFonts w:cs="Times New Roman"/>
          <w:lang w:val="en-GB"/>
        </w:rPr>
        <w:fldChar w:fldCharType="begin"/>
      </w:r>
      <w:r w:rsidR="00487F89">
        <w:rPr>
          <w:rFonts w:cs="Times New Roman"/>
          <w:lang w:val="en-GB"/>
        </w:rPr>
        <w:instrText xml:space="preserve"> ADDIN ZOTERO_ITEM CSL_CITATION {"citationID":"h8Dm7UTZ","properties":{"formattedCitation":"(International Seabed Authority, 2019)","plainCitation":"(International Seabed Authority, 2019)","noteIndex":0},"citationItems":[{"id":2011,"uris":["http://zotero.org/users/2924329/items/5KAWJGD7"],"uri":["http://zotero.org/users/2924329/items/5KAWJGD7"],"itemData":{"id":2011,"type":"article","title":"ISBA/25/LTC/8 Recommendations for the guidance of contractors for the assessment of the possible environmental impacts arising from exploration for marine minerals in the Area.","author":[{"family":"International Seabed Authority","given":""}],"issued":{"date-parts":[["2019"]]}}}],"schema":"https://github.com/citation-style-language/schema/raw/master/csl-citation.json"} </w:instrText>
      </w:r>
      <w:r w:rsidRPr="00A87FA5">
        <w:rPr>
          <w:rFonts w:cs="Times New Roman"/>
          <w:lang w:val="en-GB"/>
        </w:rPr>
        <w:fldChar w:fldCharType="separate"/>
      </w:r>
      <w:r w:rsidR="00487F89" w:rsidRPr="00487F89">
        <w:rPr>
          <w:rFonts w:cs="Times New Roman"/>
        </w:rPr>
        <w:t>(International Seabed Authority, 2019)</w:t>
      </w:r>
      <w:r w:rsidRPr="00A87FA5">
        <w:rPr>
          <w:rFonts w:cs="Times New Roman"/>
          <w:lang w:val="en-GB"/>
        </w:rPr>
        <w:fldChar w:fldCharType="end"/>
      </w:r>
      <w:r w:rsidRPr="00FD3202">
        <w:rPr>
          <w:lang w:val="en-GB"/>
        </w:rPr>
        <w:t xml:space="preserve">, GSR has </w:t>
      </w:r>
      <w:r w:rsidR="002901E4">
        <w:rPr>
          <w:lang w:val="en-GB"/>
        </w:rPr>
        <w:t xml:space="preserve">sampled its contract area to establish </w:t>
      </w:r>
      <w:r w:rsidRPr="00FD3202">
        <w:rPr>
          <w:lang w:val="en-GB"/>
        </w:rPr>
        <w:t xml:space="preserve">the environmental baseline. </w:t>
      </w:r>
    </w:p>
    <w:p w14:paraId="532731C9" w14:textId="31373F7A" w:rsidR="00F14AE0" w:rsidRPr="00447FA6" w:rsidRDefault="0089204F" w:rsidP="00707EFD">
      <w:pPr>
        <w:rPr>
          <w:lang w:val="nl-BE"/>
        </w:rPr>
      </w:pPr>
      <w:r w:rsidRPr="00FD3202">
        <w:rPr>
          <w:lang w:val="en-GB"/>
        </w:rPr>
        <w:t xml:space="preserve">Megafaunal organisms play a major role in the functioning of abyssal ecosystems through bioturbation and phytodetritus processing </w:t>
      </w:r>
      <w:r w:rsidRPr="001A4EBA">
        <w:rPr>
          <w:rFonts w:cs="Times New Roman"/>
          <w:lang w:val="en-GB"/>
        </w:rPr>
        <w:fldChar w:fldCharType="begin"/>
      </w:r>
      <w:r w:rsidR="00374BE8">
        <w:rPr>
          <w:rFonts w:cs="Times New Roman"/>
          <w:lang w:val="en-GB"/>
        </w:rPr>
        <w:instrText xml:space="preserve"> ADDIN ZOTERO_ITEM CSL_CITATION {"citationID":"a2finm841a4","properties":{"formattedCitation":"(Smith et al., 2008)","plainCitation":"(Smith et al., 2008)","noteIndex":0},"citationItems":[{"id":"ZQeM7Wy2/Zk2hxT40","uris":["http://zotero.org/users/1851394/items/8ZTV89S7"],"uri":["http://zotero.org/users/1851394/items/8ZTV89S7"],"itemData":{"id":3011,"type":"article-journal","title":"Abyssal food limitation, ecosystem structure and climate change","container-title":"Trends in Ecology &amp; Evolution","page":"518-528","volume":"23","issue":"9","source":"ScienceDirect","abstract":"The abyssal seafloor covers more than 50% of the Earth and is postulated to be both a reservoir of biodiversity and a source of important ecosystem services. We show that ecosystem structure and function in the abyss are strongly modulated by the quantity and quality of detrital food material sinking from the surface ocean. Climate change and human activities (e.g. successful ocean fertilization) will alter patterns of sinking food flux to the deep ocean, substantially impacting the structure, function and biodiversity of abyssal ecosystems. Abyssal ecosystem response thus must be considered in assessments of the environmental impacts of global warming and ocean fertilization.","DOI":"10.1016/j.tree.2008.05.002","ISSN":"0169-5347","journalAbbreviation":"Trends in Ecology &amp; Evolution","author":[{"family":"Smith","given":"Craig R."},{"family":"De Leo","given":"Fabio C."},{"family":"Bernardino","given":"Angelo F."},{"family":"Sweetman","given":"Andrew K."},{"family":"Arbizu","given":"Pedro Martinez"}],"issued":{"date-parts":[["2008",9,1]]}}}],"schema":"https://github.com/citation-style-language/schema/raw/master/csl-citation.json"} </w:instrText>
      </w:r>
      <w:r w:rsidRPr="001A4EBA">
        <w:rPr>
          <w:rFonts w:cs="Times New Roman"/>
          <w:lang w:val="en-GB"/>
        </w:rPr>
        <w:fldChar w:fldCharType="separate"/>
      </w:r>
      <w:r w:rsidRPr="00ED427D">
        <w:rPr>
          <w:rFonts w:cs="Times New Roman"/>
        </w:rPr>
        <w:t>(Smith et al., 2008)</w:t>
      </w:r>
      <w:r w:rsidRPr="001A4EBA">
        <w:rPr>
          <w:rFonts w:cs="Times New Roman"/>
          <w:lang w:val="en-GB"/>
        </w:rPr>
        <w:fldChar w:fldCharType="end"/>
      </w:r>
      <w:r w:rsidRPr="00FD3202">
        <w:rPr>
          <w:lang w:val="en-GB"/>
        </w:rPr>
        <w:t xml:space="preserve">. </w:t>
      </w:r>
      <w:r>
        <w:rPr>
          <w:lang w:val="en-GB"/>
        </w:rPr>
        <w:t>In some cases, l</w:t>
      </w:r>
      <w:r w:rsidRPr="00FD3202">
        <w:rPr>
          <w:lang w:val="en-GB"/>
        </w:rPr>
        <w:t xml:space="preserve">arge megafauna, </w:t>
      </w:r>
      <w:r w:rsidR="003E0B3F">
        <w:rPr>
          <w:lang w:val="en-GB"/>
        </w:rPr>
        <w:t>make</w:t>
      </w:r>
      <w:r>
        <w:rPr>
          <w:lang w:val="en-GB"/>
        </w:rPr>
        <w:t xml:space="preserve"> greater </w:t>
      </w:r>
      <w:r w:rsidRPr="00FD3202">
        <w:rPr>
          <w:lang w:val="en-GB"/>
        </w:rPr>
        <w:t xml:space="preserve">contributions to benthic carbon flows than smaller organisms, for example by incorporating more phytodetritus per unit biomass than macrofauna </w:t>
      </w:r>
      <w:r w:rsidRPr="001A4EBA">
        <w:rPr>
          <w:rFonts w:cs="Times New Roman"/>
          <w:lang w:val="en-GB"/>
        </w:rPr>
        <w:fldChar w:fldCharType="begin"/>
      </w:r>
      <w:r w:rsidR="00374BE8">
        <w:rPr>
          <w:rFonts w:cs="Times New Roman"/>
          <w:lang w:val="en-GB"/>
        </w:rPr>
        <w:instrText xml:space="preserve"> ADDIN ZOTERO_ITEM CSL_CITATION {"citationID":"qa66z68x","properties":{"formattedCitation":"(Stratmann et al., 2018a)","plainCitation":"(Stratmann et al., 2018a)","noteIndex":0},"citationItems":[{"id":"ZQeM7Wy2/GRnhbqxD","uris":["http://zotero.org/users/1851394/items/ZQBEZ3ZU"],"uri":["http://zotero.org/users/1851394/items/ZQBEZ3ZU"],"itemData":{"id":4214,"type":"article-journal","title":"Has Phytodetritus Processing by an Abyssal Soft-Sediment Community Recovered 26 Years after an Experimental Disturbance?","container-title":"Frontiers in Marine Science","volume":"5","source":"Frontiers","abstract":"The potential harvest of polymetallic nodules will heavily impact the abyssal, soft sediment ecosystem by removing sediment, hard substrate and associated fauna inside mined areas. It is therefore important to know whether the ecosystem can recover from this disturbance and if so at which rate. The first objective of this study was to measure recovery of phytodetritus processing by the benthic food web from a sediment disturbance experiment in 1989. The second objective was to determine the role of holothurians in the uptake of fresh phytodetritus by the benthic food web. To meet both objectives, large benthic incubation chambers (CUBEs; 50 × 50 × 50 cm) were deployed inside plough tracks (with and without holothurian presence) and at a reference site (holothurian presence, only) at 4100 m water depth. Shortly after deployment, 13C- and 15N-labelled phytodetritus was injected in the incubation chambers and during the subsequent three-day incubation period, water samples were taken five times to measure the production of 13C-dissolved inorganic carbon over time. At the end of the incubation, holothurians and sediment samples were taken to determine biomass, densities and incorporation of 13C and 15N into bacteria, nematodes, macrofauna and holothurians. For the first objective, the results showed that biomass of bacteria, nematodes and macrofauna did not differ between reference sites and plough track sites when holothurians were present. Additionally, meiofauna and macrofauna taxonomic composition was not significantly different between the sites. In contrast, total 13C uptake by bacteria, nematodes and holothurians was significantly lower at plough track sites compared to reference sites, though the number of replicates was low. This result suggests that important ecosystem functions such as organic matter processing has not fully recovered from the disturbance that occurred in 1989. For the second objective, the analysis indicated that holothurians incorporated 2.16×10-3 mmol labile phytodetritus C m-2 d-1 into their biomass, which is one order of magnitude less as compared to bacteria, but 1.3 times higher than macrofauna and one order of magnitude higher than nematodes. Additionally, holothurians incorporated more phytodetritus carbon per unit biomass than macrofauna and meiofauna, suggesting a size-dependence in phytodetritus carbon uptake.","URL":"https://www.frontiersin.org/articles/10.3389/fmars.2018.00059/full","DOI":"10.3389/fmars.2018.00059","ISSN":"2296-7745","journalAbbreviation":"Front. Mar. Sci.","language":"English","author":[{"family":"Stratmann","given":"Tanja"},{"family":"Mevenkamp","given":"Lisa"},{"family":"Sweetman","given":"Andrew K."},{"family":"Vanreusel","given":"Ann"},{"family":"Oevelen","given":"Dick","non-dropping-particle":"van"}],"issued":{"date-parts":[["2018"]]},"accessed":{"date-parts":[["2018",4,13]]}}}],"schema":"https://github.com/citation-style-language/schema/raw/master/csl-citation.json"} </w:instrText>
      </w:r>
      <w:r w:rsidRPr="001A4EBA">
        <w:rPr>
          <w:rFonts w:cs="Times New Roman"/>
          <w:lang w:val="en-GB"/>
        </w:rPr>
        <w:fldChar w:fldCharType="separate"/>
      </w:r>
      <w:r w:rsidR="00995343" w:rsidRPr="00995343">
        <w:rPr>
          <w:rFonts w:cs="Times New Roman"/>
        </w:rPr>
        <w:t>(Stratmann et al., 2018a)</w:t>
      </w:r>
      <w:r w:rsidRPr="001A4EBA">
        <w:rPr>
          <w:rFonts w:cs="Times New Roman"/>
          <w:lang w:val="en-GB"/>
        </w:rPr>
        <w:fldChar w:fldCharType="end"/>
      </w:r>
      <w:r w:rsidR="006924A2">
        <w:rPr>
          <w:lang w:val="en-GB"/>
        </w:rPr>
        <w:t xml:space="preserve">. </w:t>
      </w:r>
      <w:r w:rsidR="00F14AE0">
        <w:t>For the abyssal CCZ, as with many other deep-water areas, many of the most conspicuous large-sized invertebrate megafauna are echinoderms, principally holothurians but also including large asteroids and echinoids</w:t>
      </w:r>
      <w:r w:rsidR="00995343">
        <w:t xml:space="preserve"> </w:t>
      </w:r>
      <w:r w:rsidR="00995343" w:rsidRPr="007E4949">
        <w:fldChar w:fldCharType="begin"/>
      </w:r>
      <w:r w:rsidR="00995343" w:rsidRPr="007E4949">
        <w:instrText xml:space="preserve"> ADDIN ZOTERO_ITEM CSL_CITATION {"citationID":"oXJC9EDu","properties":{"formattedCitation":"(Simon-Lled\\uc0\\u243{} et al., 2019b)","plainCitation":"(Simon-Lledó et al., 2019b)","noteIndex":0},"citationItems":[{"id":648,"uris":["http://zotero.org/groups/512020/items/S8WR4Q5J"],"uri":["http://zotero.org/groups/512020/items/S8WR4Q5J"],"itemData":{"id":648,"type":"article-journal","abstract":"The potential for imminent polymetallic nodule mining in the Clarion Clipperton Fracture Zone (CCZ) has attracted considerable scientific and public attention. This concern stems from both the extremely large seafloor areas that may be impacted by mining, and the very limited knowledge of the fauna and ecology of this region. The environmental factors regulating seafloor ecology are still very poorly understood. In this study, we focus on megafaunal ecology in the proposed conservation zone ‘Area of Particular Environmental Interest 6′ (study area centred 17°16′N, 122°55′W). We employ bathymetric data to objectively define three landscape types in the area (a level bottom Flat, an elevated Ridge, a depressed Trough; water depth 3950–4250 m) that are characteristic of the wider CCZ. We use direct seabed sampling to characterise the sedimentary environment in each landscape, detecting no statistically significant differences in particle size distributions or organic matter content. Additional seafloor characteristics and data on both the metazoan and xenophyophore components of the megafauna were derived by extensive photographic survey from an autonomous underwater vehicle. Image data revealed that there were statistically significant differences in seafloor cover by nodules and in the occurrence of other hard substrata habitat between landscapes. Statistically significant differences in megafauna standing stock, fun</w:instrText>
      </w:r>
      <w:r w:rsidR="00995343" w:rsidRPr="00447FA6">
        <w:rPr>
          <w:lang w:val="nl-BE"/>
        </w:rPr>
        <w:instrText xml:space="preserve">ctional structuring, diversity, and faunal composition were detected between landscapes. The Flat and Ridge areas exhibited a significantly higher standing stock and a distinct assemblage composition compared to the Trough. Geomorphological variations, presumably regulating local bottom water flows and the occurrence of nodule and xenophyophore test substrata, between study areas may be the mechanism driving these assemblage differences. We also used these data to assess the influence of sampling unit size on the estimation of ecological parameters. We discuss these results in the contexts of regional benthic ecology and the appropriate management of potential mining activities in the CCZ and elsewhere in the deep ocean.","container-title":"Progress in Oceanography","DOI":"10.1016/j.pocean.2018.11.003","ISSN":"0079-6611","journalAbbreviation":"Progress in Oceanography","page":"119-133","source":"ScienceDirect","title":"Megafaunal variation in the abyssal landscape of the Clarion Clipperton Zone","volume":"170","author":[{"family":"Simon-Lledó","given":"Erik"},{"family":"Bett","given":"Brian J."},{"family":"Huvenne","given":"Veerle A. I."},{"family":"Schoening","given":"Timm"},{"family":"Benoist","given":"Noelie M. A."},{"family":"Jeffreys","given":"Rachel M."},{"family":"Durden","given":"Jennifer M."},{"family":"Jones","given":"Daniel O. B."}],"issued":{"date-parts":[["2019",1,1]]}}}],"schema":"https://github.com/citation-style-language/schema/raw/master/csl-citation.json"} </w:instrText>
      </w:r>
      <w:r w:rsidR="00995343" w:rsidRPr="007E4949">
        <w:fldChar w:fldCharType="separate"/>
      </w:r>
      <w:r w:rsidR="00995343" w:rsidRPr="00447FA6">
        <w:rPr>
          <w:rFonts w:cs="Times New Roman"/>
          <w:szCs w:val="24"/>
          <w:lang w:val="nl-BE"/>
        </w:rPr>
        <w:t>(Simon-Lledó et al., 2019b)</w:t>
      </w:r>
      <w:r w:rsidR="00995343" w:rsidRPr="007E4949">
        <w:fldChar w:fldCharType="end"/>
      </w:r>
      <w:r w:rsidR="00F14AE0" w:rsidRPr="00447FA6">
        <w:rPr>
          <w:lang w:val="nl-BE"/>
        </w:rPr>
        <w:t>.</w:t>
      </w:r>
    </w:p>
    <w:p w14:paraId="6691DCA5" w14:textId="60654EAF" w:rsidR="006924A2" w:rsidRDefault="00707EFD" w:rsidP="00147BC4">
      <w:pPr>
        <w:rPr>
          <w:lang w:val="en-GB"/>
        </w:rPr>
      </w:pPr>
      <w:r w:rsidRPr="00447FA6">
        <w:t xml:space="preserve">The use of seafloor image analysis is considered an important tool </w:t>
      </w:r>
      <w:r w:rsidR="008C7B65" w:rsidRPr="00447FA6">
        <w:t>for the</w:t>
      </w:r>
      <w:r w:rsidRPr="00447FA6">
        <w:t xml:space="preserve"> assessment of habitat heterogeneity, megabenthos diversity and abundance and </w:t>
      </w:r>
      <w:r w:rsidR="00FC0E4B" w:rsidRPr="00447FA6">
        <w:t xml:space="preserve">it </w:t>
      </w:r>
      <w:r w:rsidRPr="00447FA6">
        <w:t xml:space="preserve">can aid in the detection of impacts following mining across relatively large areas </w:t>
      </w:r>
      <w:r w:rsidRPr="00CD7137">
        <w:rPr>
          <w:rFonts w:cs="Times New Roman"/>
          <w:lang w:val="en-GB"/>
        </w:rPr>
        <w:fldChar w:fldCharType="begin"/>
      </w:r>
      <w:r w:rsidR="00B13190" w:rsidRPr="00447FA6">
        <w:rPr>
          <w:rFonts w:cs="Times New Roman"/>
        </w:rPr>
        <w:instrText xml:space="preserve"> ADDIN ZOTERO_ITEM CSL_CITATION {"citationID":"qaq4djNg","properties":{"formattedCitation":"(Amon et al., 2016; Vanreusel et al., 2016; Simon-Lled\\uc0\\u243{} et al., 2019a)","plainCitation":"(Amon et al., 2016; Vanreusel et al., 2016; Simon-Lledó et al., 2019a)","noteIndex":0},"citationItems":[{"id":734,"uris":["http://zotero.org/groups/512020/items/HVVC9STZ"],"uri":["http://zotero.org/groups/512020/items/HVVC9STZ"],"itemData":{"id":734,"type":"article-journal","call-number":"EP-A","container-title":"Scientific Reports","DOI":"10.1038/srep30492","ISSN":"2045-2322","page":"30492","source":"CrossRef","title":"Insights into the abundance and diversity of abyssal megafauna in a polymetallic-nodule region in the eastern Clarion-Clipperton Zone","volume":"6","author":[{"family":"Amon","given":"Diva J."},{"family":"Ziegler","given":"Amanda F."},{"family":"Dahlgren","given":"Thomas G."},{"family":"Glover","given":"Adrian G."},{"family":"Goineau","given":"Aurélie"},{"family":"Gooday","given":"Andrew J."},{"family":"Wiklund","given":"Helena"},{"family":"Smith","given":"Craig R."}],"issued":{"date-parts":[["2016",7,29]]}}},{"id":741,"uris":["http://zotero.org/groups/512020/items/5DHCXFTK"],"uri":["http://zotero.org/groups/512020/items/5DHCXFTK"],"itemData":{"id":741,"type":"article-journal","container-title":"Scientific Reports","DOI":"10.1038/srep26808","ISSN":"2045-2322","page":"26808","source":"CrossRef","title":"Threatened by mining, polymetallic nodules are required to preserve abyssal epifauna","volume":"6","author":[{"family":"Vanreusel","given":"Ann"},{"family":"Hilario","given":"Ana"},{"family":"Ribeiro","given":"Pedro A."},{"family":"Menot","given":"Lenaick"},{"family":"Arbizu","given":"Pedro Martínez"}],"issued":{"date-parts":[["2016",6,1]]}},"label":"page"},{"id":1942,"uris":["http://zotero.org/users/2924329/items/FVSVS6L8"],"uri":["http://zotero.org/users/2924329/items/FVSVS6L8"],"itemData":{"id":1942,"type":"article-journal","abstract":"The potential for imminent abyssal polymetallic nodule exploitation has raised considerable scientific attention. The interface between the targeted nodule resource and sediment in this unusual mosaic habitat promotes the development of some of the most biologically diverse communities in the abyss. However, the ecology of these remote ecosystems is still poorly understood, so it is unclear to what extent and timescale these ecosystems will be affected by, and could recover from, mining disturbance. Using data inferred from seafloor photo-mosaics, we show that the effects of simulated mining impacts, induced during the “DISturbance and reCOLonization experiment” (DISCOL) conducted in</w:instrText>
      </w:r>
      <w:r w:rsidR="00B13190" w:rsidRPr="00F601E8">
        <w:rPr>
          <w:rFonts w:cs="Times New Roman"/>
          <w:lang w:val="nl-BE"/>
        </w:rPr>
        <w:instrText xml:space="preserve"> 1989, were still evident in the megabenthos of the Peru Basin after 26 years. Suspension-fee</w:instrText>
      </w:r>
      <w:r w:rsidR="00B13190" w:rsidRPr="00B13190">
        <w:rPr>
          <w:rFonts w:cs="Times New Roman"/>
          <w:lang w:val="nl-BE"/>
        </w:rPr>
        <w:instrText xml:space="preserve">der presence remained significantly reduced in disturbed areas, while deposit-feeders showed no diminished presence in disturbed areas, for the first time since the experiment began. Nevertheless, we found significantly lower heterogeneity diversity in disturbed areas and markedly distinct faunal compositions along different disturbance levels. If the results of this experiment at DISCOL can be extrapolated to the Clarion-Clipperton Zone, the impacts of polymetallic nodule mining there may be greater than expected, and could potentially lead to an irreversible loss of some ecosystem functions, especially in directly disturbed areas.","container-title":"Scientific Reports","DOI":"10.1038/s41598-019-44492-w","ISSN":"2045-2322","issue":"1","journalAbbreviation":"Sci Rep","language":"en","note":"number: 1\npublisher: Nature Publishing Group","page":"1-13","source":"www.nature.com","title":"Biological effects 26 years after simulated deep-sea mining","volume":"9","author":[{"family":"Simon-Lledó","given":"Erik"},{"family":"Bett","given":"Brian J."},{"family":"Huvenne","given":"Veerle A. I."},{"family":"Köser","given":"Kevin"},{"family":"Schoening","given":"Timm"},{"family":"Greinert","given":"Jens"},{"family":"Jones","given":"Daniel O. B."}],"issued":{"date-parts":[["2019",5,29]]}},"label":"page"}],"schema":"https://github.com/citation-style-language/schema/raw/master/csl-citation.json"} </w:instrText>
      </w:r>
      <w:r w:rsidRPr="00CD7137">
        <w:rPr>
          <w:rFonts w:cs="Times New Roman"/>
          <w:lang w:val="en-GB"/>
        </w:rPr>
        <w:fldChar w:fldCharType="separate"/>
      </w:r>
      <w:r w:rsidR="00B13190" w:rsidRPr="00B13190">
        <w:rPr>
          <w:rFonts w:cs="Times New Roman"/>
          <w:szCs w:val="24"/>
          <w:lang w:val="nl-BE"/>
        </w:rPr>
        <w:t>(Amon et al., 2016; Vanreusel et al., 2016; Simon-Lledó et al., 2019a)</w:t>
      </w:r>
      <w:r w:rsidRPr="00CD7137">
        <w:rPr>
          <w:rFonts w:cs="Times New Roman"/>
          <w:lang w:val="en-GB"/>
        </w:rPr>
        <w:fldChar w:fldCharType="end"/>
      </w:r>
      <w:r w:rsidRPr="00B13190">
        <w:rPr>
          <w:lang w:val="nl-BE"/>
        </w:rPr>
        <w:t xml:space="preserve">. </w:t>
      </w:r>
      <w:r w:rsidR="006924A2" w:rsidRPr="006924A2">
        <w:t>Im</w:t>
      </w:r>
      <w:r w:rsidR="006924A2">
        <w:t>agery also underpins mining resource exploration/evaluation</w:t>
      </w:r>
      <w:r w:rsidR="007109F7">
        <w:t xml:space="preserve"> </w:t>
      </w:r>
      <w:r w:rsidR="007109F7">
        <w:fldChar w:fldCharType="begin"/>
      </w:r>
      <w:r w:rsidR="007109F7">
        <w:instrText xml:space="preserve"> ADDIN ZOTERO_ITEM CSL_CITATION {"citationID":"mwrl1lXI","properties":{"custom":"(e.g. Nautilus Minerals, 2016)","formattedCitation":"(e.g. Nautilus Minerals, 2016)","plainCitation":"(e.g. Nautilus Minerals, 2016)","noteIndex":0},"citationItems":[{"id":2005,"uris":["http://zotero.org/users/2924329/items/RX6DQF2S"],"uri":["http://zotero.org/users/2924329/items/RX6DQF2S"],"itemData":{"id":2005,"type":"article","title":"NI 43-101 Technical Report TOML Clarion Clipperton Zone Project, Pacific Ocean","author":[{"family":"Nautilus Minerals","given":""}],"issued":{"date-parts":[["2016"]]}}}],"schema":"https://github.com/citation-style-language/schema/raw/master/csl-citation.json"} </w:instrText>
      </w:r>
      <w:r w:rsidR="007109F7">
        <w:fldChar w:fldCharType="separate"/>
      </w:r>
      <w:r w:rsidR="007109F7" w:rsidRPr="007109F7">
        <w:rPr>
          <w:rFonts w:cs="Times New Roman"/>
        </w:rPr>
        <w:t>(e.g. Nautilus Minerals, 2016)</w:t>
      </w:r>
      <w:r w:rsidR="007109F7">
        <w:fldChar w:fldCharType="end"/>
      </w:r>
      <w:r w:rsidR="006924A2">
        <w:t xml:space="preserve">, so while expensive to acquire, imagery can have multiple uses. There are some limitations of image-based assessment too. </w:t>
      </w:r>
      <w:r w:rsidR="00FC0E4B">
        <w:rPr>
          <w:lang w:val="en-GB"/>
        </w:rPr>
        <w:t>Generally</w:t>
      </w:r>
      <w:r w:rsidRPr="00FD3202">
        <w:rPr>
          <w:lang w:val="en-GB"/>
        </w:rPr>
        <w:t xml:space="preserve">, the </w:t>
      </w:r>
      <w:r w:rsidR="006924A2">
        <w:rPr>
          <w:lang w:val="en-GB"/>
        </w:rPr>
        <w:t xml:space="preserve">ecological </w:t>
      </w:r>
      <w:r w:rsidRPr="00FD3202">
        <w:rPr>
          <w:lang w:val="en-GB"/>
        </w:rPr>
        <w:t xml:space="preserve">analysis of seafloor images is time-consuming and although recommendations for image annotation exist </w:t>
      </w:r>
      <w:r w:rsidRPr="00252BB7">
        <w:rPr>
          <w:rFonts w:cs="Times New Roman"/>
          <w:lang w:val="en-GB"/>
        </w:rPr>
        <w:fldChar w:fldCharType="begin"/>
      </w:r>
      <w:r w:rsidR="00780EA9" w:rsidRPr="00252BB7">
        <w:rPr>
          <w:rFonts w:cs="Times New Roman"/>
          <w:lang w:val="en-GB"/>
        </w:rPr>
        <w:instrText xml:space="preserve"> ADDIN ZOTERO_ITEM CSL_CITATION {"citationID":"eJKgcpPj","properties":{"formattedCitation":"(Schoening et al., 2016)","plainCitation":"(Schoening et al., 2016)","noteIndex":0},"citationItems":[{"id":529,"uris":["http://zotero.org/groups/512020/items/8KM9SVD8"],"uri":["http://zotero.org/groups/512020/items/8KM9SVD8"],"itemData":{"id":529,"type":"article-journal","abstract":"Marine imaging is transforming into a sensor technology applied for high throughput sampling. In the context of habitat mapping, imaging establishes thereby an important bridge technology regarding the spatial resolution and information content between physical sampling gear (e.g. box corer, multi corer) on the one end and hydro-acoustic sensors on the other end of the spectrum of sampling methods. In contrast to other scientific imaging domains, such as digital pathology, there are no protocols and reports available that guide users (often referred to as observers) in the non-trivial process of assigning semantic categories to whole images, regions or objects of interest, which is referred to as annotation. These protocols are crucial to facilitate image analysis as a robust scientific method. In this article we will review the past observations in manual Marine Image Annotations (MIA) and provide a) a guideline for collecting manual annotations, b) definitions for annotation quality and c) a statistical framework to analyze the performance of human expert annotations and to compare those to computational approaches.","container-title":"Frontiers in Marine Science","DOI":"10.3389/fmars.2016.00059","ISSN":"2296-7745","journalAbbreviation":"Front. Mar. Sci.","language":"English","source":"Frontiers","title":"RecoMIA—Recommendations for Marine Image Annotation: Lessons Learned and Future Directions","title-short":"RecoMIA—Recommendations for Marine Image Annotation","URL":"http://journal.frontiersin.org/article/10.3389/fmars.2016.00059/full","volume":"3","author":[{"family":"Schoening","given":"Timm"},{"family":"Osterloff","given":"Jonas"},{"family":"Nattkemper","given":"Tim W."}],"accessed":{"date-parts":[["2017",7,5]]},"issued":{"date-parts":[["2016"]]}}}],"schema":"https://github.com/citation-style-language/schema/raw/master/csl-citation.json"} </w:instrText>
      </w:r>
      <w:r w:rsidRPr="00252BB7">
        <w:rPr>
          <w:rFonts w:cs="Times New Roman"/>
          <w:lang w:val="en-GB"/>
        </w:rPr>
        <w:fldChar w:fldCharType="separate"/>
      </w:r>
      <w:r w:rsidR="00780EA9" w:rsidRPr="00252BB7">
        <w:rPr>
          <w:rFonts w:cs="Times New Roman"/>
        </w:rPr>
        <w:t>(Schoening et al., 2016)</w:t>
      </w:r>
      <w:r w:rsidRPr="00252BB7">
        <w:rPr>
          <w:rFonts w:cs="Times New Roman"/>
          <w:lang w:val="en-GB"/>
        </w:rPr>
        <w:fldChar w:fldCharType="end"/>
      </w:r>
      <w:r w:rsidRPr="00FD3202">
        <w:rPr>
          <w:lang w:val="en-GB"/>
        </w:rPr>
        <w:t xml:space="preserve"> the performance by different observers may produce divergent results </w:t>
      </w:r>
      <w:r w:rsidRPr="00252BB7">
        <w:rPr>
          <w:rFonts w:cs="Times New Roman"/>
          <w:lang w:val="en-GB"/>
        </w:rPr>
        <w:fldChar w:fldCharType="begin"/>
      </w:r>
      <w:r w:rsidR="00252BB7" w:rsidRPr="00252BB7">
        <w:rPr>
          <w:rFonts w:cs="Times New Roman"/>
          <w:lang w:val="en-GB"/>
        </w:rPr>
        <w:instrText xml:space="preserve"> ADDIN ZOTERO_ITEM CSL_CITATION {"citationID":"w5OavX8f","properties":{"formattedCitation":"(Schoening et al., 2012; Durden et al., 2016a)","plainCitation":"(Schoening et al., 2012; Durden et al., 2016a)","noteIndex":0},"citationItems":[{"id":1947,"uris":["http://zotero.org/users/2924329/items/XEJMUZ4E"],"uri":["http://zotero.org/users/2924329/items/XEJMUZ4E"],"itemData":{"id":1947,"type":"article-journal","abstract":"Megafauna play an important role in benthic ecosystem function and are sensitive indicators of environmental change. Non-invasive monitoring of benthic communities can be accomplished by seafloor imaging. However, manual quantification of megafauna in images is labor-intensive and therefore, this organism size class is often neglected in ecosystem studies. Automated image analysis has been proposed as a possible approach to such analysis, but the heterogeneity of megafaunal communities poses a non-trivial challenge for such automated techniques. Here, the potential of a generalized object detection architecture, referred to as iSIS (intelligent Screening of underwater Image Sequences), for the quantification of a heterogenous group of megafauna taxa is investigated. The iSIS system is tuned for a particular image sequence (i.e. a transect) using a small subset of the images, in which megafauna taxa positions were previously marked by an expert. To investigate the potential of iSIS and compare its results with those obtained from human experts, a group of eight different taxa from one camera transect of seafloor images taken at the Arctic deep-sea observatory HAUSGARTEN is used. The results show that inter- and intra-observer agreements of human experts exhibit considerable variation between the species, with a similar degree of variation apparent in the automatically derived results obtained by iSIS. Whilst some taxa (e. g. Bathycrinus stalks, Kolga hyalina, small white sea anemone) were well detected by iSIS (i. e. overall Sensitivity: 87%, overall Positive Predictive Value: 67%), some taxa such as the small sea cucumber Elpidia heckeri remain challenging, for both human observers and iSIS.","container-title":"PLoS ONE","DOI":"10.1371/journal.pone.0038179","ISSN":"1932-6203","issue":"6","journalAbbreviation":"PLoS One","note":"PMID: 22719868\nPMCID: PMC3367988","source":"PubMed Central","title":"Semi-Automated Image Analysis for the Assessment of Megafaunal Densities at the Arctic Deep-Sea Observatory HAUSGARTEN","URL":"https://www.ncbi.nlm.nih.gov/pmc/articles/PMC3367988/","volume":"7","author":[{"family":"Schoening","given":"Timm"},{"family":"Bergmann","given":"Melanie"},{"family":"Ontrup","given":"Jörg"},{"family":"Taylor","given":"James"},{"family":"Dannheim","given":"Jennifer"},{"family":"Gutt","given":"Julian"},{"family":"Purser","given":"Autun"},{"family":"Nattkemper","given":"Tim W."}],"accessed":{"date-parts":[["2020",4,17]]},"issued":{"date-parts":[["2012",6,5]]}},"label":"page"},{"id":590,"uris":["http://zotero.org/groups/512020/items/CZ32SPUC"],"uri":["http://zotero.org/groups/512020/items/CZ32SPUC"],"itemData":{"id":590,"type":"article-journal","container-title":"Marine Ecology Progress Series","DOI":"10.3354/meps11775","ISSN":"0171-8630, 1616-1599","language":"en","page":"61-70","source":"CrossRef","title":"Comparison of image annotation data generated by multiple investigators for benthic ecology","volume":"552","author":[{"family":"Durden","given":"Jm"},{"family":"Bett","given":"Bj"},{"family":"Schoening","given":"T"},{"family":"Morris","given":"Kj"},{"family":"Nattkemper","given":"Tw"},{"family":"Ruhl","given":"Ha"}],"issued":{"date-parts":[["2016",6,23]]}},"label":"page"}],"schema":"https://github.com/citation-style-language/schema/raw/master/csl-citation.json"} </w:instrText>
      </w:r>
      <w:r w:rsidRPr="00252BB7">
        <w:rPr>
          <w:rFonts w:cs="Times New Roman"/>
          <w:lang w:val="en-GB"/>
        </w:rPr>
        <w:fldChar w:fldCharType="separate"/>
      </w:r>
      <w:r w:rsidR="00252BB7" w:rsidRPr="00252BB7">
        <w:rPr>
          <w:rFonts w:cs="Times New Roman"/>
        </w:rPr>
        <w:t>(Schoening et al., 2012; Durden et al., 2016a)</w:t>
      </w:r>
      <w:r w:rsidRPr="00252BB7">
        <w:rPr>
          <w:rFonts w:cs="Times New Roman"/>
          <w:lang w:val="en-GB"/>
        </w:rPr>
        <w:fldChar w:fldCharType="end"/>
      </w:r>
      <w:r w:rsidRPr="00FD3202">
        <w:rPr>
          <w:lang w:val="en-GB"/>
        </w:rPr>
        <w:t>. Furthermore, the accuracy with which animals can be identified from seafloor images largely depends on the resolution of the image</w:t>
      </w:r>
      <w:r w:rsidR="00DC35C1">
        <w:rPr>
          <w:lang w:val="en-GB"/>
        </w:rPr>
        <w:t>, the focus,</w:t>
      </w:r>
      <w:r w:rsidRPr="00FD3202">
        <w:rPr>
          <w:lang w:val="en-GB"/>
        </w:rPr>
        <w:t xml:space="preserve"> and</w:t>
      </w:r>
      <w:r w:rsidR="00DC35C1">
        <w:rPr>
          <w:lang w:val="en-GB"/>
        </w:rPr>
        <w:t xml:space="preserve"> the object distance from the camera</w:t>
      </w:r>
      <w:r w:rsidR="00440768">
        <w:rPr>
          <w:lang w:val="en-GB"/>
        </w:rPr>
        <w:t xml:space="preserve"> </w:t>
      </w:r>
      <w:r w:rsidR="00DC35C1">
        <w:rPr>
          <w:lang w:val="en-GB"/>
        </w:rPr>
        <w:fldChar w:fldCharType="begin"/>
      </w:r>
      <w:r w:rsidR="00683D6F">
        <w:rPr>
          <w:lang w:val="en-GB"/>
        </w:rPr>
        <w:instrText xml:space="preserve"> ADDIN ZOTERO_ITEM CSL_CITATION {"citationID":"XNtesbEk","properties":{"custom":"(Durden et al., 2016)","formattedCitation":"(Durden et al., 2016)","plainCitation":"(Durden et al., 2016)","noteIndex":0},"citationItems":[{"id":1578,"uris":["http://zotero.org/groups/512020/items/LXVT5LTK"],"uri":["http://zotero.org/groups/512020/items/LXVT5LTK"],"itemData":{"id":1578,"type":"article-journal","abstract":"JENS GREINERT3, NANCY JACOBSEN STOUT8, DANIEL O.B. JONES1, ANNE JORDT3, \nJEFFREY W. KAELI9, KEVIN KÖSER3, LINDA A. KUHNZ8, DHUGAL LINDSAY10,KIRSTY J. MORRIS1,","container-title":"Oceanography and Marine Biology","DOI":"10.1201/9781315368597-6","language":"en","page":"1-72","title":"Perspectives in Visual Imaging for Marine Biology and Ecology: From Acquisition to Understanding","title-short":"Perspectives in Visual Imaging for Marine Biology and Ecology","volume":"54","author":[{"family":"Durden","given":"Jennifer M."},{"family":"Schoening","given":"Timm"},{"family":"Althaus","given":"Franziska"},{"family":"Friedman","given":"Ariell"},{"family":"Garcia","given":"Rafael"},{"family":"Glover","given":"Adrian G."},{"family":"Greinert","given":"Jens"},{"family":"Stout","given":"Nancy Jacobsen"},{"family":"Jones","given":"Daniel O. B."},{"family":"Jordt","given":"Anne"},{"family":"Kaeli","given":"Jeffrey W."},{"family":"Köser","given":"Kevin"},{"family":"Kuhnz","given":"Linda A."},{"family":"Lindsay","given":"Dhugal"},{"family":"Morris","given":"Kirsty J."},{"family":"Nattkemper","given":"Tim W."},{"family":"Osterloff","given":"Jonas"},{"family":"Ruhl","given":"Henry A."},{"family":"Singh","given":"Hanumant"},{"family":"Bett","given":"Maggie Tran &amp; Brian J."}],"issued":{"date-parts":[["2016",11,25]]}},"label":"page"}],"schema":"https://github.com/citation-style-language/schema/raw/master/csl-citation.json"} </w:instrText>
      </w:r>
      <w:r w:rsidR="00DC35C1">
        <w:rPr>
          <w:lang w:val="en-GB"/>
        </w:rPr>
        <w:fldChar w:fldCharType="separate"/>
      </w:r>
      <w:r w:rsidR="002555CF" w:rsidRPr="002555CF">
        <w:rPr>
          <w:rFonts w:cs="Times New Roman"/>
        </w:rPr>
        <w:t>(Durden et al., 2016)</w:t>
      </w:r>
      <w:r w:rsidR="00DC35C1">
        <w:rPr>
          <w:lang w:val="en-GB"/>
        </w:rPr>
        <w:fldChar w:fldCharType="end"/>
      </w:r>
      <w:r w:rsidR="00440768">
        <w:rPr>
          <w:lang w:val="en-GB"/>
        </w:rPr>
        <w:t>.</w:t>
      </w:r>
      <w:r w:rsidR="00C033DB" w:rsidRPr="00FD3202">
        <w:rPr>
          <w:lang w:val="en-GB"/>
        </w:rPr>
        <w:t xml:space="preserve"> The resolution of objects on the seafloor </w:t>
      </w:r>
      <w:r w:rsidRPr="00FD3202">
        <w:rPr>
          <w:lang w:val="en-GB"/>
        </w:rPr>
        <w:t xml:space="preserve">decreases with increasing distance from the seafloor </w:t>
      </w:r>
      <w:r w:rsidR="006924A2">
        <w:rPr>
          <w:lang w:val="en-GB"/>
        </w:rPr>
        <w:t xml:space="preserve">(camera altitude) </w:t>
      </w:r>
      <w:r w:rsidRPr="00FD3202">
        <w:rPr>
          <w:lang w:val="en-GB"/>
        </w:rPr>
        <w:t>while the area that can be captured within one image increases</w:t>
      </w:r>
      <w:r w:rsidR="003551B0">
        <w:rPr>
          <w:lang w:val="en-GB"/>
        </w:rPr>
        <w:t xml:space="preserve"> </w:t>
      </w:r>
      <w:r w:rsidR="003551B0">
        <w:rPr>
          <w:lang w:val="en-GB"/>
        </w:rPr>
        <w:fldChar w:fldCharType="begin"/>
      </w:r>
      <w:r w:rsidR="003551B0">
        <w:rPr>
          <w:lang w:val="en-GB"/>
        </w:rPr>
        <w:instrText xml:space="preserve"> ADDIN ZOTERO_ITEM CSL_CITATION {"citationID":"50TiwuWH","properties":{"formattedCitation":"(Schoening et al., 2020)","plainCitation":"(Schoening et al., 2020)","noteIndex":0},"citationItems":[{"id":2006,"uris":["http://zotero.org/users/2924329/items/97PLG6TY"],"uri":["http://zotero.org/users/2924329/items/97PLG6TY"],"itemData":{"id":2006,"type":"article-journal","abstract":"&lt;p&gt;&lt;strong&gt;Abstract.&lt;/strong&gt; With the mining of polymetallic nodules from the deep-sea seafloor once more evoking commercial interest, decisions must be taken on how to most efficiently regulate and monitor physical and community disturbance in these remote ecosystems. Image-based approaches allow non-destructive assessment of the abundance of larger fauna to be derived from survey data, with repeat surveys of areas possible to allow time series data collection. At the time of writing, key underwater imaging platforms commonly used to map seafloor fauna abundances are autonomous underwater vehicles (AUVs), remotely operated vehicles (ROVs) and towed camera “ocean floor observation systems” (OFOSs). These systems are highly customisable, with cameras, illumination sources and deployment protocols changing rapidly, even during a survey cruise. In this study, eight image datasets were collected from a discrete area of polymetallic-nodule-rich seafloor by an AUV and several OFOSs deployed at various altitudes above the seafloor. A fauna identification catalogue was used by five annotators to estimate the abundances of 20 fauna categories from the different datasets. Results show that, for many categories of megafauna, differences in image resolution greatly influenced the estimations of fauna abundance determined by the annotators. This is an important finding for the development of future monitoring legislation for these areas. When and if commercial exploitation of these marine resources commences, robust and verifiable standards which incorporate developing technological advances in camera-based monitoring surveys should be key to developing appropriate management regulations for these regions.&lt;/p&gt;","container-title":"Biogeosciences","DOI":"https://doi.org/10.5194/bg-17-3115-2020","ISSN":"1726-4170","issue":"12","language":"English","note":"publisher: Copernicus GmbH","page":"3115-3133","source":"www.biogeosciences.net","title":"Megafauna community assessment of polymetallic-nodule fields with cameras: platform and methodology comparison","title-short":"Megafauna community assessment of polymetallic-nodule fields with cameras","volume":"17","author":[{"family":"Schoening","given":"Timm"},{"family":"Purser","given":"Autun"},{"family":"Langenkämper","given":"Daniel"},{"family":"Suck","given":"Inken"},{"family":"Taylor","given":"James"},{"family":"Cuvelier","given":"Daphne"},{"family":"Lins","given":"Lidia"},{"family":"Simon-Lledó","given":"Erik"},{"family":"Marcon","given":"Yann"},{"family":"Jones","given":"Daniel O. B."},{"family":"Nattkemper","given":"Tim"},{"family":"Köser","given":"Kevin"},{"family":"Zurowietz","given":"Martin"},{"family":"Greinert","given":"Jens"},{"family":"Gomes-Pereira","given":"Jose"}],"issued":{"date-parts":[["2020",6,19]]}}}],"schema":"https://github.com/citation-style-language/schema/raw/master/csl-citation.json"} </w:instrText>
      </w:r>
      <w:r w:rsidR="003551B0">
        <w:rPr>
          <w:lang w:val="en-GB"/>
        </w:rPr>
        <w:fldChar w:fldCharType="separate"/>
      </w:r>
      <w:r w:rsidR="003551B0" w:rsidRPr="003551B0">
        <w:rPr>
          <w:rFonts w:cs="Times New Roman"/>
        </w:rPr>
        <w:t>(Schoening et al., 2020)</w:t>
      </w:r>
      <w:r w:rsidR="003551B0">
        <w:rPr>
          <w:lang w:val="en-GB"/>
        </w:rPr>
        <w:fldChar w:fldCharType="end"/>
      </w:r>
      <w:r w:rsidRPr="00FD3202">
        <w:rPr>
          <w:lang w:val="en-GB"/>
        </w:rPr>
        <w:t xml:space="preserve">. </w:t>
      </w:r>
      <w:r w:rsidR="006924A2">
        <w:rPr>
          <w:lang w:val="en-GB"/>
        </w:rPr>
        <w:t xml:space="preserve">The camera altitude should be optimised according to </w:t>
      </w:r>
      <w:r w:rsidRPr="00FD3202">
        <w:rPr>
          <w:lang w:val="en-GB"/>
        </w:rPr>
        <w:t xml:space="preserve">the aim of the study and the required accuracy and detail. </w:t>
      </w:r>
      <w:r w:rsidR="006924A2">
        <w:rPr>
          <w:lang w:val="en-GB"/>
        </w:rPr>
        <w:t>More recent developments in a</w:t>
      </w:r>
      <w:r w:rsidR="006924A2" w:rsidRPr="00FD3202">
        <w:rPr>
          <w:lang w:val="en-GB"/>
        </w:rPr>
        <w:t>utonomous underwater vehicle (AUV)</w:t>
      </w:r>
      <w:r w:rsidR="006924A2">
        <w:rPr>
          <w:lang w:val="en-GB"/>
        </w:rPr>
        <w:t xml:space="preserve"> technology is enabling rapid seafloor image acquisition over wide areas</w:t>
      </w:r>
      <w:r w:rsidR="00D12410">
        <w:rPr>
          <w:lang w:val="en-GB"/>
        </w:rPr>
        <w:t xml:space="preserve"> </w:t>
      </w:r>
      <w:r w:rsidR="00D12410" w:rsidRPr="00F33368">
        <w:rPr>
          <w:lang w:val="en-GB"/>
        </w:rPr>
        <w:fldChar w:fldCharType="begin"/>
      </w:r>
      <w:r w:rsidR="00D12410" w:rsidRPr="00F33368">
        <w:rPr>
          <w:lang w:val="en-GB"/>
        </w:rPr>
        <w:instrText xml:space="preserve"> ADDIN ZOTERO_ITEM CSL_CITATION {"citationID":"bYmH65Z5","properties":{"formattedCitation":"(Morris et al., 2014; Simon-Lled\\uc0\\u243{} et al., 2019b)","plainCitation":"(Morris et al., 2014; Simon-Lledó et al., 2019b)","noteIndex":0},"citationItems":[{"id":2000,"uris":["http://zotero.org/users/2924329/items/25LTG455"],"uri":["http://zotero.org/users/2924329/items/25LTG455"],"itemData":{"id":2000,"type":"article-journal","abstract":"The extent and speed of marine environmental mapping is increasing quickly with technological advances, particularly with optical imaging from autonomous underwater vehicles (AUVs). This contribution describes a new deep-sea digital still camera system that takes high-frequency (&gt;1 Hz) color photographs of the seafloor, suitable for detailed biological and habitat assessment, and the means of efficient processing of this mass imagery, to allow assessment across a wide range of spatial scales from that of individual megabenthic organisms to landscape scales (&gt;100 km2). As part of the Autonomous Ecological Surveying of the Abyss (AESA) project, the AUV Autosub6000 obtained &gt; 150,000 seafloor images ( 160 km total transect length) to investigate the distribution of megafauna on the Porcupine Abyssal Plain (4850 m; NE Atlantic). An automated workflow for image processing was developed that corrected nonuniform illumination and color, geo-referenced the photographs, and produced 10-image mosaics ('tiles,' each representing a continuous strip of 15-20 m2 of seafloor), with overlap between consecutive images removed. These tiles were then manually annotated to generate biological data. This method was highly advantageous compared with alternative techniques, greatly increasing the rate of image acquisition and providing a 10-50 fold increase in accuracy in comparison to trawling. The method also offers more precise density and biodiversity estimates [Coefficient of variation (CV) &lt; 10%] than alternative techniques, with a 2-fold improvement in density estimate precision compared with the WASP towed camera system. Ultimately, this novel system is expected to make valuable contributions to understanding human impact in the deep ocean.","container-title":"Limnology and Oceanography: Methods","DOI":"10.4319/lom.2014.12.795","ISSN":"1541-5856","issue":"11","language":"en","note":"_eprint: https://aslopubs.onlinelibrary.wiley.com/doi/pdf/10.4319/lom.2014.12.795","page":"795-809","source":"Wiley Online Library","title":"A new method for ecological surveying of the abyss using autonomous underwater vehicle photography","volume":"12","author":[{"family":"Morris","given":"Kirsty J."},{"family":"Bett","given":"Brian J."},{"family":"Durden","given":"Jennifer M."},{"family":"Huvenne","given":"Veerle A. I."},{"family":"Milligan","given":"Rosanna"},{"family":"Jones","given":"Daniel O. B."},{"family":"McPhail","given":"Stephen"},{"family":"Robert","given":"Katleen"},{"family":"Bailey","given":"David M."},{"family":"Ruhl","given":"Henry A."}],"issued":{"date-parts":[["2014"]]}},"label":"page"},{"id":648,"uris":["http://zotero.org/groups/512020/items/S8WR4Q5J"],"uri":["http://zotero.org/groups/512020/items/S8WR4Q5J"],"itemData":{"id":648,"type":"article-journal","abstract":"The potential for imminent polymetallic nodule mining in the Clarion Clipperton Fracture Zone (CCZ) has attracted considerable scientific and public attention. This concern stems from both the extremely large seafloor areas that may be impacted by mining, and the very limited knowledge of the fauna and ecology of this region. The environmental factors regulating seafloor ecology are still very poorly understood. In this study, we focus on megafaunal ecology in the proposed conservation zone ‘Area of Particular Environmental Interest 6′ (study area centred 17°16′N, 122°55′W). We employ bathymetric data to objectively define three landscape types in the area (a level bottom Flat, an elevated Ridge, a depressed Trough; water depth 3950–4250 m) that are characteristic of the wider CCZ. We use direct seabed sampling to characterise the sedimentary environment in each landscape, detecting no statistically significant differences in particle size distributions or organic matter content. Additional seafloor characteristics and data on both the metazoan and xenophyophore components of the megafauna were derived by extensive photographic survey from an autonomous underwater vehicle. Image data revealed that there were statistically significant differences in seafloor cover by nodules and in the occurrence of other hard substrata habitat between landscapes. Statistically significant differences in megafauna standing stock, functional structuring, diversity, and faunal composition were detected between landscapes. The Flat and Ridge areas exhibited a significantly higher standing stock and a distinct assemblage composition compared to the Trough. Geomorphological variations, presumably regulating local bottom water flows and the occurrence of nodule and xenophyophore test substrata, between study areas may be the mechanism driving these assemblage differences. We also used these data to assess the influence of sampling unit size on the estimation of ecological parameters. We discuss these results in the contexts of regional benthic ecology and the appropriate management of potential mining activities in the CCZ and elsewhere in the deep ocean.","container-title":"Progress in Oceanography","DOI":"10.1016/j.pocean.2018.11.003","ISSN":"0079-6611","journalAbbreviation":"Progress in Oceanography","page":"119-133","source":"ScienceDirect","title":"Megafaunal variation in the abyssal landscape of the Clarion Clipperton Zone","volume":"170","author":[{"family":"Simon-Lledó","given":"Erik"},{"family":"Bett","given":"Brian J."},{"family":"Huvenne","given":"Veerle A. I."},{"family":"Schoening","given":"Timm"},{"family":"Benoist","given":"Noelie M. A."},{"family":"Jeffreys","given":"Rachel M."},{"family":"Durden","given":"Jennifer M."},{"family":"Jones","given":"Daniel O. B."}],"issued":{"date-parts":[["2019",1,1]]}},"label":"page"}],"schema":"https://github.com/citation-style-language/schema/raw/master/csl-citation.json"} </w:instrText>
      </w:r>
      <w:r w:rsidR="00D12410" w:rsidRPr="00F33368">
        <w:rPr>
          <w:lang w:val="en-GB"/>
        </w:rPr>
        <w:fldChar w:fldCharType="separate"/>
      </w:r>
      <w:r w:rsidR="00D12410" w:rsidRPr="00F33368">
        <w:rPr>
          <w:rFonts w:cs="Times New Roman"/>
          <w:szCs w:val="24"/>
        </w:rPr>
        <w:t>(Morris et al., 2014; Simon-Lledó et al., 2019b)</w:t>
      </w:r>
      <w:r w:rsidR="00D12410" w:rsidRPr="00F33368">
        <w:rPr>
          <w:lang w:val="en-GB"/>
        </w:rPr>
        <w:fldChar w:fldCharType="end"/>
      </w:r>
      <w:r w:rsidR="006924A2" w:rsidRPr="00F33368">
        <w:rPr>
          <w:lang w:val="en-GB"/>
        </w:rPr>
        <w:t>.</w:t>
      </w:r>
      <w:r w:rsidR="006924A2">
        <w:rPr>
          <w:lang w:val="en-GB"/>
        </w:rPr>
        <w:t xml:space="preserve"> Higher altitude AUV surveys can image impressive amounts of seafloor area, while still enabling detection of larger-sized megafauna </w:t>
      </w:r>
      <w:r w:rsidR="006924A2">
        <w:rPr>
          <w:lang w:val="en-GB"/>
        </w:rPr>
        <w:fldChar w:fldCharType="begin"/>
      </w:r>
      <w:r w:rsidR="006924A2">
        <w:rPr>
          <w:lang w:val="en-GB"/>
        </w:rPr>
        <w:instrText xml:space="preserve"> ADDIN ZOTERO_ITEM CSL_CITATION {"citationID":"8bEXiKQ6","properties":{"formattedCitation":"(Simon-Lled\\uc0\\u243{} et al., 2019a)","plainCitation":"(Simon-Lledó et al., 2019a)","noteIndex":0},"citationItems":[{"id":1942,"uris":["http://zotero.org/users/2924329/items/FVSVS6L8"],"uri":["http://zotero.org/users/2924329/items/FVSVS6L8"],"itemData":{"id":1942,"type":"article-journal","abstract":"The potential for imminent abyssal polymetallic nodule exploitation has raised considerable scientific attention. The interface between the targeted nodule resource and sediment in this unusual mosaic habitat promotes the development of some of the most biologically diverse communities in the abyss. However, the ecology of these remote ecosystems is still poorly understood, so it is unclear to what extent and timescale these ecosystems will be affected by, and could recover from, mining disturbance. Using data inferred from seafloor photo-mosaics, we show that the effects of simulated mining impacts, induced during the “DISturbance and reCOLonization experiment” (DISCOL) conducted in 1989, were still evident in the megabenthos of the Peru Basin after 26 years. Suspension-feeder presence remained significantly reduced in disturbed areas, while deposit-feeders showed no diminished presence in disturbed areas, for the first time since the experiment began. Nevertheless, we found significantly lower heterogeneity diversity in disturbed areas and markedly distinct faunal compositions along different disturbance levels. If the results of this experiment at DISCOL can be extrapolated to the Clarion-Clipperton Zone, the impacts of polymetallic nodule mining there may be greater than expected, and could potentially lead to an irreversible loss of some ecosystem functions, especially in directly disturbed areas.","container-title":"Scientific Reports","DOI":"10.1038/s41598-019-44492-w","ISSN":"2045-2322","issue":"1","journalAbbreviation":"Sci Rep","language":"en","note":"number: 1\npublisher: Nature Publishing Group","page":"1-13","source":"www.nature.com","title":"Biological effects 26 years after simulated deep-sea mining","volume":"9","author":[{"family":"Simon-Lledó","given":"Erik"},{"family":"Bett","given":"Brian J."},{"family":"Huvenne","given":"Veerle A. I."},{"family":"Köser","given":"Kevin"},{"family":"Schoening","given":"Timm"},{"family":"Greinert","given":"Jens"},{"family":"Jones","given":"Daniel O. B."}],"issued":{"date-parts":[["2019",5,29]]}}}],"schema":"https://github.com/citation-style-language/schema/raw/master/csl-citation.json"} </w:instrText>
      </w:r>
      <w:r w:rsidR="006924A2">
        <w:rPr>
          <w:lang w:val="en-GB"/>
        </w:rPr>
        <w:fldChar w:fldCharType="separate"/>
      </w:r>
      <w:r w:rsidR="006924A2" w:rsidRPr="006924A2">
        <w:rPr>
          <w:rFonts w:cs="Times New Roman"/>
          <w:szCs w:val="24"/>
        </w:rPr>
        <w:t>(Simon-Lledó et al., 2019a)</w:t>
      </w:r>
      <w:r w:rsidR="006924A2">
        <w:rPr>
          <w:lang w:val="en-GB"/>
        </w:rPr>
        <w:fldChar w:fldCharType="end"/>
      </w:r>
      <w:r w:rsidR="006924A2">
        <w:rPr>
          <w:lang w:val="en-GB"/>
        </w:rPr>
        <w:t>.</w:t>
      </w:r>
    </w:p>
    <w:p w14:paraId="0CE00CB6" w14:textId="74D5E546" w:rsidR="00707EFD" w:rsidRPr="00FD3202" w:rsidRDefault="00707EFD" w:rsidP="00147BC4">
      <w:pPr>
        <w:rPr>
          <w:color w:val="FF0000"/>
          <w:lang w:val="en-GB"/>
        </w:rPr>
      </w:pPr>
      <w:r w:rsidRPr="00FD3202">
        <w:rPr>
          <w:lang w:val="en-GB"/>
        </w:rPr>
        <w:lastRenderedPageBreak/>
        <w:t xml:space="preserve">During cruise GSRNOD15A (September-October 2015), nodule coverage </w:t>
      </w:r>
      <w:r w:rsidR="004A663F">
        <w:rPr>
          <w:lang w:val="en-GB"/>
        </w:rPr>
        <w:t xml:space="preserve">and epifaunal densities were assessed using AUV seafloor imagery </w:t>
      </w:r>
      <w:r w:rsidRPr="00FD3202">
        <w:rPr>
          <w:lang w:val="en-GB"/>
        </w:rPr>
        <w:t xml:space="preserve">in two zones of the GSR </w:t>
      </w:r>
      <w:r w:rsidR="00B73220">
        <w:rPr>
          <w:lang w:val="en-GB"/>
        </w:rPr>
        <w:t>contract</w:t>
      </w:r>
      <w:r w:rsidRPr="00FD3202">
        <w:rPr>
          <w:lang w:val="en-GB"/>
        </w:rPr>
        <w:t xml:space="preserve"> area. </w:t>
      </w:r>
      <w:r w:rsidR="00FC0E4B">
        <w:rPr>
          <w:lang w:val="en-GB"/>
        </w:rPr>
        <w:t>In t</w:t>
      </w:r>
      <w:r w:rsidRPr="00FD3202">
        <w:rPr>
          <w:lang w:val="en-GB"/>
        </w:rPr>
        <w:t xml:space="preserve">his </w:t>
      </w:r>
      <w:r w:rsidR="00FC0E4B" w:rsidRPr="00FD3202">
        <w:rPr>
          <w:lang w:val="en-GB"/>
        </w:rPr>
        <w:t>study,</w:t>
      </w:r>
      <w:r w:rsidRPr="00FD3202">
        <w:rPr>
          <w:lang w:val="en-GB"/>
        </w:rPr>
        <w:t xml:space="preserve"> </w:t>
      </w:r>
      <w:r w:rsidR="00FC0E4B">
        <w:rPr>
          <w:lang w:val="en-GB"/>
        </w:rPr>
        <w:t>we</w:t>
      </w:r>
      <w:r w:rsidRPr="00FD3202">
        <w:rPr>
          <w:lang w:val="en-GB"/>
        </w:rPr>
        <w:t xml:space="preserve"> characterize</w:t>
      </w:r>
      <w:r w:rsidR="00FC0E4B">
        <w:rPr>
          <w:lang w:val="en-GB"/>
        </w:rPr>
        <w:t>d</w:t>
      </w:r>
      <w:r w:rsidRPr="00FD3202">
        <w:rPr>
          <w:lang w:val="en-GB"/>
        </w:rPr>
        <w:t xml:space="preserve"> the megabenthic community in the GSR </w:t>
      </w:r>
      <w:r w:rsidR="00B73220">
        <w:rPr>
          <w:lang w:val="en-GB"/>
        </w:rPr>
        <w:t>contract</w:t>
      </w:r>
      <w:r w:rsidRPr="00FD3202">
        <w:rPr>
          <w:lang w:val="en-GB"/>
        </w:rPr>
        <w:t xml:space="preserve"> area within the CCZ</w:t>
      </w:r>
      <w:r w:rsidR="000E532F">
        <w:rPr>
          <w:lang w:val="en-GB"/>
        </w:rPr>
        <w:t xml:space="preserve">, </w:t>
      </w:r>
      <w:r w:rsidR="00FC0E4B">
        <w:rPr>
          <w:lang w:val="en-GB"/>
        </w:rPr>
        <w:t>by means of a</w:t>
      </w:r>
      <w:r w:rsidRPr="00FD3202">
        <w:rPr>
          <w:lang w:val="en-GB"/>
        </w:rPr>
        <w:t xml:space="preserve"> </w:t>
      </w:r>
      <w:r w:rsidR="000E532F">
        <w:rPr>
          <w:lang w:val="en-GB"/>
        </w:rPr>
        <w:t>rapid AUV</w:t>
      </w:r>
      <w:r w:rsidR="00B77989">
        <w:rPr>
          <w:lang w:val="en-GB"/>
        </w:rPr>
        <w:t>-based imaging assessment</w:t>
      </w:r>
      <w:r w:rsidR="00FC0E4B">
        <w:rPr>
          <w:lang w:val="en-GB"/>
        </w:rPr>
        <w:t>, focussing on</w:t>
      </w:r>
      <w:r w:rsidR="003B6E3D">
        <w:rPr>
          <w:lang w:val="en-GB"/>
        </w:rPr>
        <w:t xml:space="preserve"> images taken at a height of &lt;8m above the seafloor.</w:t>
      </w:r>
      <w:r w:rsidR="000E532F">
        <w:rPr>
          <w:lang w:val="en-GB"/>
        </w:rPr>
        <w:t xml:space="preserve"> T</w:t>
      </w:r>
      <w:r w:rsidR="00FC0E4B">
        <w:rPr>
          <w:lang w:val="en-GB"/>
        </w:rPr>
        <w:t>his enabled the</w:t>
      </w:r>
      <w:r w:rsidR="000E532F">
        <w:rPr>
          <w:lang w:val="en-GB"/>
        </w:rPr>
        <w:t xml:space="preserve"> characterisation of large-sized megafauna over a wide area, at a scale relevant to </w:t>
      </w:r>
      <w:r w:rsidR="00FC0E4B">
        <w:rPr>
          <w:lang w:val="en-GB"/>
        </w:rPr>
        <w:t>potential</w:t>
      </w:r>
      <w:r w:rsidR="000E532F">
        <w:rPr>
          <w:lang w:val="en-GB"/>
        </w:rPr>
        <w:t xml:space="preserve"> mining impact. </w:t>
      </w:r>
      <w:r w:rsidR="00707D68">
        <w:rPr>
          <w:lang w:val="en-GB"/>
        </w:rPr>
        <w:t xml:space="preserve">Additionally, we </w:t>
      </w:r>
      <w:r w:rsidR="000E532F">
        <w:rPr>
          <w:lang w:val="en-GB"/>
        </w:rPr>
        <w:t>assess</w:t>
      </w:r>
      <w:r w:rsidR="00707D68">
        <w:rPr>
          <w:lang w:val="en-GB"/>
        </w:rPr>
        <w:t>ed</w:t>
      </w:r>
      <w:r w:rsidR="000E532F">
        <w:rPr>
          <w:lang w:val="en-GB"/>
        </w:rPr>
        <w:t xml:space="preserve"> how</w:t>
      </w:r>
      <w:r w:rsidR="00493A46">
        <w:rPr>
          <w:lang w:val="en-GB"/>
        </w:rPr>
        <w:t xml:space="preserve"> polymetallic nodule coverage structures the </w:t>
      </w:r>
      <w:r w:rsidR="00493A46" w:rsidRPr="00FD3202">
        <w:rPr>
          <w:lang w:val="en-GB"/>
        </w:rPr>
        <w:t>megabenthic community</w:t>
      </w:r>
      <w:r w:rsidR="00493A46">
        <w:rPr>
          <w:lang w:val="en-GB"/>
        </w:rPr>
        <w:t xml:space="preserve"> in the GSR exploration area</w:t>
      </w:r>
      <w:r w:rsidRPr="00FD3202">
        <w:rPr>
          <w:lang w:val="en-GB"/>
        </w:rPr>
        <w:t>.</w:t>
      </w:r>
    </w:p>
    <w:p w14:paraId="0A545359" w14:textId="77777777" w:rsidR="00387D30" w:rsidRPr="00FD3202" w:rsidRDefault="00387D30" w:rsidP="006601C6">
      <w:pPr>
        <w:pStyle w:val="Kop1"/>
      </w:pPr>
      <w:r w:rsidRPr="00FD3202">
        <w:t>Material &amp; Methods</w:t>
      </w:r>
    </w:p>
    <w:p w14:paraId="126C5D23" w14:textId="77777777" w:rsidR="00B820BC" w:rsidRPr="00B820BC" w:rsidRDefault="00B820BC" w:rsidP="00B820BC">
      <w:pPr>
        <w:pStyle w:val="ListParagraph"/>
        <w:numPr>
          <w:ilvl w:val="0"/>
          <w:numId w:val="25"/>
        </w:numPr>
        <w:rPr>
          <w:rFonts w:cs="Times New Roman"/>
          <w:vanish/>
          <w:lang w:val="en-GB"/>
        </w:rPr>
      </w:pPr>
    </w:p>
    <w:p w14:paraId="75AA93D0" w14:textId="77777777" w:rsidR="00B820BC" w:rsidRPr="00B820BC" w:rsidRDefault="00B820BC" w:rsidP="00B820BC">
      <w:pPr>
        <w:pStyle w:val="ListParagraph"/>
        <w:numPr>
          <w:ilvl w:val="0"/>
          <w:numId w:val="25"/>
        </w:numPr>
        <w:rPr>
          <w:rFonts w:cs="Times New Roman"/>
          <w:vanish/>
          <w:lang w:val="en-GB"/>
        </w:rPr>
      </w:pPr>
    </w:p>
    <w:p w14:paraId="600E3DC5" w14:textId="623DBDE3" w:rsidR="00B9789E" w:rsidRPr="006601C6" w:rsidRDefault="002C07CD" w:rsidP="00B820BC">
      <w:pPr>
        <w:pStyle w:val="Kop2"/>
      </w:pPr>
      <w:r w:rsidRPr="006601C6">
        <w:t xml:space="preserve">Study </w:t>
      </w:r>
      <w:r w:rsidR="00B9789E" w:rsidRPr="006601C6">
        <w:t>area</w:t>
      </w:r>
    </w:p>
    <w:p w14:paraId="7FDA6FEC" w14:textId="529983CA" w:rsidR="00256D54" w:rsidRDefault="00AD255B" w:rsidP="007F255B">
      <w:r w:rsidRPr="00FD3202">
        <w:rPr>
          <w:lang w:val="en-GB"/>
        </w:rPr>
        <w:t xml:space="preserve">The GSR licence area is located </w:t>
      </w:r>
      <w:r w:rsidR="00D036D1" w:rsidRPr="00FD3202">
        <w:rPr>
          <w:lang w:val="en-GB"/>
        </w:rPr>
        <w:t xml:space="preserve">between </w:t>
      </w:r>
      <w:r w:rsidRPr="00FD3202">
        <w:rPr>
          <w:lang w:val="en-GB"/>
        </w:rPr>
        <w:t>the Clarion and Clipperton Fracture zones (CCZ; centred around 12</w:t>
      </w:r>
      <w:r w:rsidRPr="00FD3202">
        <w:rPr>
          <w:rFonts w:cs="Times New Roman"/>
          <w:lang w:val="en-GB"/>
        </w:rPr>
        <w:t>─</w:t>
      </w:r>
      <w:r w:rsidRPr="00FD3202">
        <w:rPr>
          <w:lang w:val="en-GB"/>
        </w:rPr>
        <w:t>17° N, 122</w:t>
      </w:r>
      <w:r w:rsidRPr="00FD3202">
        <w:rPr>
          <w:rFonts w:cs="Times New Roman"/>
          <w:lang w:val="en-GB"/>
        </w:rPr>
        <w:t>─</w:t>
      </w:r>
      <w:r w:rsidRPr="00FD3202">
        <w:rPr>
          <w:lang w:val="en-GB"/>
        </w:rPr>
        <w:t>129° W</w:t>
      </w:r>
      <w:r w:rsidR="006D668A" w:rsidRPr="00FD3202">
        <w:rPr>
          <w:lang w:val="en-GB"/>
        </w:rPr>
        <w:t xml:space="preserve">; </w:t>
      </w:r>
      <w:r w:rsidR="006D668A" w:rsidRPr="00FD3202">
        <w:rPr>
          <w:rFonts w:cs="Times New Roman"/>
          <w:lang w:val="en-GB"/>
        </w:rPr>
        <w:t>±</w:t>
      </w:r>
      <w:r w:rsidR="006D668A" w:rsidRPr="00FD3202">
        <w:rPr>
          <w:lang w:val="en-GB"/>
        </w:rPr>
        <w:t xml:space="preserve"> 4500 m water depth</w:t>
      </w:r>
      <w:r w:rsidRPr="00FD3202">
        <w:rPr>
          <w:lang w:val="en-GB"/>
        </w:rPr>
        <w:t xml:space="preserve">). </w:t>
      </w:r>
      <w:r w:rsidR="005451D3" w:rsidRPr="00FD3202">
        <w:rPr>
          <w:lang w:val="en-GB"/>
        </w:rPr>
        <w:t xml:space="preserve">The CCZ is located within the mesotrophic Pacific abyss, positioned between the eutrophic abyssal sediments around the equator and the oligotrophic sediments underlying </w:t>
      </w:r>
      <w:r w:rsidR="00B42DE8" w:rsidRPr="00FD3202">
        <w:rPr>
          <w:lang w:val="en-GB"/>
        </w:rPr>
        <w:t xml:space="preserve">the North Pacific central gyre. </w:t>
      </w:r>
      <w:r w:rsidR="0057655B">
        <w:rPr>
          <w:lang w:val="en-GB"/>
        </w:rPr>
        <w:t xml:space="preserve">The region is characterized by a longitudinal and latitudinal gradient in productivity </w:t>
      </w:r>
      <w:r w:rsidR="0057655B">
        <w:rPr>
          <w:lang w:val="en-GB"/>
        </w:rPr>
        <w:fldChar w:fldCharType="begin"/>
      </w:r>
      <w:r w:rsidR="00312465">
        <w:rPr>
          <w:lang w:val="en-GB"/>
        </w:rPr>
        <w:instrText xml:space="preserve"> ADDIN ZOTERO_ITEM CSL_CITATION {"citationID":"bFLETDB7","properties":{"formattedCitation":"(Wedding et al., 2013)","plainCitation":"(Wedding et al., 2013)","noteIndex":0},"citationItems":[{"id":767,"uris":["http://zotero.org/groups/512020/items/9XN79IKN"],"uri":["http://zotero.org/groups/512020/items/9XN79IKN"],"itemData":{"id":767,"type":"article-journal","abstract":"Increases in the demand and price for industrial metals, combined with advances in technological capabilities have now made deep-sea mining more feasible and economically viable. In order to balance economic interests with the conservation of abyssal plain ecosystems, it is becoming increasingly important to develop a systematic approach to spatial management and zoning of the deep sea. Here, we describe an expert-driven systematic conservation planning process applied to inform science-based recommendations to the International Seabed Authority for a system of deep-sea marine protected areas (MPAs) to safeguard biodiversity and ecosystem function in an abyssal Pacific region targeted for nodule mining (e.g. the Clarion–Clipperton fracture zone, CCZ). Our use of geospatial analysis and expert opinion in forming the recommendations allowed us to stratify the proposed network by biophysical gradients, maximize the number of biologically unique seamounts within each subregion, and minimize socioeconomic impacts. The resulting proposal for an MPA network (nine replicate 400 × 400 km MPAs) covers 24% (1 440 000 km2) of the total CCZ planning region and serves as example of swift and pre-emptive conservation planning across an unprecedented area in the deep sea. As pressure from resource extraction increases in the future, the scientific guiding principles outlined in this research can serve as a basis for collaborative international approaches to ocean management.","call-number":"EP-W37","container-title":"Proceedings of the Royal Society B: Biological Sciences","DOI":"10.1098/rspb.2013.1684","ISSN":"0962-8452, 1471-2954","issue":"1773","journalAbbreviation":"Proc. R. Soc. B","language":"en","page":"20131684","source":"rspb.royalsocietypublishing.org","title":"From principles to practice: a spatial approach to systematic conservation planning in the deep sea","title-short":"From principles to practice","volume":"280","author":[{"family":"Wedding","given":"L. M."},{"family":"Friedlander","given":"A. M."},{"family":"Kittinger","given":"J. N."},{"family":"Watling","given":"L."},{"family":"Gaines","given":"S. D."},{"family":"Bennett","given":"M."},{"family":"Hardy","given":"S. M."},{"family":"Smith","given":"C. R."}],"issued":{"date-parts":[["2013",12,22]]}}}],"schema":"https://github.com/citation-style-language/schema/raw/master/csl-citation.json"} </w:instrText>
      </w:r>
      <w:r w:rsidR="0057655B">
        <w:rPr>
          <w:lang w:val="en-GB"/>
        </w:rPr>
        <w:fldChar w:fldCharType="separate"/>
      </w:r>
      <w:r w:rsidR="0057655B" w:rsidRPr="0057655B">
        <w:rPr>
          <w:rFonts w:cs="Times New Roman"/>
        </w:rPr>
        <w:t>(Wedding et al., 2013)</w:t>
      </w:r>
      <w:r w:rsidR="0057655B">
        <w:rPr>
          <w:lang w:val="en-GB"/>
        </w:rPr>
        <w:fldChar w:fldCharType="end"/>
      </w:r>
      <w:r w:rsidR="0057655B">
        <w:rPr>
          <w:lang w:val="en-GB"/>
        </w:rPr>
        <w:t xml:space="preserve">. </w:t>
      </w:r>
      <w:r w:rsidR="00B73220">
        <w:t xml:space="preserve">Within the GSR </w:t>
      </w:r>
      <w:r w:rsidR="00B73220">
        <w:rPr>
          <w:lang w:val="en-GB"/>
        </w:rPr>
        <w:t>contract</w:t>
      </w:r>
      <w:r w:rsidR="00B9113B" w:rsidRPr="00F55591">
        <w:t xml:space="preserve"> area, three 10 x 20 km sampling</w:t>
      </w:r>
      <w:r w:rsidR="00B9113B">
        <w:t xml:space="preserve"> site</w:t>
      </w:r>
      <w:r w:rsidR="00B9113B" w:rsidRPr="00F55591">
        <w:t>s (B6S02, B4S03 and B4N01</w:t>
      </w:r>
      <w:r w:rsidR="00B9113B">
        <w:t>) located</w:t>
      </w:r>
      <w:r w:rsidR="00B9113B" w:rsidRPr="00F55591">
        <w:t xml:space="preserve"> between ~ 60 an</w:t>
      </w:r>
      <w:r w:rsidR="00B9113B">
        <w:t>d 270 km apart from each other (</w:t>
      </w:r>
      <w:r w:rsidR="00B9113B" w:rsidRPr="00072828">
        <w:t>Fig. 1)</w:t>
      </w:r>
      <w:r w:rsidR="00B9113B" w:rsidRPr="00F55591">
        <w:t xml:space="preserve"> were selected based on the presence of polymetallic nodules and suitability for future deep-sea mining from (1) available ecological literature, (2) </w:t>
      </w:r>
      <w:r w:rsidR="00963325">
        <w:t xml:space="preserve">low resolution </w:t>
      </w:r>
      <w:r w:rsidR="00B9113B" w:rsidRPr="00F55591">
        <w:t>bathymetry</w:t>
      </w:r>
      <w:r w:rsidR="00963325">
        <w:t xml:space="preserve"> </w:t>
      </w:r>
      <w:r w:rsidR="00963325">
        <w:rPr>
          <w:rFonts w:ascii="Calibri" w:hAnsi="Calibri" w:cs="Calibri"/>
          <w:color w:val="000000"/>
        </w:rPr>
        <w:t>(</w:t>
      </w:r>
      <w:r w:rsidR="00963325" w:rsidRPr="00447FA6">
        <w:rPr>
          <w:rFonts w:ascii="Calibri" w:hAnsi="Calibri" w:cs="Calibri"/>
          <w:i/>
          <w:color w:val="000000"/>
        </w:rPr>
        <w:t>i.e.</w:t>
      </w:r>
      <w:r w:rsidR="00963325">
        <w:rPr>
          <w:rFonts w:ascii="Calibri" w:hAnsi="Calibri" w:cs="Calibri"/>
          <w:color w:val="000000"/>
        </w:rPr>
        <w:t xml:space="preserve"> 70 m horizontally, 50 m vertically)</w:t>
      </w:r>
      <w:r w:rsidR="00B9113B" w:rsidRPr="00F55591">
        <w:t xml:space="preserve"> and slope maps</w:t>
      </w:r>
      <w:r w:rsidR="00963325">
        <w:t xml:space="preserve"> (a slope </w:t>
      </w:r>
      <w:r w:rsidR="00EF0132">
        <w:rPr>
          <w:rFonts w:ascii="Calibri" w:hAnsi="Calibri" w:cs="Calibri"/>
          <w:color w:val="000000"/>
        </w:rPr>
        <w:t>&lt; 15%</w:t>
      </w:r>
      <w:r w:rsidR="00963325">
        <w:rPr>
          <w:rFonts w:ascii="Calibri" w:hAnsi="Calibri" w:cs="Calibri"/>
          <w:color w:val="000000"/>
        </w:rPr>
        <w:t>)</w:t>
      </w:r>
      <w:r w:rsidR="00B9113B" w:rsidRPr="00F55591">
        <w:t xml:space="preserve">, and (3) backscatter intensity data (giving an indication of the potential presence of polymetallic nodules) collected during a previous expedition to the </w:t>
      </w:r>
      <w:r w:rsidR="00B73220">
        <w:rPr>
          <w:lang w:val="en-GB"/>
        </w:rPr>
        <w:t>contract</w:t>
      </w:r>
      <w:r w:rsidR="00B9113B" w:rsidRPr="00F55591">
        <w:t xml:space="preserve"> area (August-September </w:t>
      </w:r>
      <w:r w:rsidR="00256D54">
        <w:t>2014).</w:t>
      </w:r>
    </w:p>
    <w:p w14:paraId="34DF8334" w14:textId="7BF3835B" w:rsidR="00256D54" w:rsidRDefault="00256D54" w:rsidP="00256D54">
      <w:pPr>
        <w:jc w:val="center"/>
      </w:pPr>
      <w:r w:rsidRPr="008D69AA">
        <w:rPr>
          <w:rFonts w:cs="Times New Roman"/>
          <w:noProof/>
        </w:rPr>
        <w:lastRenderedPageBreak/>
        <w:drawing>
          <wp:inline distT="0" distB="0" distL="0" distR="0" wp14:anchorId="63707271" wp14:editId="13405020">
            <wp:extent cx="4972685" cy="5821349"/>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_GSRNOD15A_macrofauna_paper.tif"/>
                    <pic:cNvPicPr/>
                  </pic:nvPicPr>
                  <pic:blipFill rotWithShape="1">
                    <a:blip r:embed="rId17">
                      <a:extLst>
                        <a:ext uri="{28A0092B-C50C-407E-A947-70E740481C1C}">
                          <a14:useLocalDpi xmlns:a14="http://schemas.microsoft.com/office/drawing/2010/main" val="0"/>
                        </a:ext>
                      </a:extLst>
                    </a:blip>
                    <a:srcRect t="5293" b="6807"/>
                    <a:stretch/>
                  </pic:blipFill>
                  <pic:spPr bwMode="auto">
                    <a:xfrm>
                      <a:off x="0" y="0"/>
                      <a:ext cx="4973416" cy="5822205"/>
                    </a:xfrm>
                    <a:prstGeom prst="rect">
                      <a:avLst/>
                    </a:prstGeom>
                    <a:ln>
                      <a:noFill/>
                    </a:ln>
                    <a:extLst>
                      <a:ext uri="{53640926-AAD7-44D8-BBD7-CCE9431645EC}">
                        <a14:shadowObscured xmlns:a14="http://schemas.microsoft.com/office/drawing/2010/main"/>
                      </a:ext>
                    </a:extLst>
                  </pic:spPr>
                </pic:pic>
              </a:graphicData>
            </a:graphic>
          </wp:inline>
        </w:drawing>
      </w:r>
    </w:p>
    <w:p w14:paraId="44BF0BBE" w14:textId="471F710B" w:rsidR="0091717C" w:rsidRDefault="0091717C" w:rsidP="0091717C">
      <w:pPr>
        <w:spacing w:line="240" w:lineRule="auto"/>
        <w:rPr>
          <w:rFonts w:cs="Times New Roman"/>
          <w:sz w:val="20"/>
          <w:lang w:val="en-GB"/>
        </w:rPr>
      </w:pPr>
      <w:r w:rsidRPr="0091717C">
        <w:rPr>
          <w:rFonts w:cs="Times New Roman"/>
          <w:sz w:val="20"/>
          <w:lang w:val="en-GB"/>
        </w:rPr>
        <w:t xml:space="preserve">Figure 1. (A) The location of the Clarion-Clipperton Fracture Zone (CCZ) within the central Equatorial Pacific, with an indication of the Global Sea Mineral Resources (GSR) exploration area. (B) Detailed view on site B4S03 within the GSR exploration area, showing the tracks of the AUV camera dives AUV011 and AUV012. (C) Detailed view on site B6S02 within the GSR exploration area, showing the track of the AUV camera dive AUV005. The coordinates of the CCZ polygon was based on the working definition of the CCZ used by Glover </w:t>
      </w:r>
      <w:r w:rsidRPr="0091717C">
        <w:rPr>
          <w:rFonts w:cs="Times New Roman"/>
          <w:i/>
          <w:sz w:val="20"/>
          <w:lang w:val="en-GB"/>
        </w:rPr>
        <w:t>et al.</w:t>
      </w:r>
      <w:r w:rsidRPr="0091717C">
        <w:rPr>
          <w:rFonts w:cs="Times New Roman"/>
          <w:sz w:val="20"/>
          <w:lang w:val="en-GB"/>
        </w:rPr>
        <w:t xml:space="preserve"> </w:t>
      </w:r>
      <w:r w:rsidRPr="0091717C">
        <w:rPr>
          <w:rFonts w:cs="Times New Roman"/>
          <w:sz w:val="20"/>
          <w:lang w:val="en-GB"/>
        </w:rPr>
        <w:fldChar w:fldCharType="begin"/>
      </w:r>
      <w:r w:rsidRPr="0091717C">
        <w:rPr>
          <w:rFonts w:cs="Times New Roman"/>
          <w:sz w:val="20"/>
          <w:lang w:val="en-GB"/>
        </w:rPr>
        <w:instrText xml:space="preserve"> ADDIN ZOTERO_ITEM CSL_CITATION {"citationID":"JPihZDAY","properties":{"formattedCitation":"(2015)","plainCitation":"(2015)","noteIndex":0},"citationItems":[{"id":596,"uris":["http://zotero.org/groups/512020/items/E2R55KRP"],"uri":["http://zotero.org/groups/512020/items/E2R55KRP"],"itemData":{"id":596,"type":"article-journal","call-number":"EP-G76","container-title":"Journal of Marine Science and Engineering","DOI":"10.3390/jmse4010002","issue":"2","page":"1-34","title":"An end-to-end DNA taxonomy methodology for biodiversity survey in the central Pacific abyssal plain","volume":"4","author":[{"family":"Glover","given":"Adrian"},{"family":"Dahlgren","given":"Thomas G."},{"family":"Wiklund","given":"Helena"},{"family":"Smith","given":"Craig R."}],"issued":{"date-parts":[["2015"]]}},"label":"page","suppress-author":true}],"schema":"https://github.com/citation-style-language/schema/raw/master/csl-citation.json"} </w:instrText>
      </w:r>
      <w:r w:rsidRPr="0091717C">
        <w:rPr>
          <w:rFonts w:cs="Times New Roman"/>
          <w:sz w:val="20"/>
          <w:lang w:val="en-GB"/>
        </w:rPr>
        <w:fldChar w:fldCharType="separate"/>
      </w:r>
      <w:r w:rsidRPr="0091717C">
        <w:rPr>
          <w:rFonts w:cs="Times New Roman"/>
          <w:sz w:val="20"/>
          <w:lang w:val="en-GB"/>
        </w:rPr>
        <w:t>(2015)</w:t>
      </w:r>
      <w:r w:rsidRPr="0091717C">
        <w:rPr>
          <w:rFonts w:cs="Times New Roman"/>
          <w:sz w:val="20"/>
          <w:lang w:val="en-GB"/>
        </w:rPr>
        <w:fldChar w:fldCharType="end"/>
      </w:r>
      <w:r w:rsidRPr="0091717C">
        <w:rPr>
          <w:rFonts w:cs="Times New Roman"/>
          <w:sz w:val="20"/>
          <w:lang w:val="en-GB"/>
        </w:rPr>
        <w:t>.</w:t>
      </w:r>
    </w:p>
    <w:p w14:paraId="1C408917" w14:textId="77777777" w:rsidR="0091717C" w:rsidRPr="0091717C" w:rsidRDefault="0091717C" w:rsidP="0091717C">
      <w:pPr>
        <w:spacing w:line="240" w:lineRule="auto"/>
        <w:rPr>
          <w:sz w:val="20"/>
        </w:rPr>
      </w:pPr>
    </w:p>
    <w:p w14:paraId="0E91D73F" w14:textId="07DDA456" w:rsidR="00113658" w:rsidRPr="00FD3202" w:rsidRDefault="00B9113B" w:rsidP="007F255B">
      <w:pPr>
        <w:rPr>
          <w:color w:val="FF0000"/>
          <w:lang w:val="en-GB"/>
        </w:rPr>
      </w:pPr>
      <w:r>
        <w:t xml:space="preserve">Although we lacked a comprehensive evaluation of the </w:t>
      </w:r>
      <w:r w:rsidRPr="00F55591">
        <w:t>habitat heterogeneity</w:t>
      </w:r>
      <w:r>
        <w:t xml:space="preserve"> covered by the selected sites</w:t>
      </w:r>
      <w:r w:rsidRPr="00F55591">
        <w:t xml:space="preserve">, </w:t>
      </w:r>
      <w:r w:rsidR="00886719">
        <w:t xml:space="preserve">based on low resolution bathymetric data, the </w:t>
      </w:r>
      <w:r>
        <w:t xml:space="preserve">sites </w:t>
      </w:r>
      <w:r w:rsidR="00886719">
        <w:t>are</w:t>
      </w:r>
      <w:r w:rsidRPr="00F55591">
        <w:t xml:space="preserve"> similar with respect to </w:t>
      </w:r>
      <w:r>
        <w:t>bathymetry and slope</w:t>
      </w:r>
      <w:r w:rsidRPr="00F55591">
        <w:t>.</w:t>
      </w:r>
      <w:r>
        <w:t xml:space="preserve"> </w:t>
      </w:r>
      <w:r w:rsidR="00090CCA" w:rsidRPr="00FD3202">
        <w:rPr>
          <w:lang w:val="en-GB"/>
        </w:rPr>
        <w:t xml:space="preserve">The GSR </w:t>
      </w:r>
      <w:r w:rsidR="00B73220">
        <w:rPr>
          <w:lang w:val="en-GB"/>
        </w:rPr>
        <w:t>contract</w:t>
      </w:r>
      <w:r w:rsidR="00090CCA" w:rsidRPr="00FD3202">
        <w:rPr>
          <w:lang w:val="en-GB"/>
        </w:rPr>
        <w:t xml:space="preserve"> area</w:t>
      </w:r>
      <w:r w:rsidR="0055592B" w:rsidRPr="00FD3202">
        <w:rPr>
          <w:lang w:val="en-GB"/>
        </w:rPr>
        <w:t>, positioned in the eastern CCZ,</w:t>
      </w:r>
      <w:r w:rsidR="00090CCA" w:rsidRPr="00FD3202">
        <w:rPr>
          <w:lang w:val="en-GB"/>
        </w:rPr>
        <w:t xml:space="preserve"> is characterized by a latitudinal and longitudinal gradient in the annual average </w:t>
      </w:r>
      <w:r w:rsidR="003541F7" w:rsidRPr="00FD3202">
        <w:rPr>
          <w:lang w:val="en-GB"/>
        </w:rPr>
        <w:t xml:space="preserve">seafloor </w:t>
      </w:r>
      <w:r w:rsidR="0055592B" w:rsidRPr="00FD3202">
        <w:rPr>
          <w:lang w:val="en-GB"/>
        </w:rPr>
        <w:t>particulate organic carbon (</w:t>
      </w:r>
      <w:r w:rsidR="00090CCA" w:rsidRPr="00FD3202">
        <w:rPr>
          <w:lang w:val="en-GB"/>
        </w:rPr>
        <w:t>POC</w:t>
      </w:r>
      <w:r w:rsidR="0055592B" w:rsidRPr="00FD3202">
        <w:rPr>
          <w:lang w:val="en-GB"/>
        </w:rPr>
        <w:t>)</w:t>
      </w:r>
      <w:r w:rsidR="00B63DDF" w:rsidRPr="00FD3202">
        <w:rPr>
          <w:lang w:val="en-GB"/>
        </w:rPr>
        <w:t xml:space="preserve"> flux. POC values </w:t>
      </w:r>
      <w:r w:rsidR="00492E2A" w:rsidRPr="00FD3202">
        <w:rPr>
          <w:lang w:val="en-GB"/>
        </w:rPr>
        <w:t xml:space="preserve">slightly </w:t>
      </w:r>
      <w:r w:rsidR="00090CCA" w:rsidRPr="00FD3202">
        <w:rPr>
          <w:lang w:val="en-GB"/>
        </w:rPr>
        <w:t>increas</w:t>
      </w:r>
      <w:r w:rsidR="00B63DDF" w:rsidRPr="00FD3202">
        <w:rPr>
          <w:lang w:val="en-GB"/>
        </w:rPr>
        <w:t>e</w:t>
      </w:r>
      <w:r w:rsidR="00090CCA" w:rsidRPr="00FD3202">
        <w:rPr>
          <w:lang w:val="en-GB"/>
        </w:rPr>
        <w:t xml:space="preserve"> from B4N01</w:t>
      </w:r>
      <w:r w:rsidR="001003A8" w:rsidRPr="00FD3202">
        <w:rPr>
          <w:lang w:val="en-GB"/>
        </w:rPr>
        <w:t xml:space="preserve"> </w:t>
      </w:r>
      <w:r w:rsidR="00090CCA" w:rsidRPr="00FD3202">
        <w:rPr>
          <w:lang w:val="en-GB"/>
        </w:rPr>
        <w:t>(1.51 g C</w:t>
      </w:r>
      <w:r w:rsidR="00090CCA" w:rsidRPr="00FD3202">
        <w:rPr>
          <w:vertAlign w:val="subscript"/>
          <w:lang w:val="en-GB"/>
        </w:rPr>
        <w:t>org</w:t>
      </w:r>
      <w:r w:rsidR="00090CCA" w:rsidRPr="00FD3202">
        <w:rPr>
          <w:lang w:val="en-GB"/>
        </w:rPr>
        <w:t xml:space="preserve"> m</w:t>
      </w:r>
      <w:r w:rsidR="00090CCA" w:rsidRPr="00FD3202">
        <w:rPr>
          <w:vertAlign w:val="superscript"/>
          <w:lang w:val="en-GB"/>
        </w:rPr>
        <w:t>-2</w:t>
      </w:r>
      <w:r w:rsidR="00090CCA" w:rsidRPr="00FD3202">
        <w:rPr>
          <w:lang w:val="en-GB"/>
        </w:rPr>
        <w:t xml:space="preserve"> year</w:t>
      </w:r>
      <w:r w:rsidR="00090CCA" w:rsidRPr="00FD3202">
        <w:rPr>
          <w:vertAlign w:val="superscript"/>
          <w:lang w:val="en-GB"/>
        </w:rPr>
        <w:t>-1</w:t>
      </w:r>
      <w:r w:rsidR="00090CCA" w:rsidRPr="00FD3202">
        <w:rPr>
          <w:lang w:val="en-GB"/>
        </w:rPr>
        <w:t>) to B4S03 (1.56 g C</w:t>
      </w:r>
      <w:r w:rsidR="00090CCA" w:rsidRPr="00FD3202">
        <w:rPr>
          <w:vertAlign w:val="subscript"/>
          <w:lang w:val="en-GB"/>
        </w:rPr>
        <w:t>org</w:t>
      </w:r>
      <w:r w:rsidR="00090CCA" w:rsidRPr="00FD3202">
        <w:rPr>
          <w:lang w:val="en-GB"/>
        </w:rPr>
        <w:t xml:space="preserve"> m</w:t>
      </w:r>
      <w:r w:rsidR="00090CCA" w:rsidRPr="00FD3202">
        <w:rPr>
          <w:vertAlign w:val="superscript"/>
          <w:lang w:val="en-GB"/>
        </w:rPr>
        <w:t>-2</w:t>
      </w:r>
      <w:r w:rsidR="00090CCA" w:rsidRPr="00FD3202">
        <w:rPr>
          <w:lang w:val="en-GB"/>
        </w:rPr>
        <w:t xml:space="preserve"> year</w:t>
      </w:r>
      <w:r w:rsidR="00090CCA" w:rsidRPr="00FD3202">
        <w:rPr>
          <w:vertAlign w:val="superscript"/>
          <w:lang w:val="en-GB"/>
        </w:rPr>
        <w:t>-1</w:t>
      </w:r>
      <w:r w:rsidR="00090CCA" w:rsidRPr="00FD3202">
        <w:rPr>
          <w:lang w:val="en-GB"/>
        </w:rPr>
        <w:t>) to B6S02 (1.61 g C</w:t>
      </w:r>
      <w:r w:rsidR="00090CCA" w:rsidRPr="00FD3202">
        <w:rPr>
          <w:vertAlign w:val="subscript"/>
          <w:lang w:val="en-GB"/>
        </w:rPr>
        <w:t>org</w:t>
      </w:r>
      <w:r w:rsidR="00090CCA" w:rsidRPr="00FD3202">
        <w:rPr>
          <w:lang w:val="en-GB"/>
        </w:rPr>
        <w:t xml:space="preserve"> m</w:t>
      </w:r>
      <w:r w:rsidR="00090CCA" w:rsidRPr="00FD3202">
        <w:rPr>
          <w:vertAlign w:val="superscript"/>
          <w:lang w:val="en-GB"/>
        </w:rPr>
        <w:t>-2</w:t>
      </w:r>
      <w:r w:rsidR="00090CCA" w:rsidRPr="00FD3202">
        <w:rPr>
          <w:lang w:val="en-GB"/>
        </w:rPr>
        <w:t xml:space="preserve"> year</w:t>
      </w:r>
      <w:r w:rsidR="00090CCA" w:rsidRPr="00FD3202">
        <w:rPr>
          <w:vertAlign w:val="superscript"/>
          <w:lang w:val="en-GB"/>
        </w:rPr>
        <w:t>-1</w:t>
      </w:r>
      <w:r w:rsidR="00090CCA" w:rsidRPr="00FD3202">
        <w:rPr>
          <w:lang w:val="en-GB"/>
        </w:rPr>
        <w:t xml:space="preserve">) </w:t>
      </w:r>
      <w:r w:rsidR="00090CCA" w:rsidRPr="00FD3202">
        <w:rPr>
          <w:lang w:val="en-GB"/>
        </w:rPr>
        <w:fldChar w:fldCharType="begin"/>
      </w:r>
      <w:r w:rsidR="00B13190">
        <w:rPr>
          <w:lang w:val="en-GB"/>
        </w:rPr>
        <w:instrText xml:space="preserve"> ADDIN ZOTERO_ITEM CSL_CITATION {"citationID":"QqpwcYrh","properties":{"formattedCitation":"(Lutz et al., 2007)","plainCitation":"(Lutz et al., 2007)","noteIndex":0},"citationItems":[{"id":222,"uris":["http://zotero.org/users/2924329/items/XKETIMF9"],"uri":["http://zotero.org/users/2924329/items/XKETIMF9"],"itemData":{"id":222,"type":"article-journal","abstract":"We investigate the functioning of the ocean’s biological pump by analyzing the vertical transfer efficiency of particulate organic carbon (POC). Data evaluated include globally distributed time series of sediment trap POC flux, and remotely sensed estimates of net primary production (NPP) and sea surface temperature (SST). Mathematical techniques are developed to compare these temporally discordant time series using NPP and POC flux climatologies. The seasonal variation of NPP is mapped and shows regional- and basin-scale biogeographic patterns reflecting solar, climatic, and oceanographic controls. Patterns of flux are similar, with more high-frequency variability and a subtropical-subpolar pattern of maximum flux delayed by about 5 days per degree latitude increase, coherent across multiple sediment trap time series. Seasonal production-to-flux analyses indicate during intervals of bloom production, the sinking fraction of NPP is typically half that of other seasons. This globally synchronous pattern may result from seasonally varying biodegradability or multiseasonal retention of POC. The relationship between NPP variability and flux variability reverses with latitude, and may reflect dominance by the large-amplitude seasonal NPP signal at higher latitudes. We construct algorithms describing labile and refractory flux components as a function of remotely sensed NPP rates, NPP variability, and SST, which predict POC flux with accuracies greater than equations typically employed by global climate models. Globally mapped predictions of POC export, flux to depth, and sedimentation are supplied. Results indicate improved ocean carbon cycle forecasts may be obtained by combining satellite-based observations and more mechanistic representations taking into account factors such as mineral ballasting and ecosystem structure.","container-title":"Journal of Geophysical Research: Oceans","DOI":"10.1029/2006JC003706","ISSN":"2156-2202","issue":"C10","journalAbbreviation":"J. Geophys. Res.","language":"en","page":"C10011","source":"Wiley Online Library","title":"Seasonal rhythms of net primary production and particulate organic carbon flux to depth describe the efficiency of biological pump in the global ocean","volume":"112","author":[{"family":"Lutz","given":"Michael J."},{"family":"Caldeira","given":"Ken"},{"family":"Dunbar","given":"Robert B."},{"family":"Behrenfeld","given":"Michael J."}],"issued":{"date-parts":[["2007",10,1]]}}}],"schema":"https://github.com/citation-style-language/schema/raw/master/csl-citation.json"} </w:instrText>
      </w:r>
      <w:r w:rsidR="00090CCA" w:rsidRPr="00FD3202">
        <w:rPr>
          <w:lang w:val="en-GB"/>
        </w:rPr>
        <w:fldChar w:fldCharType="separate"/>
      </w:r>
      <w:r w:rsidR="00B13190" w:rsidRPr="00B13190">
        <w:rPr>
          <w:rFonts w:cs="Times New Roman"/>
        </w:rPr>
        <w:t>(Lutz et al., 2007)</w:t>
      </w:r>
      <w:r w:rsidR="00090CCA" w:rsidRPr="00FD3202">
        <w:rPr>
          <w:lang w:val="en-GB"/>
        </w:rPr>
        <w:fldChar w:fldCharType="end"/>
      </w:r>
      <w:r w:rsidR="00090CCA" w:rsidRPr="00FD3202">
        <w:rPr>
          <w:lang w:val="en-GB"/>
        </w:rPr>
        <w:t>.</w:t>
      </w:r>
      <w:r w:rsidR="008B3D81">
        <w:rPr>
          <w:lang w:val="en-GB"/>
        </w:rPr>
        <w:t xml:space="preserve"> Despite this POC flux gradient, a rather </w:t>
      </w:r>
      <w:r w:rsidR="00DE6EBD">
        <w:rPr>
          <w:lang w:val="en-GB"/>
        </w:rPr>
        <w:t>similar</w:t>
      </w:r>
      <w:r w:rsidR="008B3D81">
        <w:rPr>
          <w:lang w:val="en-GB"/>
        </w:rPr>
        <w:t xml:space="preserve"> macro- and meiofauna </w:t>
      </w:r>
      <w:r w:rsidR="008B3D81">
        <w:rPr>
          <w:lang w:val="en-GB"/>
        </w:rPr>
        <w:lastRenderedPageBreak/>
        <w:t>community</w:t>
      </w:r>
      <w:r w:rsidR="00DE6EBD">
        <w:rPr>
          <w:lang w:val="en-GB"/>
        </w:rPr>
        <w:t>, in terms of densities and the composition of higher taxa,</w:t>
      </w:r>
      <w:r w:rsidR="008B3D81">
        <w:rPr>
          <w:lang w:val="en-GB"/>
        </w:rPr>
        <w:t xml:space="preserve"> was observed at a scale of 10 to 100s of km in the GSR </w:t>
      </w:r>
      <w:r w:rsidR="00B73220">
        <w:rPr>
          <w:lang w:val="en-GB"/>
        </w:rPr>
        <w:t>contract</w:t>
      </w:r>
      <w:r w:rsidR="008B3D81">
        <w:rPr>
          <w:lang w:val="en-GB"/>
        </w:rPr>
        <w:t xml:space="preserve"> area</w:t>
      </w:r>
      <w:r w:rsidR="00A01621">
        <w:rPr>
          <w:lang w:val="en-GB"/>
        </w:rPr>
        <w:t xml:space="preserve"> </w:t>
      </w:r>
      <w:r w:rsidR="00A01621">
        <w:rPr>
          <w:lang w:val="en-GB"/>
        </w:rPr>
        <w:fldChar w:fldCharType="begin"/>
      </w:r>
      <w:r w:rsidR="00312465">
        <w:rPr>
          <w:lang w:val="en-GB"/>
        </w:rPr>
        <w:instrText xml:space="preserve"> ADDIN ZOTERO_ITEM CSL_CITATION {"citationID":"84R7LuBQ","properties":{"formattedCitation":"(De Smet et al., 2017; Pape et al., 2017)","plainCitation":"(De Smet et al., 2017; Pape et al., 2017)","noteIndex":0},"citationItems":[{"id":672,"uris":["http://zotero.org/groups/512020/items/2WCEFM22"],"uri":["http://zotero.org/groups/512020/items/2WCEFM22"],"itemData":{"id":672,"type":"article-journal","abstract":"Deep-sea areas characterized by the presence of polymetallic nodules are getting increased attention due to their potential commercial and strategic interest for metals such as nickel, copper and cobalt. The polymetallic nodules occur in areas beyond national jurisdiction, regulated by the International Seabed Authority (ISA). Under exploration contracts, contractors have the obligation to determine the environmental baseline in the exploration areas. Despite a large number of scientific cruises to the central east Pacific Ocean, few published data on the macrofaunal biodiversity and community structure are available for the abyssal fields of the Clarion-Clipperton Fracture Zone (CCFZ). This study focused on the macrofaunal abundance, diversity and community structure in three physically comparable, mineable sites located in the license area of Global Sea Mineral Resources N.V., at ~ 4500 m depth. A homogeneous but diverse macrofaunal community associated with the sediment from polymetallic nodule areas was observed at a scale of 10s to 100s of km. However, slight differences in the abundance and diversity of Polychaeta between sites can be explained by a decline in the estimated flux of particulate organic carbon (POC) along a southeast-northwest gradient, as well as by small differences in sediment characteristics and nodule abundance. The observed homogeneity in the macrofaunal community is an important prerequisite for assigning areas for impact and preservation reference zones. However, a precautionary approach regarding mining activities is recommended, awaiting further research during the exploration phase on environmental factors structuring macrofaunal communities in the CCFZ. For instance, future studies should consider habitat heterogeneity, which was previously shown to structure macrofauna communities at larger spatial scales. Acknowledging the limited sampling in the current study, a large fraction (59-85%; depending on the richness estimator used and the macrofaunal taxon of interest) of the macrofaunal genus/species diversity from the habitat under study was characterized.","container-title":"Frontiers in Marine Science","DOI":"10.3389/fmars.2017.00103","ISSN":"2296-7745","journalAbbreviation":"Front. Mar. Sci.","language":"English","source":"Frontiers","title":"The Community Structure of Deep-Sea Macrofauna Associated with Polymetallic Nodules in the Eastern Part of the Clarion-Clipperton Fracture Zone","URL":"http://journal.frontiersin.org/article/10.3389/fmars.2017.00103/abstract","volume":"4","author":[{"family":"De Smet","given":"Bart"},{"family":"Pape","given":"Ellen"},{"family":"Riehl","given":"Torben"},{"family":"Bonifácio","given":"Paulo"},{"family":"Colson","given":"Liesbet"},{"family":"Vanreusel","given":"Ann"}],"accessed":{"date-parts":[["2017",4,11]]},"issued":{"date-parts":[["2017"]]}},"label":"page"},{"id":591,"uris":["http://zotero.org/groups/512020/items/ZNSITQU8"],"uri":["http://zotero.org/groups/512020/items/ZNSITQU8"],"itemData":{"id":591,"type":"article-journal","abstract":"To be able to adequately assess potential environmental impacts of deep-sea polymetallic nodule mining, the establishment of a proper environmental baseline, incorporating both spatial and temporal variability, is essential. The aim of the present study was to evaluate both spatial and intra-annual variability in meiofauna (higher taxa) and nematode communities (families and genera, and Halalaimus species) within the license area of Global Sea mineral Resources (GSR) in the northeastern Clarion Clipperton Fracture Zone (CCFZ), and to determine the efficiency of the current sampling of meiofauna and nematode diversity. In October 2015, three polymetallic nodule-bearing sites, about 60-270 km apart, located at similar depths (ca. 4500 m) were sampled, of which one site was sampled in April in that same year. Despite the relatively large geographical distances and the statistically significant, but small, differences in sedimentary characteristics between sites, meiofauna and nematode communities were largely similar in terms of abundance, composition and diversity. Between-site differences in community composition were mainly driven by a set of rare and less abundant taxa. Moreover, although surface primary productivity in April exceeded that in October, no significant changes were observed in sedimentary characteristics or in meiofauna and nematode communities. At all sites and in both periods, Nematoda were the prevailing meiofaunal phylum, which was in turn dominated by Monhysterid genera and Acantholaimus. Our findings support the earlier purported notion of a low degree of endemism for nematode genera and meiofauna taxa in the deep sea, and hint at the possibility of large distribution ranges for at least some Halalaimus species. Taxon richness estimators revealed that the current sampling design was able to characterize the majority of the meiofauna and nematode taxa present. To conclude, implications of the present findings for environmental management and future research needs are provided.","container-title":"Frontiers in Marine Science","DOI":"10.3389/fmars.2017.00205","ISSN":"2296-7745","journalAbbreviation":"Front. Mar. Sci.","language":"English","source":"Frontiers","title":"Limited Spatial and Temporal Variability in Meiofauna and Nematode Communities at Distant but Environmentally Similar Sites in an Area of Interest for Deep-Sea Mining","URL":"http://journal.frontiersin.org/article/10.3389/fmars.2017.00205/full","volume":"4","author":[{"family":"Pape","given":"Ellen"},{"family":"Bezerra","given":"Tania N."},{"family":"Hauquier","given":"Freija"},{"family":"Vanreusel","given":"Ann"}],"accessed":{"date-parts":[["2017",7,3]]},"issued":{"date-parts":[["2017"]]}},"label":"page"}],"schema":"https://github.com/citation-style-language/schema/raw/master/csl-citation.json"} </w:instrText>
      </w:r>
      <w:r w:rsidR="00A01621">
        <w:rPr>
          <w:lang w:val="en-GB"/>
        </w:rPr>
        <w:fldChar w:fldCharType="separate"/>
      </w:r>
      <w:r w:rsidR="00A01621" w:rsidRPr="00A01621">
        <w:rPr>
          <w:rFonts w:cs="Times New Roman"/>
        </w:rPr>
        <w:t>(De Smet et al., 2017; Pape et al., 2017)</w:t>
      </w:r>
      <w:r w:rsidR="00A01621">
        <w:rPr>
          <w:lang w:val="en-GB"/>
        </w:rPr>
        <w:fldChar w:fldCharType="end"/>
      </w:r>
      <w:r w:rsidR="00E83EC0">
        <w:rPr>
          <w:lang w:val="en-GB"/>
        </w:rPr>
        <w:t>.</w:t>
      </w:r>
    </w:p>
    <w:p w14:paraId="3608417D" w14:textId="77777777" w:rsidR="00F85E04" w:rsidRPr="00FD3202" w:rsidRDefault="00F85E04" w:rsidP="006601C6">
      <w:pPr>
        <w:pStyle w:val="Kop2"/>
      </w:pPr>
      <w:r w:rsidRPr="00FD3202">
        <w:t>Study design and data collection</w:t>
      </w:r>
    </w:p>
    <w:p w14:paraId="73356085" w14:textId="322BCC6E" w:rsidR="00256D54" w:rsidRDefault="003759BB" w:rsidP="00180FF4">
      <w:pPr>
        <w:rPr>
          <w:lang w:val="en-GB"/>
        </w:rPr>
      </w:pPr>
      <w:r w:rsidRPr="00FD3202">
        <w:rPr>
          <w:lang w:val="en-GB"/>
        </w:rPr>
        <w:t>From September 10</w:t>
      </w:r>
      <w:r w:rsidRPr="00180FF4">
        <w:rPr>
          <w:lang w:val="en-GB"/>
        </w:rPr>
        <w:t>th</w:t>
      </w:r>
      <w:r w:rsidRPr="00FD3202">
        <w:rPr>
          <w:lang w:val="en-GB"/>
        </w:rPr>
        <w:t xml:space="preserve"> to October 19</w:t>
      </w:r>
      <w:r w:rsidRPr="00180FF4">
        <w:rPr>
          <w:lang w:val="en-GB"/>
        </w:rPr>
        <w:t>th</w:t>
      </w:r>
      <w:r w:rsidRPr="00FD3202">
        <w:rPr>
          <w:lang w:val="en-GB"/>
        </w:rPr>
        <w:t xml:space="preserve"> 2015, </w:t>
      </w:r>
      <w:r w:rsidR="00B31CAB">
        <w:rPr>
          <w:lang w:val="en-GB"/>
        </w:rPr>
        <w:t xml:space="preserve">three </w:t>
      </w:r>
      <w:r w:rsidR="00A0123D">
        <w:rPr>
          <w:lang w:val="en-GB"/>
        </w:rPr>
        <w:t xml:space="preserve">camera dives were </w:t>
      </w:r>
      <w:r w:rsidR="00A0123D" w:rsidRPr="00FD3202">
        <w:rPr>
          <w:lang w:val="en-GB"/>
        </w:rPr>
        <w:t xml:space="preserve">conducted using an AUV REMUS 6000 (Woods Hole Oceanographic Institute, WHOI) on board the </w:t>
      </w:r>
      <w:r w:rsidR="00A0123D" w:rsidRPr="00180FF4">
        <w:rPr>
          <w:lang w:val="en-GB"/>
        </w:rPr>
        <w:t>RV</w:t>
      </w:r>
      <w:r w:rsidR="00A0123D" w:rsidRPr="00FD3202">
        <w:rPr>
          <w:lang w:val="en-GB"/>
        </w:rPr>
        <w:t xml:space="preserve"> ‘Mt. Mitchell’.</w:t>
      </w:r>
      <w:r w:rsidR="00A0123D">
        <w:rPr>
          <w:lang w:val="en-GB"/>
        </w:rPr>
        <w:t xml:space="preserve"> </w:t>
      </w:r>
      <w:r w:rsidR="004B7000" w:rsidRPr="00FD3202">
        <w:rPr>
          <w:lang w:val="en-GB"/>
        </w:rPr>
        <w:t xml:space="preserve">In order to survey megafauna in the study area, the AUV was fitted with a 9.1 MP (3384 x 2704) </w:t>
      </w:r>
      <w:r w:rsidR="00520DF5">
        <w:rPr>
          <w:lang w:val="en-GB"/>
        </w:rPr>
        <w:t>digital</w:t>
      </w:r>
      <w:r w:rsidR="004B7000" w:rsidRPr="00FD3202">
        <w:rPr>
          <w:lang w:val="en-GB"/>
        </w:rPr>
        <w:t xml:space="preserve"> still </w:t>
      </w:r>
      <w:r w:rsidR="00FA254B" w:rsidRPr="00FD3202">
        <w:rPr>
          <w:lang w:val="en-GB"/>
        </w:rPr>
        <w:t>colour</w:t>
      </w:r>
      <w:r w:rsidR="004B7000" w:rsidRPr="00FD3202">
        <w:rPr>
          <w:lang w:val="en-GB"/>
        </w:rPr>
        <w:t xml:space="preserve"> camera (Proscillica GT4200), which </w:t>
      </w:r>
      <w:r w:rsidR="0055592B" w:rsidRPr="00FD3202">
        <w:rPr>
          <w:lang w:val="en-GB"/>
        </w:rPr>
        <w:t xml:space="preserve">took </w:t>
      </w:r>
      <w:r w:rsidR="004B7000" w:rsidRPr="00FD3202">
        <w:rPr>
          <w:lang w:val="en-GB"/>
        </w:rPr>
        <w:t xml:space="preserve">pictures every 3 sec. The camera </w:t>
      </w:r>
      <w:r w:rsidR="00492E2A" w:rsidRPr="00FD3202">
        <w:rPr>
          <w:lang w:val="en-GB"/>
        </w:rPr>
        <w:t xml:space="preserve">used </w:t>
      </w:r>
      <w:r w:rsidR="004B7000" w:rsidRPr="00FD3202">
        <w:rPr>
          <w:lang w:val="en-GB"/>
        </w:rPr>
        <w:t xml:space="preserve">a 14 bit, high dynamic range, Sony ICX814 Type I acquisition chip and was paired with a 15mm lens. The camera pressure dome had a matched index curvature to minimize distortion at the outer </w:t>
      </w:r>
      <w:r w:rsidR="00E82262" w:rsidRPr="00FD3202">
        <w:rPr>
          <w:lang w:val="en-GB"/>
        </w:rPr>
        <w:t>edges of the images. Lighting was</w:t>
      </w:r>
      <w:r w:rsidR="004B7000" w:rsidRPr="00FD3202">
        <w:rPr>
          <w:lang w:val="en-GB"/>
        </w:rPr>
        <w:t xml:space="preserve"> provided by a 200 W-s strobe triggered to fire with camera exposure. </w:t>
      </w:r>
      <w:r w:rsidR="00B31CAB">
        <w:rPr>
          <w:lang w:val="en-GB"/>
        </w:rPr>
        <w:t>One dive was</w:t>
      </w:r>
      <w:r w:rsidR="00180FF4">
        <w:rPr>
          <w:lang w:val="en-GB"/>
        </w:rPr>
        <w:t xml:space="preserve"> conducted in B6S02 (AUV005) and two </w:t>
      </w:r>
      <w:r w:rsidR="00B31CAB">
        <w:rPr>
          <w:lang w:val="en-GB"/>
        </w:rPr>
        <w:t xml:space="preserve">dives were </w:t>
      </w:r>
      <w:r w:rsidR="00180FF4">
        <w:rPr>
          <w:lang w:val="en-GB"/>
        </w:rPr>
        <w:t>conducted in B4S03 (</w:t>
      </w:r>
      <w:r w:rsidR="00180FF4" w:rsidRPr="00FD3202">
        <w:rPr>
          <w:lang w:val="en-GB"/>
        </w:rPr>
        <w:t>AUV011 and AUV012</w:t>
      </w:r>
      <w:r w:rsidR="00180FF4">
        <w:rPr>
          <w:lang w:val="en-GB"/>
        </w:rPr>
        <w:t>)</w:t>
      </w:r>
      <w:r w:rsidR="00072828">
        <w:rPr>
          <w:lang w:val="en-GB"/>
        </w:rPr>
        <w:t xml:space="preserve"> (Table 1)</w:t>
      </w:r>
      <w:r w:rsidR="00180FF4">
        <w:rPr>
          <w:lang w:val="en-GB"/>
        </w:rPr>
        <w:t>.</w:t>
      </w:r>
    </w:p>
    <w:tbl>
      <w:tblPr>
        <w:tblW w:w="0" w:type="auto"/>
        <w:tblInd w:w="-1417" w:type="dxa"/>
        <w:tblLook w:val="04A0" w:firstRow="1" w:lastRow="0" w:firstColumn="1" w:lastColumn="0" w:noHBand="0" w:noVBand="1"/>
      </w:tblPr>
      <w:tblGrid>
        <w:gridCol w:w="720"/>
        <w:gridCol w:w="689"/>
        <w:gridCol w:w="906"/>
        <w:gridCol w:w="681"/>
        <w:gridCol w:w="758"/>
        <w:gridCol w:w="783"/>
        <w:gridCol w:w="783"/>
        <w:gridCol w:w="704"/>
        <w:gridCol w:w="704"/>
        <w:gridCol w:w="704"/>
        <w:gridCol w:w="694"/>
        <w:gridCol w:w="693"/>
        <w:gridCol w:w="835"/>
        <w:gridCol w:w="835"/>
      </w:tblGrid>
      <w:tr w:rsidR="00F93486" w:rsidRPr="00F93486" w14:paraId="4647D8A0" w14:textId="77777777" w:rsidTr="00F93486">
        <w:trPr>
          <w:trHeight w:val="810"/>
        </w:trPr>
        <w:tc>
          <w:tcPr>
            <w:tcW w:w="850" w:type="dxa"/>
            <w:tcBorders>
              <w:top w:val="single" w:sz="4" w:space="0" w:color="auto"/>
              <w:left w:val="nil"/>
              <w:bottom w:val="single" w:sz="4" w:space="0" w:color="auto"/>
              <w:right w:val="nil"/>
            </w:tcBorders>
            <w:shd w:val="clear" w:color="000000" w:fill="FFFFFF"/>
            <w:noWrap/>
            <w:vAlign w:val="center"/>
            <w:hideMark/>
          </w:tcPr>
          <w:p w14:paraId="3471255E" w14:textId="77777777" w:rsidR="006C12FF" w:rsidRPr="00F93486" w:rsidRDefault="006C12FF" w:rsidP="006C12FF">
            <w:pPr>
              <w:spacing w:after="0" w:line="240" w:lineRule="auto"/>
              <w:jc w:val="center"/>
              <w:rPr>
                <w:rFonts w:ascii="Calibri" w:eastAsia="Times New Roman" w:hAnsi="Calibri" w:cs="Calibri"/>
                <w:b/>
                <w:bCs/>
                <w:color w:val="000000"/>
                <w:kern w:val="0"/>
                <w:sz w:val="18"/>
                <w:szCs w:val="18"/>
                <w14:ligatures w14:val="none"/>
              </w:rPr>
            </w:pPr>
            <w:r w:rsidRPr="00F93486">
              <w:rPr>
                <w:rFonts w:ascii="Calibri" w:eastAsia="Times New Roman" w:hAnsi="Calibri" w:cs="Calibri"/>
                <w:b/>
                <w:bCs/>
                <w:color w:val="000000"/>
                <w:kern w:val="0"/>
                <w:sz w:val="18"/>
                <w:szCs w:val="18"/>
                <w14:ligatures w14:val="none"/>
              </w:rPr>
              <w:t>Site</w:t>
            </w:r>
          </w:p>
        </w:tc>
        <w:tc>
          <w:tcPr>
            <w:tcW w:w="434" w:type="dxa"/>
            <w:tcBorders>
              <w:top w:val="single" w:sz="4" w:space="0" w:color="auto"/>
              <w:left w:val="nil"/>
              <w:bottom w:val="single" w:sz="4" w:space="0" w:color="auto"/>
              <w:right w:val="nil"/>
            </w:tcBorders>
            <w:shd w:val="clear" w:color="000000" w:fill="FFFFFF"/>
            <w:vAlign w:val="center"/>
            <w:hideMark/>
          </w:tcPr>
          <w:p w14:paraId="73B343B0" w14:textId="77777777" w:rsidR="006C12FF" w:rsidRPr="00F93486" w:rsidRDefault="006C12FF" w:rsidP="006C12FF">
            <w:pPr>
              <w:spacing w:after="0" w:line="240" w:lineRule="auto"/>
              <w:jc w:val="center"/>
              <w:rPr>
                <w:rFonts w:ascii="Calibri" w:eastAsia="Times New Roman" w:hAnsi="Calibri" w:cs="Calibri"/>
                <w:b/>
                <w:bCs/>
                <w:color w:val="000000"/>
                <w:kern w:val="0"/>
                <w:sz w:val="18"/>
                <w:szCs w:val="18"/>
                <w14:ligatures w14:val="none"/>
              </w:rPr>
            </w:pPr>
            <w:r w:rsidRPr="00F93486">
              <w:rPr>
                <w:rFonts w:ascii="Calibri" w:eastAsia="Times New Roman" w:hAnsi="Calibri" w:cs="Calibri"/>
                <w:b/>
                <w:bCs/>
                <w:color w:val="000000"/>
                <w:kern w:val="0"/>
                <w:sz w:val="18"/>
                <w:szCs w:val="18"/>
                <w14:ligatures w14:val="none"/>
              </w:rPr>
              <w:t>AUV dive</w:t>
            </w:r>
          </w:p>
        </w:tc>
        <w:tc>
          <w:tcPr>
            <w:tcW w:w="0" w:type="auto"/>
            <w:tcBorders>
              <w:top w:val="single" w:sz="4" w:space="0" w:color="auto"/>
              <w:left w:val="nil"/>
              <w:bottom w:val="single" w:sz="4" w:space="0" w:color="auto"/>
              <w:right w:val="nil"/>
            </w:tcBorders>
            <w:shd w:val="clear" w:color="000000" w:fill="FFFFFF"/>
            <w:noWrap/>
            <w:vAlign w:val="center"/>
            <w:hideMark/>
          </w:tcPr>
          <w:p w14:paraId="3F38AE26" w14:textId="77777777" w:rsidR="006C12FF" w:rsidRPr="00F93486" w:rsidRDefault="006C12FF" w:rsidP="006C12FF">
            <w:pPr>
              <w:spacing w:after="0" w:line="240" w:lineRule="auto"/>
              <w:jc w:val="center"/>
              <w:rPr>
                <w:rFonts w:ascii="Calibri" w:eastAsia="Times New Roman" w:hAnsi="Calibri" w:cs="Calibri"/>
                <w:b/>
                <w:bCs/>
                <w:color w:val="000000"/>
                <w:kern w:val="0"/>
                <w:sz w:val="18"/>
                <w:szCs w:val="18"/>
                <w14:ligatures w14:val="none"/>
              </w:rPr>
            </w:pPr>
            <w:r w:rsidRPr="00F93486">
              <w:rPr>
                <w:rFonts w:ascii="Calibri" w:eastAsia="Times New Roman" w:hAnsi="Calibri" w:cs="Calibri"/>
                <w:b/>
                <w:bCs/>
                <w:color w:val="000000"/>
                <w:kern w:val="0"/>
                <w:sz w:val="18"/>
                <w:szCs w:val="18"/>
                <w14:ligatures w14:val="none"/>
              </w:rPr>
              <w:t>Date</w:t>
            </w:r>
          </w:p>
        </w:tc>
        <w:tc>
          <w:tcPr>
            <w:tcW w:w="0" w:type="auto"/>
            <w:tcBorders>
              <w:top w:val="single" w:sz="4" w:space="0" w:color="auto"/>
              <w:left w:val="nil"/>
              <w:bottom w:val="single" w:sz="4" w:space="0" w:color="auto"/>
              <w:right w:val="nil"/>
            </w:tcBorders>
            <w:shd w:val="clear" w:color="000000" w:fill="FFFFFF"/>
            <w:vAlign w:val="center"/>
            <w:hideMark/>
          </w:tcPr>
          <w:p w14:paraId="7C7DC157" w14:textId="77777777" w:rsidR="006C12FF" w:rsidRPr="00F93486" w:rsidRDefault="006C12FF" w:rsidP="006C12FF">
            <w:pPr>
              <w:spacing w:after="0" w:line="240" w:lineRule="auto"/>
              <w:jc w:val="center"/>
              <w:rPr>
                <w:rFonts w:ascii="Calibri" w:eastAsia="Times New Roman" w:hAnsi="Calibri" w:cs="Calibri"/>
                <w:b/>
                <w:bCs/>
                <w:color w:val="000000"/>
                <w:kern w:val="0"/>
                <w:sz w:val="18"/>
                <w:szCs w:val="18"/>
                <w14:ligatures w14:val="none"/>
              </w:rPr>
            </w:pPr>
            <w:r w:rsidRPr="00F93486">
              <w:rPr>
                <w:rFonts w:ascii="Calibri" w:eastAsia="Times New Roman" w:hAnsi="Calibri" w:cs="Calibri"/>
                <w:b/>
                <w:bCs/>
                <w:color w:val="000000"/>
                <w:kern w:val="0"/>
                <w:sz w:val="18"/>
                <w:szCs w:val="18"/>
                <w14:ligatures w14:val="none"/>
              </w:rPr>
              <w:t>Min latitude</w:t>
            </w:r>
          </w:p>
        </w:tc>
        <w:tc>
          <w:tcPr>
            <w:tcW w:w="0" w:type="auto"/>
            <w:tcBorders>
              <w:top w:val="single" w:sz="4" w:space="0" w:color="auto"/>
              <w:left w:val="nil"/>
              <w:bottom w:val="single" w:sz="4" w:space="0" w:color="auto"/>
              <w:right w:val="nil"/>
            </w:tcBorders>
            <w:shd w:val="clear" w:color="000000" w:fill="FFFFFF"/>
            <w:vAlign w:val="center"/>
            <w:hideMark/>
          </w:tcPr>
          <w:p w14:paraId="7F6F2921" w14:textId="77777777" w:rsidR="006C12FF" w:rsidRPr="00F93486" w:rsidRDefault="006C12FF" w:rsidP="006C12FF">
            <w:pPr>
              <w:spacing w:after="0" w:line="240" w:lineRule="auto"/>
              <w:jc w:val="center"/>
              <w:rPr>
                <w:rFonts w:ascii="Calibri" w:eastAsia="Times New Roman" w:hAnsi="Calibri" w:cs="Calibri"/>
                <w:b/>
                <w:bCs/>
                <w:color w:val="000000"/>
                <w:kern w:val="0"/>
                <w:sz w:val="18"/>
                <w:szCs w:val="18"/>
                <w14:ligatures w14:val="none"/>
              </w:rPr>
            </w:pPr>
            <w:r w:rsidRPr="00F93486">
              <w:rPr>
                <w:rFonts w:ascii="Calibri" w:eastAsia="Times New Roman" w:hAnsi="Calibri" w:cs="Calibri"/>
                <w:b/>
                <w:bCs/>
                <w:color w:val="000000"/>
                <w:kern w:val="0"/>
                <w:sz w:val="18"/>
                <w:szCs w:val="18"/>
                <w14:ligatures w14:val="none"/>
              </w:rPr>
              <w:t>Max latitude</w:t>
            </w:r>
          </w:p>
        </w:tc>
        <w:tc>
          <w:tcPr>
            <w:tcW w:w="0" w:type="auto"/>
            <w:tcBorders>
              <w:top w:val="single" w:sz="4" w:space="0" w:color="auto"/>
              <w:left w:val="nil"/>
              <w:bottom w:val="single" w:sz="4" w:space="0" w:color="auto"/>
              <w:right w:val="nil"/>
            </w:tcBorders>
            <w:shd w:val="clear" w:color="000000" w:fill="FFFFFF"/>
            <w:vAlign w:val="center"/>
            <w:hideMark/>
          </w:tcPr>
          <w:p w14:paraId="6689C103" w14:textId="77777777" w:rsidR="006C12FF" w:rsidRPr="00F93486" w:rsidRDefault="006C12FF" w:rsidP="006C12FF">
            <w:pPr>
              <w:spacing w:after="0" w:line="240" w:lineRule="auto"/>
              <w:jc w:val="center"/>
              <w:rPr>
                <w:rFonts w:ascii="Calibri" w:eastAsia="Times New Roman" w:hAnsi="Calibri" w:cs="Calibri"/>
                <w:b/>
                <w:bCs/>
                <w:color w:val="000000"/>
                <w:kern w:val="0"/>
                <w:sz w:val="18"/>
                <w:szCs w:val="18"/>
                <w14:ligatures w14:val="none"/>
              </w:rPr>
            </w:pPr>
            <w:r w:rsidRPr="00F93486">
              <w:rPr>
                <w:rFonts w:ascii="Calibri" w:eastAsia="Times New Roman" w:hAnsi="Calibri" w:cs="Calibri"/>
                <w:b/>
                <w:bCs/>
                <w:color w:val="000000"/>
                <w:kern w:val="0"/>
                <w:sz w:val="18"/>
                <w:szCs w:val="18"/>
                <w14:ligatures w14:val="none"/>
              </w:rPr>
              <w:t>Min longitude</w:t>
            </w:r>
          </w:p>
        </w:tc>
        <w:tc>
          <w:tcPr>
            <w:tcW w:w="0" w:type="auto"/>
            <w:tcBorders>
              <w:top w:val="single" w:sz="4" w:space="0" w:color="auto"/>
              <w:left w:val="nil"/>
              <w:bottom w:val="single" w:sz="4" w:space="0" w:color="auto"/>
              <w:right w:val="nil"/>
            </w:tcBorders>
            <w:shd w:val="clear" w:color="000000" w:fill="FFFFFF"/>
            <w:vAlign w:val="center"/>
            <w:hideMark/>
          </w:tcPr>
          <w:p w14:paraId="4DBE6AD4" w14:textId="77777777" w:rsidR="006C12FF" w:rsidRPr="00F93486" w:rsidRDefault="006C12FF" w:rsidP="006C12FF">
            <w:pPr>
              <w:spacing w:after="0" w:line="240" w:lineRule="auto"/>
              <w:jc w:val="center"/>
              <w:rPr>
                <w:rFonts w:ascii="Calibri" w:eastAsia="Times New Roman" w:hAnsi="Calibri" w:cs="Calibri"/>
                <w:b/>
                <w:bCs/>
                <w:color w:val="000000"/>
                <w:kern w:val="0"/>
                <w:sz w:val="18"/>
                <w:szCs w:val="18"/>
                <w14:ligatures w14:val="none"/>
              </w:rPr>
            </w:pPr>
            <w:r w:rsidRPr="00F93486">
              <w:rPr>
                <w:rFonts w:ascii="Calibri" w:eastAsia="Times New Roman" w:hAnsi="Calibri" w:cs="Calibri"/>
                <w:b/>
                <w:bCs/>
                <w:color w:val="000000"/>
                <w:kern w:val="0"/>
                <w:sz w:val="18"/>
                <w:szCs w:val="18"/>
                <w14:ligatures w14:val="none"/>
              </w:rPr>
              <w:t>Max longitude</w:t>
            </w:r>
          </w:p>
        </w:tc>
        <w:tc>
          <w:tcPr>
            <w:tcW w:w="0" w:type="auto"/>
            <w:tcBorders>
              <w:top w:val="single" w:sz="4" w:space="0" w:color="auto"/>
              <w:left w:val="nil"/>
              <w:bottom w:val="single" w:sz="4" w:space="0" w:color="auto"/>
              <w:right w:val="nil"/>
            </w:tcBorders>
            <w:shd w:val="clear" w:color="000000" w:fill="FFFFFF"/>
            <w:vAlign w:val="center"/>
            <w:hideMark/>
          </w:tcPr>
          <w:p w14:paraId="1D151F95" w14:textId="77777777" w:rsidR="006C12FF" w:rsidRPr="00F93486" w:rsidRDefault="006C12FF" w:rsidP="006C12FF">
            <w:pPr>
              <w:spacing w:after="0" w:line="240" w:lineRule="auto"/>
              <w:jc w:val="center"/>
              <w:rPr>
                <w:rFonts w:ascii="Calibri" w:eastAsia="Times New Roman" w:hAnsi="Calibri" w:cs="Calibri"/>
                <w:b/>
                <w:bCs/>
                <w:color w:val="000000"/>
                <w:kern w:val="0"/>
                <w:sz w:val="18"/>
                <w:szCs w:val="18"/>
                <w14:ligatures w14:val="none"/>
              </w:rPr>
            </w:pPr>
            <w:r w:rsidRPr="00F93486">
              <w:rPr>
                <w:rFonts w:ascii="Calibri" w:eastAsia="Times New Roman" w:hAnsi="Calibri" w:cs="Calibri"/>
                <w:b/>
                <w:bCs/>
                <w:color w:val="000000"/>
                <w:kern w:val="0"/>
                <w:sz w:val="18"/>
                <w:szCs w:val="18"/>
                <w14:ligatures w14:val="none"/>
              </w:rPr>
              <w:t>Average depth (m)</w:t>
            </w:r>
          </w:p>
        </w:tc>
        <w:tc>
          <w:tcPr>
            <w:tcW w:w="0" w:type="auto"/>
            <w:tcBorders>
              <w:top w:val="single" w:sz="4" w:space="0" w:color="auto"/>
              <w:left w:val="nil"/>
              <w:bottom w:val="single" w:sz="4" w:space="0" w:color="auto"/>
              <w:right w:val="nil"/>
            </w:tcBorders>
            <w:shd w:val="clear" w:color="000000" w:fill="FFFFFF"/>
            <w:vAlign w:val="center"/>
            <w:hideMark/>
          </w:tcPr>
          <w:p w14:paraId="4E69656E" w14:textId="77777777" w:rsidR="006C12FF" w:rsidRPr="00F93486" w:rsidRDefault="006C12FF" w:rsidP="006C12FF">
            <w:pPr>
              <w:spacing w:after="0" w:line="240" w:lineRule="auto"/>
              <w:jc w:val="center"/>
              <w:rPr>
                <w:rFonts w:ascii="Calibri" w:eastAsia="Times New Roman" w:hAnsi="Calibri" w:cs="Calibri"/>
                <w:b/>
                <w:bCs/>
                <w:color w:val="000000"/>
                <w:kern w:val="0"/>
                <w:sz w:val="18"/>
                <w:szCs w:val="18"/>
                <w14:ligatures w14:val="none"/>
              </w:rPr>
            </w:pPr>
            <w:r w:rsidRPr="00F93486">
              <w:rPr>
                <w:rFonts w:ascii="Calibri" w:eastAsia="Times New Roman" w:hAnsi="Calibri" w:cs="Calibri"/>
                <w:b/>
                <w:bCs/>
                <w:color w:val="000000"/>
                <w:kern w:val="0"/>
                <w:sz w:val="18"/>
                <w:szCs w:val="18"/>
                <w14:ligatures w14:val="none"/>
              </w:rPr>
              <w:t>Average altitude (m)</w:t>
            </w:r>
          </w:p>
        </w:tc>
        <w:tc>
          <w:tcPr>
            <w:tcW w:w="0" w:type="auto"/>
            <w:tcBorders>
              <w:top w:val="single" w:sz="4" w:space="0" w:color="auto"/>
              <w:left w:val="nil"/>
              <w:bottom w:val="single" w:sz="4" w:space="0" w:color="auto"/>
              <w:right w:val="nil"/>
            </w:tcBorders>
            <w:shd w:val="clear" w:color="000000" w:fill="FFFFFF"/>
            <w:vAlign w:val="center"/>
            <w:hideMark/>
          </w:tcPr>
          <w:p w14:paraId="3C64FFAF" w14:textId="77777777" w:rsidR="006C12FF" w:rsidRPr="00F93486" w:rsidRDefault="006C12FF" w:rsidP="006C12FF">
            <w:pPr>
              <w:spacing w:after="0" w:line="240" w:lineRule="auto"/>
              <w:jc w:val="center"/>
              <w:rPr>
                <w:rFonts w:ascii="Calibri" w:eastAsia="Times New Roman" w:hAnsi="Calibri" w:cs="Calibri"/>
                <w:b/>
                <w:bCs/>
                <w:color w:val="000000"/>
                <w:kern w:val="0"/>
                <w:sz w:val="18"/>
                <w:szCs w:val="18"/>
                <w14:ligatures w14:val="none"/>
              </w:rPr>
            </w:pPr>
            <w:r w:rsidRPr="00F93486">
              <w:rPr>
                <w:rFonts w:ascii="Calibri" w:eastAsia="Times New Roman" w:hAnsi="Calibri" w:cs="Calibri"/>
                <w:b/>
                <w:bCs/>
                <w:color w:val="000000"/>
                <w:kern w:val="0"/>
                <w:sz w:val="18"/>
                <w:szCs w:val="18"/>
                <w14:ligatures w14:val="none"/>
              </w:rPr>
              <w:t>Average altitude &lt;8m (m)</w:t>
            </w:r>
          </w:p>
        </w:tc>
        <w:tc>
          <w:tcPr>
            <w:tcW w:w="0" w:type="auto"/>
            <w:tcBorders>
              <w:top w:val="single" w:sz="4" w:space="0" w:color="auto"/>
              <w:left w:val="nil"/>
              <w:bottom w:val="single" w:sz="4" w:space="0" w:color="auto"/>
              <w:right w:val="nil"/>
            </w:tcBorders>
            <w:shd w:val="clear" w:color="000000" w:fill="FFFFFF"/>
            <w:vAlign w:val="center"/>
            <w:hideMark/>
          </w:tcPr>
          <w:p w14:paraId="09B1A46F" w14:textId="77777777" w:rsidR="006C12FF" w:rsidRPr="00F93486" w:rsidRDefault="006C12FF" w:rsidP="006C12FF">
            <w:pPr>
              <w:spacing w:after="0" w:line="240" w:lineRule="auto"/>
              <w:jc w:val="center"/>
              <w:rPr>
                <w:rFonts w:ascii="Calibri" w:eastAsia="Times New Roman" w:hAnsi="Calibri" w:cs="Calibri"/>
                <w:b/>
                <w:bCs/>
                <w:color w:val="000000"/>
                <w:kern w:val="0"/>
                <w:sz w:val="18"/>
                <w:szCs w:val="18"/>
                <w14:ligatures w14:val="none"/>
              </w:rPr>
            </w:pPr>
            <w:r w:rsidRPr="00F93486">
              <w:rPr>
                <w:rFonts w:ascii="Calibri" w:eastAsia="Times New Roman" w:hAnsi="Calibri" w:cs="Calibri"/>
                <w:b/>
                <w:bCs/>
                <w:color w:val="000000"/>
                <w:kern w:val="0"/>
                <w:sz w:val="18"/>
                <w:szCs w:val="18"/>
                <w14:ligatures w14:val="none"/>
              </w:rPr>
              <w:t>Total number of pictures</w:t>
            </w:r>
          </w:p>
        </w:tc>
        <w:tc>
          <w:tcPr>
            <w:tcW w:w="0" w:type="auto"/>
            <w:tcBorders>
              <w:top w:val="single" w:sz="4" w:space="0" w:color="auto"/>
              <w:left w:val="nil"/>
              <w:bottom w:val="single" w:sz="4" w:space="0" w:color="auto"/>
              <w:right w:val="nil"/>
            </w:tcBorders>
            <w:shd w:val="clear" w:color="000000" w:fill="FFFFFF"/>
            <w:vAlign w:val="center"/>
            <w:hideMark/>
          </w:tcPr>
          <w:p w14:paraId="7EFDF137" w14:textId="77777777" w:rsidR="006C12FF" w:rsidRPr="00F93486" w:rsidRDefault="006C12FF" w:rsidP="006C12FF">
            <w:pPr>
              <w:spacing w:after="0" w:line="240" w:lineRule="auto"/>
              <w:jc w:val="center"/>
              <w:rPr>
                <w:rFonts w:ascii="Calibri" w:eastAsia="Times New Roman" w:hAnsi="Calibri" w:cs="Calibri"/>
                <w:b/>
                <w:bCs/>
                <w:color w:val="000000"/>
                <w:kern w:val="0"/>
                <w:sz w:val="18"/>
                <w:szCs w:val="18"/>
                <w14:ligatures w14:val="none"/>
              </w:rPr>
            </w:pPr>
            <w:r w:rsidRPr="00F93486">
              <w:rPr>
                <w:rFonts w:ascii="Calibri" w:eastAsia="Times New Roman" w:hAnsi="Calibri" w:cs="Calibri"/>
                <w:b/>
                <w:bCs/>
                <w:color w:val="000000"/>
                <w:kern w:val="0"/>
                <w:sz w:val="18"/>
                <w:szCs w:val="18"/>
                <w14:ligatures w14:val="none"/>
              </w:rPr>
              <w:t>Pictures &lt;8 m altitude</w:t>
            </w:r>
          </w:p>
        </w:tc>
        <w:tc>
          <w:tcPr>
            <w:tcW w:w="0" w:type="auto"/>
            <w:tcBorders>
              <w:top w:val="single" w:sz="4" w:space="0" w:color="auto"/>
              <w:left w:val="nil"/>
              <w:bottom w:val="single" w:sz="4" w:space="0" w:color="auto"/>
              <w:right w:val="nil"/>
            </w:tcBorders>
            <w:shd w:val="clear" w:color="000000" w:fill="FFFFFF"/>
            <w:vAlign w:val="center"/>
            <w:hideMark/>
          </w:tcPr>
          <w:p w14:paraId="6F1BC257" w14:textId="364D8A40" w:rsidR="006C12FF" w:rsidRPr="00F93486" w:rsidRDefault="006C12FF" w:rsidP="006C12FF">
            <w:pPr>
              <w:spacing w:after="0" w:line="240" w:lineRule="auto"/>
              <w:jc w:val="center"/>
              <w:rPr>
                <w:rFonts w:ascii="Calibri" w:eastAsia="Times New Roman" w:hAnsi="Calibri" w:cs="Calibri"/>
                <w:b/>
                <w:bCs/>
                <w:color w:val="000000"/>
                <w:kern w:val="0"/>
                <w:sz w:val="18"/>
                <w:szCs w:val="18"/>
                <w14:ligatures w14:val="none"/>
              </w:rPr>
            </w:pPr>
            <w:r w:rsidRPr="00F93486">
              <w:rPr>
                <w:rFonts w:ascii="Calibri" w:eastAsia="Times New Roman" w:hAnsi="Calibri" w:cs="Calibri"/>
                <w:b/>
                <w:bCs/>
                <w:color w:val="000000"/>
                <w:kern w:val="0"/>
                <w:sz w:val="18"/>
                <w:szCs w:val="18"/>
                <w14:ligatures w14:val="none"/>
              </w:rPr>
              <w:t>Surface area covered by annotated pictures (m</w:t>
            </w:r>
            <w:r w:rsidRPr="00F93486">
              <w:rPr>
                <w:rFonts w:ascii="Calibri" w:eastAsia="Times New Roman" w:hAnsi="Calibri" w:cs="Calibri"/>
                <w:b/>
                <w:bCs/>
                <w:color w:val="000000"/>
                <w:kern w:val="0"/>
                <w:sz w:val="18"/>
                <w:szCs w:val="18"/>
                <w:vertAlign w:val="superscript"/>
                <w14:ligatures w14:val="none"/>
              </w:rPr>
              <w:t>2</w:t>
            </w:r>
            <w:r w:rsidRPr="00F93486">
              <w:rPr>
                <w:rFonts w:ascii="Calibri" w:eastAsia="Times New Roman" w:hAnsi="Calibri" w:cs="Calibri"/>
                <w:b/>
                <w:bCs/>
                <w:color w:val="000000"/>
                <w:kern w:val="0"/>
                <w:sz w:val="18"/>
                <w:szCs w:val="18"/>
                <w14:ligatures w14:val="none"/>
              </w:rPr>
              <w:t>)</w:t>
            </w:r>
          </w:p>
        </w:tc>
        <w:tc>
          <w:tcPr>
            <w:tcW w:w="0" w:type="auto"/>
            <w:tcBorders>
              <w:top w:val="single" w:sz="4" w:space="0" w:color="auto"/>
              <w:left w:val="nil"/>
              <w:bottom w:val="single" w:sz="4" w:space="0" w:color="auto"/>
              <w:right w:val="nil"/>
            </w:tcBorders>
            <w:shd w:val="clear" w:color="000000" w:fill="FFFFFF"/>
            <w:vAlign w:val="center"/>
            <w:hideMark/>
          </w:tcPr>
          <w:p w14:paraId="16FB6B16" w14:textId="77777777" w:rsidR="006C12FF" w:rsidRPr="00F93486" w:rsidRDefault="006C12FF" w:rsidP="006C12FF">
            <w:pPr>
              <w:spacing w:after="0" w:line="240" w:lineRule="auto"/>
              <w:jc w:val="center"/>
              <w:rPr>
                <w:rFonts w:ascii="Calibri" w:eastAsia="Times New Roman" w:hAnsi="Calibri" w:cs="Calibri"/>
                <w:b/>
                <w:bCs/>
                <w:color w:val="000000"/>
                <w:kern w:val="0"/>
                <w:sz w:val="18"/>
                <w:szCs w:val="18"/>
                <w14:ligatures w14:val="none"/>
              </w:rPr>
            </w:pPr>
            <w:r w:rsidRPr="00F93486">
              <w:rPr>
                <w:rFonts w:ascii="Calibri" w:eastAsia="Times New Roman" w:hAnsi="Calibri" w:cs="Calibri"/>
                <w:b/>
                <w:bCs/>
                <w:color w:val="000000"/>
                <w:kern w:val="0"/>
                <w:sz w:val="18"/>
                <w:szCs w:val="18"/>
                <w14:ligatures w14:val="none"/>
              </w:rPr>
              <w:t>% of total pictures annotated</w:t>
            </w:r>
          </w:p>
        </w:tc>
      </w:tr>
      <w:tr w:rsidR="00F93486" w:rsidRPr="00F93486" w14:paraId="51C03D5C" w14:textId="77777777" w:rsidTr="00F93486">
        <w:trPr>
          <w:trHeight w:val="288"/>
        </w:trPr>
        <w:tc>
          <w:tcPr>
            <w:tcW w:w="850" w:type="dxa"/>
            <w:tcBorders>
              <w:top w:val="nil"/>
              <w:left w:val="nil"/>
              <w:bottom w:val="nil"/>
              <w:right w:val="nil"/>
            </w:tcBorders>
            <w:shd w:val="clear" w:color="000000" w:fill="FFFFFF"/>
            <w:noWrap/>
            <w:vAlign w:val="bottom"/>
            <w:hideMark/>
          </w:tcPr>
          <w:p w14:paraId="4D4E3D5A" w14:textId="77777777" w:rsidR="006C12FF" w:rsidRPr="00F93486" w:rsidRDefault="006C12FF" w:rsidP="006C12FF">
            <w:pPr>
              <w:spacing w:after="0" w:line="240" w:lineRule="auto"/>
              <w:jc w:val="lef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B6S02</w:t>
            </w:r>
          </w:p>
        </w:tc>
        <w:tc>
          <w:tcPr>
            <w:tcW w:w="434" w:type="dxa"/>
            <w:tcBorders>
              <w:top w:val="nil"/>
              <w:left w:val="nil"/>
              <w:bottom w:val="nil"/>
              <w:right w:val="nil"/>
            </w:tcBorders>
            <w:shd w:val="clear" w:color="000000" w:fill="FFFFFF"/>
            <w:noWrap/>
            <w:vAlign w:val="bottom"/>
            <w:hideMark/>
          </w:tcPr>
          <w:p w14:paraId="4D948D9F" w14:textId="77777777" w:rsidR="006C12FF" w:rsidRPr="00F93486" w:rsidRDefault="006C12FF" w:rsidP="006C12FF">
            <w:pPr>
              <w:spacing w:after="0" w:line="240" w:lineRule="auto"/>
              <w:jc w:val="lef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AUV005</w:t>
            </w:r>
          </w:p>
        </w:tc>
        <w:tc>
          <w:tcPr>
            <w:tcW w:w="0" w:type="auto"/>
            <w:tcBorders>
              <w:top w:val="nil"/>
              <w:left w:val="nil"/>
              <w:bottom w:val="nil"/>
              <w:right w:val="nil"/>
            </w:tcBorders>
            <w:shd w:val="clear" w:color="000000" w:fill="FFFFFF"/>
            <w:noWrap/>
            <w:vAlign w:val="bottom"/>
            <w:hideMark/>
          </w:tcPr>
          <w:p w14:paraId="5709E421" w14:textId="77777777"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25/09/2015</w:t>
            </w:r>
          </w:p>
        </w:tc>
        <w:tc>
          <w:tcPr>
            <w:tcW w:w="0" w:type="auto"/>
            <w:tcBorders>
              <w:top w:val="nil"/>
              <w:left w:val="nil"/>
              <w:bottom w:val="nil"/>
              <w:right w:val="nil"/>
            </w:tcBorders>
            <w:shd w:val="clear" w:color="000000" w:fill="FFFFFF"/>
            <w:noWrap/>
            <w:vAlign w:val="bottom"/>
            <w:hideMark/>
          </w:tcPr>
          <w:p w14:paraId="318197E3" w14:textId="77777777"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13.802</w:t>
            </w:r>
          </w:p>
        </w:tc>
        <w:tc>
          <w:tcPr>
            <w:tcW w:w="0" w:type="auto"/>
            <w:tcBorders>
              <w:top w:val="nil"/>
              <w:left w:val="nil"/>
              <w:bottom w:val="nil"/>
              <w:right w:val="nil"/>
            </w:tcBorders>
            <w:shd w:val="clear" w:color="000000" w:fill="FFFFFF"/>
            <w:noWrap/>
            <w:vAlign w:val="bottom"/>
            <w:hideMark/>
          </w:tcPr>
          <w:p w14:paraId="53ACA765" w14:textId="77777777" w:rsidR="006C12FF" w:rsidRPr="00F93486" w:rsidRDefault="006C12FF" w:rsidP="006C12FF">
            <w:pPr>
              <w:spacing w:after="0" w:line="240" w:lineRule="auto"/>
              <w:ind w:firstLineChars="100" w:firstLine="180"/>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13.937</w:t>
            </w:r>
          </w:p>
        </w:tc>
        <w:tc>
          <w:tcPr>
            <w:tcW w:w="0" w:type="auto"/>
            <w:tcBorders>
              <w:top w:val="nil"/>
              <w:left w:val="nil"/>
              <w:bottom w:val="nil"/>
              <w:right w:val="nil"/>
            </w:tcBorders>
            <w:shd w:val="clear" w:color="000000" w:fill="FFFFFF"/>
            <w:noWrap/>
            <w:vAlign w:val="bottom"/>
            <w:hideMark/>
          </w:tcPr>
          <w:p w14:paraId="219EB5EB" w14:textId="77777777"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-123.328</w:t>
            </w:r>
          </w:p>
        </w:tc>
        <w:tc>
          <w:tcPr>
            <w:tcW w:w="0" w:type="auto"/>
            <w:tcBorders>
              <w:top w:val="nil"/>
              <w:left w:val="nil"/>
              <w:bottom w:val="nil"/>
              <w:right w:val="nil"/>
            </w:tcBorders>
            <w:shd w:val="clear" w:color="000000" w:fill="FFFFFF"/>
            <w:noWrap/>
            <w:vAlign w:val="bottom"/>
            <w:hideMark/>
          </w:tcPr>
          <w:p w14:paraId="60B5C53F" w14:textId="77777777"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-123.250</w:t>
            </w:r>
          </w:p>
        </w:tc>
        <w:tc>
          <w:tcPr>
            <w:tcW w:w="0" w:type="auto"/>
            <w:tcBorders>
              <w:top w:val="nil"/>
              <w:left w:val="nil"/>
              <w:bottom w:val="nil"/>
              <w:right w:val="nil"/>
            </w:tcBorders>
            <w:shd w:val="clear" w:color="000000" w:fill="FFFFFF"/>
            <w:noWrap/>
            <w:vAlign w:val="bottom"/>
            <w:hideMark/>
          </w:tcPr>
          <w:p w14:paraId="385CE9AA" w14:textId="77777777"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4,541</w:t>
            </w:r>
          </w:p>
        </w:tc>
        <w:tc>
          <w:tcPr>
            <w:tcW w:w="0" w:type="auto"/>
            <w:tcBorders>
              <w:top w:val="nil"/>
              <w:left w:val="nil"/>
              <w:bottom w:val="nil"/>
              <w:right w:val="nil"/>
            </w:tcBorders>
            <w:shd w:val="clear" w:color="000000" w:fill="FFFFFF"/>
            <w:noWrap/>
            <w:vAlign w:val="bottom"/>
            <w:hideMark/>
          </w:tcPr>
          <w:p w14:paraId="5F7CE830" w14:textId="77777777"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8.22</w:t>
            </w:r>
          </w:p>
        </w:tc>
        <w:tc>
          <w:tcPr>
            <w:tcW w:w="0" w:type="auto"/>
            <w:tcBorders>
              <w:top w:val="nil"/>
              <w:left w:val="nil"/>
              <w:bottom w:val="nil"/>
              <w:right w:val="nil"/>
            </w:tcBorders>
            <w:shd w:val="clear" w:color="000000" w:fill="FFFFFF"/>
            <w:noWrap/>
            <w:vAlign w:val="bottom"/>
            <w:hideMark/>
          </w:tcPr>
          <w:p w14:paraId="55E45393" w14:textId="77777777"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5.13</w:t>
            </w:r>
          </w:p>
        </w:tc>
        <w:tc>
          <w:tcPr>
            <w:tcW w:w="0" w:type="auto"/>
            <w:tcBorders>
              <w:top w:val="nil"/>
              <w:left w:val="nil"/>
              <w:bottom w:val="nil"/>
              <w:right w:val="nil"/>
            </w:tcBorders>
            <w:shd w:val="clear" w:color="000000" w:fill="FFFFFF"/>
            <w:noWrap/>
            <w:vAlign w:val="bottom"/>
            <w:hideMark/>
          </w:tcPr>
          <w:p w14:paraId="33671BF3" w14:textId="30E63006"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13</w:t>
            </w:r>
            <w:r w:rsidR="00A12A8D" w:rsidRPr="00F93486">
              <w:rPr>
                <w:rFonts w:ascii="Calibri" w:eastAsia="Times New Roman" w:hAnsi="Calibri" w:cs="Calibri"/>
                <w:color w:val="000000"/>
                <w:kern w:val="0"/>
                <w:sz w:val="18"/>
                <w:szCs w:val="18"/>
                <w14:ligatures w14:val="none"/>
              </w:rPr>
              <w:t>,</w:t>
            </w:r>
            <w:r w:rsidRPr="00F93486">
              <w:rPr>
                <w:rFonts w:ascii="Calibri" w:eastAsia="Times New Roman" w:hAnsi="Calibri" w:cs="Calibri"/>
                <w:color w:val="000000"/>
                <w:kern w:val="0"/>
                <w:sz w:val="18"/>
                <w:szCs w:val="18"/>
                <w14:ligatures w14:val="none"/>
              </w:rPr>
              <w:t>948</w:t>
            </w:r>
          </w:p>
        </w:tc>
        <w:tc>
          <w:tcPr>
            <w:tcW w:w="0" w:type="auto"/>
            <w:tcBorders>
              <w:top w:val="nil"/>
              <w:left w:val="nil"/>
              <w:bottom w:val="nil"/>
              <w:right w:val="nil"/>
            </w:tcBorders>
            <w:shd w:val="clear" w:color="000000" w:fill="FFFFFF"/>
            <w:noWrap/>
            <w:vAlign w:val="bottom"/>
            <w:hideMark/>
          </w:tcPr>
          <w:p w14:paraId="15A8022F" w14:textId="7EA9CA08"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5</w:t>
            </w:r>
            <w:r w:rsidR="00A12A8D" w:rsidRPr="00F93486">
              <w:rPr>
                <w:rFonts w:ascii="Calibri" w:eastAsia="Times New Roman" w:hAnsi="Calibri" w:cs="Calibri"/>
                <w:color w:val="000000"/>
                <w:kern w:val="0"/>
                <w:sz w:val="18"/>
                <w:szCs w:val="18"/>
                <w14:ligatures w14:val="none"/>
              </w:rPr>
              <w:t>,</w:t>
            </w:r>
            <w:r w:rsidRPr="00F93486">
              <w:rPr>
                <w:rFonts w:ascii="Calibri" w:eastAsia="Times New Roman" w:hAnsi="Calibri" w:cs="Calibri"/>
                <w:color w:val="000000"/>
                <w:kern w:val="0"/>
                <w:sz w:val="18"/>
                <w:szCs w:val="18"/>
                <w14:ligatures w14:val="none"/>
              </w:rPr>
              <w:t>299</w:t>
            </w:r>
          </w:p>
        </w:tc>
        <w:tc>
          <w:tcPr>
            <w:tcW w:w="0" w:type="auto"/>
            <w:tcBorders>
              <w:top w:val="nil"/>
              <w:left w:val="nil"/>
              <w:bottom w:val="nil"/>
              <w:right w:val="nil"/>
            </w:tcBorders>
            <w:shd w:val="clear" w:color="000000" w:fill="FFFFFF"/>
            <w:noWrap/>
            <w:vAlign w:val="bottom"/>
            <w:hideMark/>
          </w:tcPr>
          <w:p w14:paraId="696894CC" w14:textId="5B32F917"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10</w:t>
            </w:r>
            <w:r w:rsidR="00A12A8D" w:rsidRPr="00F93486">
              <w:rPr>
                <w:rFonts w:ascii="Calibri" w:eastAsia="Times New Roman" w:hAnsi="Calibri" w:cs="Calibri"/>
                <w:color w:val="000000"/>
                <w:kern w:val="0"/>
                <w:sz w:val="18"/>
                <w:szCs w:val="18"/>
                <w14:ligatures w14:val="none"/>
              </w:rPr>
              <w:t>,</w:t>
            </w:r>
            <w:r w:rsidRPr="00F93486">
              <w:rPr>
                <w:rFonts w:ascii="Calibri" w:eastAsia="Times New Roman" w:hAnsi="Calibri" w:cs="Calibri"/>
                <w:color w:val="000000"/>
                <w:kern w:val="0"/>
                <w:sz w:val="18"/>
                <w:szCs w:val="18"/>
                <w14:ligatures w14:val="none"/>
              </w:rPr>
              <w:t>144</w:t>
            </w:r>
          </w:p>
        </w:tc>
        <w:tc>
          <w:tcPr>
            <w:tcW w:w="0" w:type="auto"/>
            <w:tcBorders>
              <w:top w:val="nil"/>
              <w:left w:val="nil"/>
              <w:bottom w:val="nil"/>
              <w:right w:val="nil"/>
            </w:tcBorders>
            <w:shd w:val="clear" w:color="000000" w:fill="FFFFFF"/>
            <w:noWrap/>
            <w:vAlign w:val="bottom"/>
            <w:hideMark/>
          </w:tcPr>
          <w:p w14:paraId="6C213A23" w14:textId="77777777"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3.58</w:t>
            </w:r>
          </w:p>
        </w:tc>
      </w:tr>
      <w:tr w:rsidR="00F93486" w:rsidRPr="00F93486" w14:paraId="4406E802" w14:textId="77777777" w:rsidTr="00F93486">
        <w:trPr>
          <w:trHeight w:val="288"/>
        </w:trPr>
        <w:tc>
          <w:tcPr>
            <w:tcW w:w="850" w:type="dxa"/>
            <w:tcBorders>
              <w:top w:val="nil"/>
              <w:left w:val="nil"/>
              <w:bottom w:val="nil"/>
              <w:right w:val="nil"/>
            </w:tcBorders>
            <w:shd w:val="clear" w:color="000000" w:fill="FFFFFF"/>
            <w:noWrap/>
            <w:vAlign w:val="bottom"/>
            <w:hideMark/>
          </w:tcPr>
          <w:p w14:paraId="56FEDAF2" w14:textId="77777777" w:rsidR="006C12FF" w:rsidRPr="00F93486" w:rsidRDefault="006C12FF" w:rsidP="006C12FF">
            <w:pPr>
              <w:spacing w:after="0" w:line="240" w:lineRule="auto"/>
              <w:jc w:val="lef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B4S03</w:t>
            </w:r>
          </w:p>
        </w:tc>
        <w:tc>
          <w:tcPr>
            <w:tcW w:w="434" w:type="dxa"/>
            <w:tcBorders>
              <w:top w:val="nil"/>
              <w:left w:val="nil"/>
              <w:bottom w:val="nil"/>
              <w:right w:val="nil"/>
            </w:tcBorders>
            <w:shd w:val="clear" w:color="000000" w:fill="FFFFFF"/>
            <w:noWrap/>
            <w:vAlign w:val="bottom"/>
            <w:hideMark/>
          </w:tcPr>
          <w:p w14:paraId="0A225EAB" w14:textId="77777777" w:rsidR="006C12FF" w:rsidRPr="00F93486" w:rsidRDefault="006C12FF" w:rsidP="006C12FF">
            <w:pPr>
              <w:spacing w:after="0" w:line="240" w:lineRule="auto"/>
              <w:jc w:val="lef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AUV011</w:t>
            </w:r>
          </w:p>
        </w:tc>
        <w:tc>
          <w:tcPr>
            <w:tcW w:w="0" w:type="auto"/>
            <w:tcBorders>
              <w:top w:val="nil"/>
              <w:left w:val="nil"/>
              <w:bottom w:val="nil"/>
              <w:right w:val="nil"/>
            </w:tcBorders>
            <w:shd w:val="clear" w:color="000000" w:fill="FFFFFF"/>
            <w:noWrap/>
            <w:vAlign w:val="bottom"/>
            <w:hideMark/>
          </w:tcPr>
          <w:p w14:paraId="6396770C" w14:textId="77777777"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2/10/2015</w:t>
            </w:r>
          </w:p>
        </w:tc>
        <w:tc>
          <w:tcPr>
            <w:tcW w:w="0" w:type="auto"/>
            <w:tcBorders>
              <w:top w:val="nil"/>
              <w:left w:val="nil"/>
              <w:bottom w:val="nil"/>
              <w:right w:val="nil"/>
            </w:tcBorders>
            <w:shd w:val="clear" w:color="000000" w:fill="FFFFFF"/>
            <w:noWrap/>
            <w:vAlign w:val="bottom"/>
            <w:hideMark/>
          </w:tcPr>
          <w:p w14:paraId="1E61F8A7" w14:textId="77777777"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14.004</w:t>
            </w:r>
          </w:p>
        </w:tc>
        <w:tc>
          <w:tcPr>
            <w:tcW w:w="0" w:type="auto"/>
            <w:tcBorders>
              <w:top w:val="nil"/>
              <w:left w:val="nil"/>
              <w:bottom w:val="nil"/>
              <w:right w:val="nil"/>
            </w:tcBorders>
            <w:shd w:val="clear" w:color="000000" w:fill="FFFFFF"/>
            <w:noWrap/>
            <w:vAlign w:val="bottom"/>
            <w:hideMark/>
          </w:tcPr>
          <w:p w14:paraId="2F8CEAB9" w14:textId="77777777" w:rsidR="006C12FF" w:rsidRPr="00F93486" w:rsidRDefault="006C12FF" w:rsidP="006C12FF">
            <w:pPr>
              <w:spacing w:after="0" w:line="240" w:lineRule="auto"/>
              <w:ind w:firstLineChars="100" w:firstLine="180"/>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14.105</w:t>
            </w:r>
          </w:p>
        </w:tc>
        <w:tc>
          <w:tcPr>
            <w:tcW w:w="0" w:type="auto"/>
            <w:tcBorders>
              <w:top w:val="nil"/>
              <w:left w:val="nil"/>
              <w:bottom w:val="nil"/>
              <w:right w:val="nil"/>
            </w:tcBorders>
            <w:shd w:val="clear" w:color="000000" w:fill="FFFFFF"/>
            <w:noWrap/>
            <w:vAlign w:val="bottom"/>
            <w:hideMark/>
          </w:tcPr>
          <w:p w14:paraId="4C157CB2" w14:textId="77777777"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-125.932</w:t>
            </w:r>
          </w:p>
        </w:tc>
        <w:tc>
          <w:tcPr>
            <w:tcW w:w="0" w:type="auto"/>
            <w:tcBorders>
              <w:top w:val="nil"/>
              <w:left w:val="nil"/>
              <w:bottom w:val="nil"/>
              <w:right w:val="nil"/>
            </w:tcBorders>
            <w:shd w:val="clear" w:color="000000" w:fill="FFFFFF"/>
            <w:noWrap/>
            <w:vAlign w:val="bottom"/>
            <w:hideMark/>
          </w:tcPr>
          <w:p w14:paraId="6F5D890F" w14:textId="77777777"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-125.856</w:t>
            </w:r>
          </w:p>
        </w:tc>
        <w:tc>
          <w:tcPr>
            <w:tcW w:w="0" w:type="auto"/>
            <w:tcBorders>
              <w:top w:val="nil"/>
              <w:left w:val="nil"/>
              <w:bottom w:val="nil"/>
              <w:right w:val="nil"/>
            </w:tcBorders>
            <w:shd w:val="clear" w:color="000000" w:fill="FFFFFF"/>
            <w:noWrap/>
            <w:vAlign w:val="bottom"/>
            <w:hideMark/>
          </w:tcPr>
          <w:p w14:paraId="726000D4" w14:textId="77777777"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4,498</w:t>
            </w:r>
          </w:p>
        </w:tc>
        <w:tc>
          <w:tcPr>
            <w:tcW w:w="0" w:type="auto"/>
            <w:tcBorders>
              <w:top w:val="nil"/>
              <w:left w:val="nil"/>
              <w:bottom w:val="nil"/>
              <w:right w:val="nil"/>
            </w:tcBorders>
            <w:shd w:val="clear" w:color="000000" w:fill="FFFFFF"/>
            <w:noWrap/>
            <w:vAlign w:val="bottom"/>
            <w:hideMark/>
          </w:tcPr>
          <w:p w14:paraId="680CB2EF" w14:textId="77777777"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7.77</w:t>
            </w:r>
          </w:p>
        </w:tc>
        <w:tc>
          <w:tcPr>
            <w:tcW w:w="0" w:type="auto"/>
            <w:tcBorders>
              <w:top w:val="nil"/>
              <w:left w:val="nil"/>
              <w:bottom w:val="nil"/>
              <w:right w:val="nil"/>
            </w:tcBorders>
            <w:shd w:val="clear" w:color="000000" w:fill="FFFFFF"/>
            <w:noWrap/>
            <w:vAlign w:val="bottom"/>
            <w:hideMark/>
          </w:tcPr>
          <w:p w14:paraId="4A3966A5" w14:textId="77777777"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6.71</w:t>
            </w:r>
          </w:p>
        </w:tc>
        <w:tc>
          <w:tcPr>
            <w:tcW w:w="0" w:type="auto"/>
            <w:tcBorders>
              <w:top w:val="nil"/>
              <w:left w:val="nil"/>
              <w:bottom w:val="nil"/>
              <w:right w:val="nil"/>
            </w:tcBorders>
            <w:shd w:val="clear" w:color="000000" w:fill="FFFFFF"/>
            <w:noWrap/>
            <w:vAlign w:val="bottom"/>
            <w:hideMark/>
          </w:tcPr>
          <w:p w14:paraId="1723B065" w14:textId="6D9F7754"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7</w:t>
            </w:r>
            <w:r w:rsidR="00A12A8D" w:rsidRPr="00F93486">
              <w:rPr>
                <w:rFonts w:ascii="Calibri" w:eastAsia="Times New Roman" w:hAnsi="Calibri" w:cs="Calibri"/>
                <w:color w:val="000000"/>
                <w:kern w:val="0"/>
                <w:sz w:val="18"/>
                <w:szCs w:val="18"/>
                <w14:ligatures w14:val="none"/>
              </w:rPr>
              <w:t>,</w:t>
            </w:r>
            <w:r w:rsidRPr="00F93486">
              <w:rPr>
                <w:rFonts w:ascii="Calibri" w:eastAsia="Times New Roman" w:hAnsi="Calibri" w:cs="Calibri"/>
                <w:color w:val="000000"/>
                <w:kern w:val="0"/>
                <w:sz w:val="18"/>
                <w:szCs w:val="18"/>
                <w14:ligatures w14:val="none"/>
              </w:rPr>
              <w:t>634</w:t>
            </w:r>
          </w:p>
        </w:tc>
        <w:tc>
          <w:tcPr>
            <w:tcW w:w="0" w:type="auto"/>
            <w:tcBorders>
              <w:top w:val="nil"/>
              <w:left w:val="nil"/>
              <w:bottom w:val="nil"/>
              <w:right w:val="nil"/>
            </w:tcBorders>
            <w:shd w:val="clear" w:color="000000" w:fill="FFFFFF"/>
            <w:noWrap/>
            <w:vAlign w:val="bottom"/>
            <w:hideMark/>
          </w:tcPr>
          <w:p w14:paraId="4F32CE1C" w14:textId="5A13BF38"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5</w:t>
            </w:r>
            <w:r w:rsidR="00A12A8D" w:rsidRPr="00F93486">
              <w:rPr>
                <w:rFonts w:ascii="Calibri" w:eastAsia="Times New Roman" w:hAnsi="Calibri" w:cs="Calibri"/>
                <w:color w:val="000000"/>
                <w:kern w:val="0"/>
                <w:sz w:val="18"/>
                <w:szCs w:val="18"/>
                <w14:ligatures w14:val="none"/>
              </w:rPr>
              <w:t>,</w:t>
            </w:r>
            <w:r w:rsidRPr="00F93486">
              <w:rPr>
                <w:rFonts w:ascii="Calibri" w:eastAsia="Times New Roman" w:hAnsi="Calibri" w:cs="Calibri"/>
                <w:color w:val="000000"/>
                <w:kern w:val="0"/>
                <w:sz w:val="18"/>
                <w:szCs w:val="18"/>
                <w14:ligatures w14:val="none"/>
              </w:rPr>
              <w:t>137</w:t>
            </w:r>
          </w:p>
        </w:tc>
        <w:tc>
          <w:tcPr>
            <w:tcW w:w="0" w:type="auto"/>
            <w:tcBorders>
              <w:top w:val="nil"/>
              <w:left w:val="nil"/>
              <w:bottom w:val="nil"/>
              <w:right w:val="nil"/>
            </w:tcBorders>
            <w:shd w:val="clear" w:color="000000" w:fill="FFFFFF"/>
            <w:noWrap/>
            <w:vAlign w:val="bottom"/>
            <w:hideMark/>
          </w:tcPr>
          <w:p w14:paraId="6B19E395" w14:textId="6C035768"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5</w:t>
            </w:r>
            <w:r w:rsidR="00A12A8D" w:rsidRPr="00F93486">
              <w:rPr>
                <w:rFonts w:ascii="Calibri" w:eastAsia="Times New Roman" w:hAnsi="Calibri" w:cs="Calibri"/>
                <w:color w:val="000000"/>
                <w:kern w:val="0"/>
                <w:sz w:val="18"/>
                <w:szCs w:val="18"/>
                <w14:ligatures w14:val="none"/>
              </w:rPr>
              <w:t>,</w:t>
            </w:r>
            <w:r w:rsidRPr="00F93486">
              <w:rPr>
                <w:rFonts w:ascii="Calibri" w:eastAsia="Times New Roman" w:hAnsi="Calibri" w:cs="Calibri"/>
                <w:color w:val="000000"/>
                <w:kern w:val="0"/>
                <w:sz w:val="18"/>
                <w:szCs w:val="18"/>
                <w14:ligatures w14:val="none"/>
              </w:rPr>
              <w:t>652</w:t>
            </w:r>
          </w:p>
        </w:tc>
        <w:tc>
          <w:tcPr>
            <w:tcW w:w="0" w:type="auto"/>
            <w:tcBorders>
              <w:top w:val="nil"/>
              <w:left w:val="nil"/>
              <w:bottom w:val="nil"/>
              <w:right w:val="nil"/>
            </w:tcBorders>
            <w:shd w:val="clear" w:color="000000" w:fill="FFFFFF"/>
            <w:noWrap/>
            <w:vAlign w:val="bottom"/>
            <w:hideMark/>
          </w:tcPr>
          <w:p w14:paraId="5B3CBC0B" w14:textId="77777777" w:rsidR="006C12FF" w:rsidRPr="00F93486" w:rsidRDefault="006C12FF" w:rsidP="006C12FF">
            <w:pPr>
              <w:spacing w:after="0" w:line="240" w:lineRule="auto"/>
              <w:jc w:val="lef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 </w:t>
            </w:r>
          </w:p>
        </w:tc>
      </w:tr>
      <w:tr w:rsidR="00F93486" w:rsidRPr="00F93486" w14:paraId="69FC58D8" w14:textId="77777777" w:rsidTr="00F93486">
        <w:trPr>
          <w:trHeight w:val="288"/>
        </w:trPr>
        <w:tc>
          <w:tcPr>
            <w:tcW w:w="850" w:type="dxa"/>
            <w:tcBorders>
              <w:top w:val="nil"/>
              <w:left w:val="nil"/>
              <w:bottom w:val="single" w:sz="4" w:space="0" w:color="auto"/>
              <w:right w:val="nil"/>
            </w:tcBorders>
            <w:shd w:val="clear" w:color="000000" w:fill="FFFFFF"/>
            <w:noWrap/>
            <w:vAlign w:val="bottom"/>
            <w:hideMark/>
          </w:tcPr>
          <w:p w14:paraId="57FF71C9" w14:textId="77777777" w:rsidR="006C12FF" w:rsidRPr="00F93486" w:rsidRDefault="006C12FF" w:rsidP="006C12FF">
            <w:pPr>
              <w:spacing w:after="0" w:line="240" w:lineRule="auto"/>
              <w:jc w:val="lef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 </w:t>
            </w:r>
          </w:p>
        </w:tc>
        <w:tc>
          <w:tcPr>
            <w:tcW w:w="434" w:type="dxa"/>
            <w:tcBorders>
              <w:top w:val="nil"/>
              <w:left w:val="nil"/>
              <w:bottom w:val="single" w:sz="4" w:space="0" w:color="auto"/>
              <w:right w:val="nil"/>
            </w:tcBorders>
            <w:shd w:val="clear" w:color="000000" w:fill="FFFFFF"/>
            <w:noWrap/>
            <w:vAlign w:val="bottom"/>
            <w:hideMark/>
          </w:tcPr>
          <w:p w14:paraId="7DBD1CC8" w14:textId="77777777" w:rsidR="006C12FF" w:rsidRPr="00F93486" w:rsidRDefault="006C12FF" w:rsidP="006C12FF">
            <w:pPr>
              <w:spacing w:after="0" w:line="240" w:lineRule="auto"/>
              <w:jc w:val="lef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AUV012</w:t>
            </w:r>
          </w:p>
        </w:tc>
        <w:tc>
          <w:tcPr>
            <w:tcW w:w="0" w:type="auto"/>
            <w:tcBorders>
              <w:top w:val="nil"/>
              <w:left w:val="nil"/>
              <w:bottom w:val="single" w:sz="4" w:space="0" w:color="auto"/>
              <w:right w:val="nil"/>
            </w:tcBorders>
            <w:shd w:val="clear" w:color="000000" w:fill="FFFFFF"/>
            <w:noWrap/>
            <w:vAlign w:val="bottom"/>
            <w:hideMark/>
          </w:tcPr>
          <w:p w14:paraId="5B063305" w14:textId="77777777"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3/10/2015</w:t>
            </w:r>
          </w:p>
        </w:tc>
        <w:tc>
          <w:tcPr>
            <w:tcW w:w="0" w:type="auto"/>
            <w:tcBorders>
              <w:top w:val="nil"/>
              <w:left w:val="nil"/>
              <w:bottom w:val="single" w:sz="4" w:space="0" w:color="auto"/>
              <w:right w:val="nil"/>
            </w:tcBorders>
            <w:shd w:val="clear" w:color="000000" w:fill="FFFFFF"/>
            <w:noWrap/>
            <w:vAlign w:val="bottom"/>
            <w:hideMark/>
          </w:tcPr>
          <w:p w14:paraId="17E02527" w14:textId="77777777"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14.083</w:t>
            </w:r>
          </w:p>
        </w:tc>
        <w:tc>
          <w:tcPr>
            <w:tcW w:w="0" w:type="auto"/>
            <w:tcBorders>
              <w:top w:val="nil"/>
              <w:left w:val="nil"/>
              <w:bottom w:val="single" w:sz="4" w:space="0" w:color="auto"/>
              <w:right w:val="nil"/>
            </w:tcBorders>
            <w:shd w:val="clear" w:color="000000" w:fill="FFFFFF"/>
            <w:noWrap/>
            <w:vAlign w:val="bottom"/>
            <w:hideMark/>
          </w:tcPr>
          <w:p w14:paraId="0CFE16F2" w14:textId="77777777" w:rsidR="006C12FF" w:rsidRPr="00F93486" w:rsidRDefault="006C12FF" w:rsidP="006C12FF">
            <w:pPr>
              <w:spacing w:after="0" w:line="240" w:lineRule="auto"/>
              <w:ind w:firstLineChars="100" w:firstLine="180"/>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14.175</w:t>
            </w:r>
          </w:p>
        </w:tc>
        <w:tc>
          <w:tcPr>
            <w:tcW w:w="0" w:type="auto"/>
            <w:tcBorders>
              <w:top w:val="nil"/>
              <w:left w:val="nil"/>
              <w:bottom w:val="single" w:sz="4" w:space="0" w:color="auto"/>
              <w:right w:val="nil"/>
            </w:tcBorders>
            <w:shd w:val="clear" w:color="000000" w:fill="FFFFFF"/>
            <w:noWrap/>
            <w:vAlign w:val="bottom"/>
            <w:hideMark/>
          </w:tcPr>
          <w:p w14:paraId="0AC30A39" w14:textId="77777777"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-125.927</w:t>
            </w:r>
          </w:p>
        </w:tc>
        <w:tc>
          <w:tcPr>
            <w:tcW w:w="0" w:type="auto"/>
            <w:tcBorders>
              <w:top w:val="nil"/>
              <w:left w:val="nil"/>
              <w:bottom w:val="single" w:sz="4" w:space="0" w:color="auto"/>
              <w:right w:val="nil"/>
            </w:tcBorders>
            <w:shd w:val="clear" w:color="000000" w:fill="FFFFFF"/>
            <w:noWrap/>
            <w:vAlign w:val="bottom"/>
            <w:hideMark/>
          </w:tcPr>
          <w:p w14:paraId="776BEB0B" w14:textId="77777777"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-125.859</w:t>
            </w:r>
          </w:p>
        </w:tc>
        <w:tc>
          <w:tcPr>
            <w:tcW w:w="0" w:type="auto"/>
            <w:tcBorders>
              <w:top w:val="nil"/>
              <w:left w:val="nil"/>
              <w:bottom w:val="single" w:sz="4" w:space="0" w:color="auto"/>
              <w:right w:val="nil"/>
            </w:tcBorders>
            <w:shd w:val="clear" w:color="000000" w:fill="FFFFFF"/>
            <w:noWrap/>
            <w:vAlign w:val="bottom"/>
            <w:hideMark/>
          </w:tcPr>
          <w:p w14:paraId="022509FF" w14:textId="77777777"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4,490</w:t>
            </w:r>
          </w:p>
        </w:tc>
        <w:tc>
          <w:tcPr>
            <w:tcW w:w="0" w:type="auto"/>
            <w:tcBorders>
              <w:top w:val="nil"/>
              <w:left w:val="nil"/>
              <w:bottom w:val="single" w:sz="4" w:space="0" w:color="auto"/>
              <w:right w:val="nil"/>
            </w:tcBorders>
            <w:shd w:val="clear" w:color="000000" w:fill="FFFFFF"/>
            <w:noWrap/>
            <w:vAlign w:val="bottom"/>
            <w:hideMark/>
          </w:tcPr>
          <w:p w14:paraId="61FD3EFF" w14:textId="77777777"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8.64</w:t>
            </w:r>
          </w:p>
        </w:tc>
        <w:tc>
          <w:tcPr>
            <w:tcW w:w="0" w:type="auto"/>
            <w:tcBorders>
              <w:top w:val="nil"/>
              <w:left w:val="nil"/>
              <w:bottom w:val="single" w:sz="4" w:space="0" w:color="auto"/>
              <w:right w:val="nil"/>
            </w:tcBorders>
            <w:shd w:val="clear" w:color="000000" w:fill="FFFFFF"/>
            <w:noWrap/>
            <w:vAlign w:val="bottom"/>
            <w:hideMark/>
          </w:tcPr>
          <w:p w14:paraId="4B66A1CB" w14:textId="77777777"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7.14</w:t>
            </w:r>
          </w:p>
        </w:tc>
        <w:tc>
          <w:tcPr>
            <w:tcW w:w="0" w:type="auto"/>
            <w:tcBorders>
              <w:top w:val="nil"/>
              <w:left w:val="nil"/>
              <w:bottom w:val="single" w:sz="4" w:space="0" w:color="auto"/>
              <w:right w:val="nil"/>
            </w:tcBorders>
            <w:shd w:val="clear" w:color="000000" w:fill="FFFFFF"/>
            <w:noWrap/>
            <w:vAlign w:val="bottom"/>
            <w:hideMark/>
          </w:tcPr>
          <w:p w14:paraId="3B59BB78" w14:textId="5C276EEB"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7</w:t>
            </w:r>
            <w:r w:rsidR="00A12A8D" w:rsidRPr="00F93486">
              <w:rPr>
                <w:rFonts w:ascii="Calibri" w:eastAsia="Times New Roman" w:hAnsi="Calibri" w:cs="Calibri"/>
                <w:color w:val="000000"/>
                <w:kern w:val="0"/>
                <w:sz w:val="18"/>
                <w:szCs w:val="18"/>
                <w14:ligatures w14:val="none"/>
              </w:rPr>
              <w:t>,</w:t>
            </w:r>
            <w:r w:rsidRPr="00F93486">
              <w:rPr>
                <w:rFonts w:ascii="Calibri" w:eastAsia="Times New Roman" w:hAnsi="Calibri" w:cs="Calibri"/>
                <w:color w:val="000000"/>
                <w:kern w:val="0"/>
                <w:sz w:val="18"/>
                <w:szCs w:val="18"/>
                <w14:ligatures w14:val="none"/>
              </w:rPr>
              <w:t>052</w:t>
            </w:r>
          </w:p>
        </w:tc>
        <w:tc>
          <w:tcPr>
            <w:tcW w:w="0" w:type="auto"/>
            <w:tcBorders>
              <w:top w:val="nil"/>
              <w:left w:val="nil"/>
              <w:bottom w:val="single" w:sz="4" w:space="0" w:color="auto"/>
              <w:right w:val="nil"/>
            </w:tcBorders>
            <w:shd w:val="clear" w:color="000000" w:fill="FFFFFF"/>
            <w:noWrap/>
            <w:vAlign w:val="bottom"/>
            <w:hideMark/>
          </w:tcPr>
          <w:p w14:paraId="7C79B272" w14:textId="7A4B127F"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3</w:t>
            </w:r>
            <w:r w:rsidR="00A12A8D" w:rsidRPr="00F93486">
              <w:rPr>
                <w:rFonts w:ascii="Calibri" w:eastAsia="Times New Roman" w:hAnsi="Calibri" w:cs="Calibri"/>
                <w:color w:val="000000"/>
                <w:kern w:val="0"/>
                <w:sz w:val="18"/>
                <w:szCs w:val="18"/>
                <w14:ligatures w14:val="none"/>
              </w:rPr>
              <w:t>,</w:t>
            </w:r>
            <w:r w:rsidRPr="00F93486">
              <w:rPr>
                <w:rFonts w:ascii="Calibri" w:eastAsia="Times New Roman" w:hAnsi="Calibri" w:cs="Calibri"/>
                <w:color w:val="000000"/>
                <w:kern w:val="0"/>
                <w:sz w:val="18"/>
                <w:szCs w:val="18"/>
                <w14:ligatures w14:val="none"/>
              </w:rPr>
              <w:t>524</w:t>
            </w:r>
          </w:p>
        </w:tc>
        <w:tc>
          <w:tcPr>
            <w:tcW w:w="0" w:type="auto"/>
            <w:tcBorders>
              <w:top w:val="nil"/>
              <w:left w:val="nil"/>
              <w:bottom w:val="single" w:sz="4" w:space="0" w:color="auto"/>
              <w:right w:val="nil"/>
            </w:tcBorders>
            <w:shd w:val="clear" w:color="000000" w:fill="FFFFFF"/>
            <w:noWrap/>
            <w:vAlign w:val="bottom"/>
            <w:hideMark/>
          </w:tcPr>
          <w:p w14:paraId="63BFC708" w14:textId="77BE3FF0"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6</w:t>
            </w:r>
            <w:r w:rsidR="00A12A8D" w:rsidRPr="00F93486">
              <w:rPr>
                <w:rFonts w:ascii="Calibri" w:eastAsia="Times New Roman" w:hAnsi="Calibri" w:cs="Calibri"/>
                <w:color w:val="000000"/>
                <w:kern w:val="0"/>
                <w:sz w:val="18"/>
                <w:szCs w:val="18"/>
                <w14:ligatures w14:val="none"/>
              </w:rPr>
              <w:t>,</w:t>
            </w:r>
            <w:r w:rsidRPr="00F93486">
              <w:rPr>
                <w:rFonts w:ascii="Calibri" w:eastAsia="Times New Roman" w:hAnsi="Calibri" w:cs="Calibri"/>
                <w:color w:val="000000"/>
                <w:kern w:val="0"/>
                <w:sz w:val="18"/>
                <w:szCs w:val="18"/>
                <w14:ligatures w14:val="none"/>
              </w:rPr>
              <w:t>409</w:t>
            </w:r>
          </w:p>
        </w:tc>
        <w:tc>
          <w:tcPr>
            <w:tcW w:w="0" w:type="auto"/>
            <w:tcBorders>
              <w:top w:val="nil"/>
              <w:left w:val="nil"/>
              <w:bottom w:val="single" w:sz="4" w:space="0" w:color="auto"/>
              <w:right w:val="nil"/>
            </w:tcBorders>
            <w:shd w:val="clear" w:color="000000" w:fill="FFFFFF"/>
            <w:noWrap/>
            <w:vAlign w:val="bottom"/>
            <w:hideMark/>
          </w:tcPr>
          <w:p w14:paraId="4F43756B" w14:textId="77777777" w:rsidR="006C12FF" w:rsidRPr="00F93486" w:rsidRDefault="006C12FF" w:rsidP="006C12FF">
            <w:pPr>
              <w:spacing w:after="0" w:line="240" w:lineRule="auto"/>
              <w:jc w:val="right"/>
              <w:rPr>
                <w:rFonts w:ascii="Calibri" w:eastAsia="Times New Roman" w:hAnsi="Calibri" w:cs="Calibri"/>
                <w:color w:val="000000"/>
                <w:kern w:val="0"/>
                <w:sz w:val="18"/>
                <w:szCs w:val="18"/>
                <w14:ligatures w14:val="none"/>
              </w:rPr>
            </w:pPr>
            <w:r w:rsidRPr="00F93486">
              <w:rPr>
                <w:rFonts w:ascii="Calibri" w:eastAsia="Times New Roman" w:hAnsi="Calibri" w:cs="Calibri"/>
                <w:color w:val="000000"/>
                <w:kern w:val="0"/>
                <w:sz w:val="18"/>
                <w:szCs w:val="18"/>
                <w14:ligatures w14:val="none"/>
              </w:rPr>
              <w:t>3.40</w:t>
            </w:r>
          </w:p>
        </w:tc>
      </w:tr>
    </w:tbl>
    <w:p w14:paraId="71FEF099" w14:textId="68B27FAF" w:rsidR="0091717C" w:rsidRPr="006601C6" w:rsidRDefault="0091717C" w:rsidP="00DE5660">
      <w:pPr>
        <w:spacing w:after="360" w:line="240" w:lineRule="auto"/>
        <w:rPr>
          <w:rFonts w:asciiTheme="minorHAnsi" w:hAnsiTheme="minorHAnsi"/>
          <w:sz w:val="20"/>
        </w:rPr>
      </w:pPr>
      <w:r w:rsidRPr="006601C6">
        <w:rPr>
          <w:sz w:val="20"/>
        </w:rPr>
        <w:t xml:space="preserve">Table 1. Details of the AUV picture dives conducted during GSRNOD15A. AUV011 and AUV012 each cover half of site B4S03 (Fig. 1), therefore pictures of these dives were pooled and analysed as being one dive. DD = decimal degrees. The </w:t>
      </w:r>
      <w:r w:rsidR="006C12FF" w:rsidRPr="006C12FF">
        <w:rPr>
          <w:sz w:val="20"/>
        </w:rPr>
        <w:t>surface area covered by annotated pictures</w:t>
      </w:r>
      <w:r w:rsidRPr="006601C6">
        <w:rPr>
          <w:sz w:val="20"/>
        </w:rPr>
        <w:t xml:space="preserve"> (m</w:t>
      </w:r>
      <w:r w:rsidRPr="006601C6">
        <w:rPr>
          <w:sz w:val="20"/>
          <w:vertAlign w:val="superscript"/>
        </w:rPr>
        <w:t>2</w:t>
      </w:r>
      <w:r w:rsidRPr="006601C6">
        <w:rPr>
          <w:sz w:val="20"/>
        </w:rPr>
        <w:t xml:space="preserve">) displays the summed seafloor area covered by the pictures </w:t>
      </w:r>
      <w:r w:rsidR="006C12FF">
        <w:rPr>
          <w:sz w:val="20"/>
        </w:rPr>
        <w:t xml:space="preserve">selected and annotated </w:t>
      </w:r>
      <w:r w:rsidRPr="006601C6">
        <w:rPr>
          <w:sz w:val="20"/>
        </w:rPr>
        <w:t>per dive.</w:t>
      </w:r>
      <w:r w:rsidRPr="00FD3202">
        <w:rPr>
          <w:sz w:val="20"/>
        </w:rPr>
        <w:fldChar w:fldCharType="begin"/>
      </w:r>
      <w:r w:rsidRPr="006601C6">
        <w:rPr>
          <w:sz w:val="20"/>
        </w:rPr>
        <w:instrText xml:space="preserve"> LINK Excel.Sheet.12 "D:\\Badsmet\\Documents\\GSR\\Publicaties\\Macrofauna\\Tables2.xlsx" "BC_deployments!R2C2:R15C10" \a \f 4 \h  \* MERGEFORMAT </w:instrText>
      </w:r>
      <w:r w:rsidRPr="00FD3202">
        <w:rPr>
          <w:sz w:val="20"/>
        </w:rPr>
        <w:fldChar w:fldCharType="separate"/>
      </w:r>
    </w:p>
    <w:p w14:paraId="75C51AB8" w14:textId="2B066AA9" w:rsidR="00B719D7" w:rsidRPr="006601C6" w:rsidRDefault="0091717C" w:rsidP="006601C6">
      <w:pPr>
        <w:rPr>
          <w:lang w:val="en-GB"/>
        </w:rPr>
      </w:pPr>
      <w:r w:rsidRPr="00FD3202">
        <w:fldChar w:fldCharType="end"/>
      </w:r>
      <w:r w:rsidR="007B5B53">
        <w:rPr>
          <w:lang w:val="en-GB"/>
        </w:rPr>
        <w:t>Over the three selected dives</w:t>
      </w:r>
      <w:r w:rsidR="006D668A" w:rsidRPr="00FD3202">
        <w:rPr>
          <w:lang w:val="en-GB"/>
        </w:rPr>
        <w:t xml:space="preserve"> </w:t>
      </w:r>
      <w:r w:rsidR="007B5B53">
        <w:rPr>
          <w:lang w:val="en-GB"/>
        </w:rPr>
        <w:t>28,634</w:t>
      </w:r>
      <w:r w:rsidR="006D668A" w:rsidRPr="00FD3202">
        <w:rPr>
          <w:lang w:val="en-GB"/>
        </w:rPr>
        <w:t xml:space="preserve"> images </w:t>
      </w:r>
      <w:r w:rsidR="007B5B53">
        <w:rPr>
          <w:lang w:val="en-GB"/>
        </w:rPr>
        <w:t xml:space="preserve">(covering </w:t>
      </w:r>
      <w:r w:rsidR="00142E3E">
        <w:rPr>
          <w:lang w:val="en-GB"/>
        </w:rPr>
        <w:t>0.65 km</w:t>
      </w:r>
      <w:r w:rsidR="00142E3E" w:rsidRPr="00142E3E">
        <w:rPr>
          <w:vertAlign w:val="superscript"/>
          <w:lang w:val="en-GB"/>
        </w:rPr>
        <w:t>2</w:t>
      </w:r>
      <w:r w:rsidR="007B5B53">
        <w:rPr>
          <w:lang w:val="en-GB"/>
        </w:rPr>
        <w:t xml:space="preserve">) </w:t>
      </w:r>
      <w:r w:rsidR="006D668A" w:rsidRPr="00FD3202">
        <w:rPr>
          <w:lang w:val="en-GB"/>
        </w:rPr>
        <w:t xml:space="preserve">were collected at altitudes ranging from </w:t>
      </w:r>
      <w:r w:rsidR="00E82262" w:rsidRPr="00FD3202">
        <w:rPr>
          <w:lang w:val="en-GB"/>
        </w:rPr>
        <w:t>2.7</w:t>
      </w:r>
      <w:r w:rsidR="006D668A" w:rsidRPr="00FD3202">
        <w:rPr>
          <w:lang w:val="en-GB"/>
        </w:rPr>
        <w:t xml:space="preserve"> to </w:t>
      </w:r>
      <w:r w:rsidR="00E82262" w:rsidRPr="00FD3202">
        <w:rPr>
          <w:lang w:val="en-GB"/>
        </w:rPr>
        <w:t>19.9</w:t>
      </w:r>
      <w:r w:rsidR="006D668A" w:rsidRPr="00FD3202">
        <w:rPr>
          <w:lang w:val="en-GB"/>
        </w:rPr>
        <w:t xml:space="preserve"> </w:t>
      </w:r>
      <w:r w:rsidR="00095B93" w:rsidRPr="00FD3202">
        <w:rPr>
          <w:lang w:val="en-GB"/>
        </w:rPr>
        <w:t>m</w:t>
      </w:r>
      <w:r w:rsidR="00E82262" w:rsidRPr="00FD3202">
        <w:rPr>
          <w:lang w:val="en-GB"/>
        </w:rPr>
        <w:t>, and at a speed of about 2.75 kts</w:t>
      </w:r>
      <w:r w:rsidR="006D668A" w:rsidRPr="00FD3202">
        <w:rPr>
          <w:lang w:val="en-GB"/>
        </w:rPr>
        <w:t xml:space="preserve">. </w:t>
      </w:r>
      <w:r w:rsidR="00B719D7" w:rsidRPr="00FD3202">
        <w:rPr>
          <w:lang w:val="en-GB"/>
        </w:rPr>
        <w:t xml:space="preserve">An overview of the AUV dives and the metadata is provided in Table </w:t>
      </w:r>
      <w:r w:rsidR="00E82262" w:rsidRPr="00FD3202">
        <w:rPr>
          <w:lang w:val="en-GB"/>
        </w:rPr>
        <w:t>1</w:t>
      </w:r>
      <w:r w:rsidR="00B719D7" w:rsidRPr="00FD3202">
        <w:rPr>
          <w:lang w:val="en-GB"/>
        </w:rPr>
        <w:t xml:space="preserve">. Aboard, the raw pictures were corrected for </w:t>
      </w:r>
      <w:r w:rsidR="00FA254B" w:rsidRPr="00FD3202">
        <w:rPr>
          <w:lang w:val="en-GB"/>
        </w:rPr>
        <w:t>colour</w:t>
      </w:r>
      <w:r w:rsidR="00B719D7" w:rsidRPr="00FD3202">
        <w:rPr>
          <w:lang w:val="en-GB"/>
        </w:rPr>
        <w:t xml:space="preserve"> and processed to 53.6 Mb RGB24 images. Additional light normalization and seabed projection </w:t>
      </w:r>
      <w:r w:rsidR="00B719D7" w:rsidRPr="006601C6">
        <w:rPr>
          <w:lang w:val="en-GB"/>
        </w:rPr>
        <w:t>steps were not performed for further biological analyses.</w:t>
      </w:r>
    </w:p>
    <w:p w14:paraId="0066CD8E" w14:textId="11BAF4C3" w:rsidR="004C2B8B" w:rsidRPr="006601C6" w:rsidRDefault="004C2B8B" w:rsidP="006601C6">
      <w:pPr>
        <w:pStyle w:val="Kop2"/>
      </w:pPr>
      <w:r w:rsidRPr="006601C6">
        <w:t>Megafauna annotations</w:t>
      </w:r>
    </w:p>
    <w:p w14:paraId="259EFB88" w14:textId="6B68373C" w:rsidR="00327A17" w:rsidRPr="00FD3202" w:rsidRDefault="00B23315" w:rsidP="004B7000">
      <w:pPr>
        <w:rPr>
          <w:color w:val="00B050"/>
          <w:lang w:val="en-GB"/>
        </w:rPr>
      </w:pPr>
      <w:r w:rsidRPr="00FD3202">
        <w:rPr>
          <w:lang w:val="en-GB"/>
        </w:rPr>
        <w:lastRenderedPageBreak/>
        <w:t>For</w:t>
      </w:r>
      <w:r w:rsidR="00327A17" w:rsidRPr="00FD3202">
        <w:rPr>
          <w:lang w:val="en-GB"/>
        </w:rPr>
        <w:t xml:space="preserve"> </w:t>
      </w:r>
      <w:r w:rsidR="001F5EB8" w:rsidRPr="00FD3202">
        <w:rPr>
          <w:lang w:val="en-GB"/>
        </w:rPr>
        <w:t>site</w:t>
      </w:r>
      <w:r w:rsidR="00A01621">
        <w:rPr>
          <w:lang w:val="en-GB"/>
        </w:rPr>
        <w:t xml:space="preserve">s B6S02 and </w:t>
      </w:r>
      <w:r w:rsidR="00A47155" w:rsidRPr="00FD3202">
        <w:rPr>
          <w:lang w:val="en-GB"/>
        </w:rPr>
        <w:t>B4S03</w:t>
      </w:r>
      <w:r w:rsidR="00327A17" w:rsidRPr="00FD3202">
        <w:rPr>
          <w:lang w:val="en-GB"/>
        </w:rPr>
        <w:t>, a selection of AUV images taken during the dive</w:t>
      </w:r>
      <w:r w:rsidR="00A01621">
        <w:rPr>
          <w:lang w:val="en-GB"/>
        </w:rPr>
        <w:t>(s)</w:t>
      </w:r>
      <w:r w:rsidR="00327A17" w:rsidRPr="00FD3202">
        <w:rPr>
          <w:lang w:val="en-GB"/>
        </w:rPr>
        <w:t xml:space="preserve"> was annotated fo</w:t>
      </w:r>
      <w:r w:rsidR="001D0944" w:rsidRPr="00FD3202">
        <w:rPr>
          <w:lang w:val="en-GB"/>
        </w:rPr>
        <w:t xml:space="preserve">r the presence of megafauna </w:t>
      </w:r>
      <w:r w:rsidR="00327A17" w:rsidRPr="00FD3202">
        <w:rPr>
          <w:lang w:val="en-GB"/>
        </w:rPr>
        <w:t xml:space="preserve">on the seabed. Since AUV011 and AUV012 each cover half of </w:t>
      </w:r>
      <w:r w:rsidR="001F5EB8" w:rsidRPr="00FD3202">
        <w:rPr>
          <w:lang w:val="en-GB"/>
        </w:rPr>
        <w:t>site</w:t>
      </w:r>
      <w:r w:rsidR="00327A17" w:rsidRPr="00FD3202">
        <w:rPr>
          <w:lang w:val="en-GB"/>
        </w:rPr>
        <w:t xml:space="preserve"> B4S03, pictures of these dives were pooled and analysed as being one dive. </w:t>
      </w:r>
      <w:r w:rsidR="00F76968" w:rsidRPr="00FD3202">
        <w:rPr>
          <w:lang w:val="en-GB"/>
        </w:rPr>
        <w:t>Pictures taken at an altitude &lt; 8m</w:t>
      </w:r>
      <w:r w:rsidR="00324CA2">
        <w:rPr>
          <w:lang w:val="en-GB"/>
        </w:rPr>
        <w:t xml:space="preserve"> </w:t>
      </w:r>
      <w:r w:rsidR="00F76968" w:rsidRPr="00FD3202">
        <w:rPr>
          <w:lang w:val="en-GB"/>
        </w:rPr>
        <w:t xml:space="preserve">above the seabed were processed separately from the pictures taken at an altitude &gt; 8m above the seabed to enable comparison of megafaunal </w:t>
      </w:r>
      <w:r w:rsidR="00327A17" w:rsidRPr="00FD3202">
        <w:rPr>
          <w:lang w:val="en-GB"/>
        </w:rPr>
        <w:t xml:space="preserve">abundances </w:t>
      </w:r>
      <w:r w:rsidR="00F76968" w:rsidRPr="00FD3202">
        <w:rPr>
          <w:lang w:val="en-GB"/>
        </w:rPr>
        <w:t>between</w:t>
      </w:r>
      <w:r w:rsidR="00327A17" w:rsidRPr="00FD3202">
        <w:rPr>
          <w:lang w:val="en-GB"/>
        </w:rPr>
        <w:t xml:space="preserve"> different altitudes </w:t>
      </w:r>
      <w:r w:rsidR="00F76968" w:rsidRPr="00FD3202">
        <w:rPr>
          <w:lang w:val="en-GB"/>
        </w:rPr>
        <w:t xml:space="preserve">for each </w:t>
      </w:r>
      <w:r w:rsidR="001F5EB8" w:rsidRPr="00FD3202">
        <w:rPr>
          <w:lang w:val="en-GB"/>
        </w:rPr>
        <w:t>site</w:t>
      </w:r>
      <w:r w:rsidR="00813769">
        <w:rPr>
          <w:lang w:val="en-GB"/>
        </w:rPr>
        <w:t xml:space="preserve"> (Supplementary Material 1)</w:t>
      </w:r>
      <w:r w:rsidR="002F5583" w:rsidRPr="00FD3202">
        <w:rPr>
          <w:lang w:val="en-GB"/>
        </w:rPr>
        <w:t>.</w:t>
      </w:r>
      <w:r w:rsidR="00492E2A" w:rsidRPr="00FD3202">
        <w:rPr>
          <w:lang w:val="en-GB"/>
        </w:rPr>
        <w:t xml:space="preserve"> </w:t>
      </w:r>
      <w:r w:rsidR="00324CA2">
        <w:rPr>
          <w:lang w:val="en-GB"/>
        </w:rPr>
        <w:t xml:space="preserve">Below 8m altitude, pictures were collected </w:t>
      </w:r>
      <w:r w:rsidR="003F0F7A">
        <w:rPr>
          <w:lang w:val="en-GB"/>
        </w:rPr>
        <w:t>on average 6</w:t>
      </w:r>
      <w:r w:rsidR="00603D0E">
        <w:rPr>
          <w:lang w:val="en-GB"/>
        </w:rPr>
        <w:t>m above the seabed</w:t>
      </w:r>
      <w:r w:rsidR="003F0F7A">
        <w:rPr>
          <w:lang w:val="en-GB"/>
        </w:rPr>
        <w:t xml:space="preserve"> (Table 1</w:t>
      </w:r>
      <w:r w:rsidR="00930F83">
        <w:rPr>
          <w:lang w:val="en-GB"/>
        </w:rPr>
        <w:t xml:space="preserve">; </w:t>
      </w:r>
      <w:r w:rsidR="00930F83" w:rsidRPr="00FD3202">
        <w:rPr>
          <w:lang w:val="en-GB"/>
        </w:rPr>
        <w:t xml:space="preserve">Supplementary Material </w:t>
      </w:r>
      <w:r w:rsidR="00813769">
        <w:rPr>
          <w:lang w:val="en-GB"/>
        </w:rPr>
        <w:t>2</w:t>
      </w:r>
      <w:r w:rsidR="003F0F7A">
        <w:rPr>
          <w:lang w:val="en-GB"/>
        </w:rPr>
        <w:t>)</w:t>
      </w:r>
      <w:r w:rsidR="00603D0E">
        <w:rPr>
          <w:lang w:val="en-GB"/>
        </w:rPr>
        <w:t xml:space="preserve">. </w:t>
      </w:r>
      <w:r w:rsidR="00B77989">
        <w:rPr>
          <w:lang w:val="en-GB"/>
        </w:rPr>
        <w:t>Be</w:t>
      </w:r>
      <w:r w:rsidR="00B77989">
        <w:t>cause of the relatively high altitude at which the pictures were taken, the resolution of the images was not sufficient to make reliable biodiversity calculations. Nevertheless, we were able to compare the relative abundances of the major groups</w:t>
      </w:r>
      <w:r w:rsidR="00136811">
        <w:t xml:space="preserve"> of larger-sized megafauna (approximately &gt; 5 cm)</w:t>
      </w:r>
      <w:r w:rsidR="00B77989">
        <w:t xml:space="preserve">. </w:t>
      </w:r>
      <w:r w:rsidR="00492E2A" w:rsidRPr="00FD3202">
        <w:rPr>
          <w:lang w:val="en-GB"/>
        </w:rPr>
        <w:t>F</w:t>
      </w:r>
      <w:r w:rsidRPr="00FD3202">
        <w:rPr>
          <w:lang w:val="en-GB"/>
        </w:rPr>
        <w:t>ive</w:t>
      </w:r>
      <w:r w:rsidR="00327A17" w:rsidRPr="00FD3202">
        <w:rPr>
          <w:lang w:val="en-GB"/>
        </w:rPr>
        <w:t xml:space="preserve"> replicate sets of 50 images were randomly selected</w:t>
      </w:r>
      <w:r w:rsidRPr="00FD3202">
        <w:rPr>
          <w:lang w:val="en-GB"/>
        </w:rPr>
        <w:t xml:space="preserve"> </w:t>
      </w:r>
      <w:r w:rsidR="00492E2A" w:rsidRPr="00FD3202">
        <w:rPr>
          <w:lang w:val="en-GB"/>
        </w:rPr>
        <w:t xml:space="preserve">per combination of site and altitude </w:t>
      </w:r>
      <w:r w:rsidRPr="00FD3202">
        <w:rPr>
          <w:lang w:val="en-GB"/>
        </w:rPr>
        <w:t>and stored on a server hosted by Geomar</w:t>
      </w:r>
      <w:r w:rsidR="00941D87">
        <w:rPr>
          <w:lang w:val="en-GB"/>
        </w:rPr>
        <w:t xml:space="preserve"> (</w:t>
      </w:r>
      <w:r w:rsidR="00941D87" w:rsidRPr="00941D87">
        <w:rPr>
          <w:lang w:val="en-GB"/>
        </w:rPr>
        <w:t>Helmholtz Centre for Ocean Research, Kiel, Germany)</w:t>
      </w:r>
      <w:r w:rsidR="00327A17" w:rsidRPr="00FD3202">
        <w:rPr>
          <w:lang w:val="en-GB"/>
        </w:rPr>
        <w:t xml:space="preserve">. </w:t>
      </w:r>
      <w:r w:rsidRPr="00FD3202">
        <w:rPr>
          <w:lang w:val="en-GB"/>
        </w:rPr>
        <w:t xml:space="preserve">The pictures were </w:t>
      </w:r>
      <w:r w:rsidR="00E94D86">
        <w:rPr>
          <w:lang w:val="en-GB"/>
        </w:rPr>
        <w:t>visually reviewed</w:t>
      </w:r>
      <w:r w:rsidRPr="00FD3202">
        <w:rPr>
          <w:lang w:val="en-GB"/>
        </w:rPr>
        <w:t xml:space="preserve"> and annotated for megafauna, </w:t>
      </w:r>
      <w:r w:rsidR="00924FFC" w:rsidRPr="00FD3202">
        <w:rPr>
          <w:lang w:val="en-GB"/>
        </w:rPr>
        <w:t>using the online software tool</w:t>
      </w:r>
      <w:r w:rsidR="0055592B" w:rsidRPr="00FD3202">
        <w:rPr>
          <w:lang w:val="en-GB"/>
        </w:rPr>
        <w:t xml:space="preserve"> </w:t>
      </w:r>
      <w:r w:rsidR="00C215B9" w:rsidRPr="00FD3202">
        <w:rPr>
          <w:lang w:val="en-GB"/>
        </w:rPr>
        <w:t>BIIGLE 2.0</w:t>
      </w:r>
      <w:r w:rsidR="00E46577" w:rsidRPr="00FD3202">
        <w:rPr>
          <w:lang w:val="en-GB"/>
        </w:rPr>
        <w:t xml:space="preserve"> </w:t>
      </w:r>
      <w:r w:rsidR="00E46577" w:rsidRPr="00FD3202">
        <w:rPr>
          <w:lang w:val="en-GB"/>
        </w:rPr>
        <w:fldChar w:fldCharType="begin"/>
      </w:r>
      <w:r w:rsidR="00312465">
        <w:rPr>
          <w:lang w:val="en-GB"/>
        </w:rPr>
        <w:instrText xml:space="preserve"> ADDIN ZOTERO_ITEM CSL_CITATION {"citationID":"aBqUhDcZ","properties":{"formattedCitation":"(Langenk\\uc0\\u228{}mper et al., 2017)","plainCitation":"(Langenkämper et al., 2017)","noteIndex":0},"citationItems":[{"id":589,"uris":["http://zotero.org/groups/512020/items/WGKS9RKC"],"uri":["http://zotero.org/groups/512020/items/WGKS9RKC"],"itemData":{"id":589,"type":"article-journal","abstract":"Combining state-of-the art digital imaging technology with different kinds of marine exploration techniques such as modern AUV (autonomous underwater vehicle), ROV (remote operating vehicle) or other monitoring platforms enables marine imaging on new spatial and/or temporal scales. A comprehensive interpretation of such image collections requires the detection, classification and quantification of objects of interest in the images usually performed by domain experts. However, the data volume and the rich content of the images makes the support by software tools inevitable. We define some requirements for marine image annotation and present our new online tool Biigle 2.0. It is developed with a special focus on annotating benthic fauna in marine image collections with tools customized to increase efficiency and effectiveness in the manual annotation process. The software architecture of the system is described and the special features of Biigle 2.0 are illustrated with different use-cases and future developments are discussed.","container-title":"Frontiers in Marine Science","DOI":"10.3389/fmars.2017.00083","ISSN":"2296-7745","journalAbbreviation":"Front. Mar. Sci.","language":"English","source":"Frontiers","title":"BIIGLE 2.0 - Browsing and Annotating Large Marine Image Collections","URL":"http://journal.frontiersin.org/article/10.3389/fmars.2017.00083/abstract","volume":"4","author":[{"family":"Langenkämper","given":"Daniel"},{"family":"Zurowietz","given":"Martin"},{"family":"Schoening","given":"Timm"},{"family":"Nattkemper","given":"Tim Wilhelm"}],"accessed":{"date-parts":[["2017",3,21]]},"issued":{"date-parts":[["2017"]]}}}],"schema":"https://github.com/citation-style-language/schema/raw/master/csl-citation.json"} </w:instrText>
      </w:r>
      <w:r w:rsidR="00E46577" w:rsidRPr="00FD3202">
        <w:rPr>
          <w:lang w:val="en-GB"/>
        </w:rPr>
        <w:fldChar w:fldCharType="separate"/>
      </w:r>
      <w:r w:rsidR="00E46577" w:rsidRPr="00FD3202">
        <w:rPr>
          <w:rFonts w:cs="Times New Roman"/>
          <w:szCs w:val="24"/>
          <w:lang w:val="en-GB"/>
        </w:rPr>
        <w:t>(Langenkämper et al., 2017)</w:t>
      </w:r>
      <w:r w:rsidR="00E46577" w:rsidRPr="00FD3202">
        <w:rPr>
          <w:lang w:val="en-GB"/>
        </w:rPr>
        <w:fldChar w:fldCharType="end"/>
      </w:r>
      <w:r w:rsidR="00924FFC" w:rsidRPr="00FD3202">
        <w:rPr>
          <w:lang w:val="en-GB"/>
        </w:rPr>
        <w:t xml:space="preserve">. The annotated megafauna </w:t>
      </w:r>
      <w:r w:rsidRPr="00FD3202">
        <w:rPr>
          <w:lang w:val="en-GB"/>
        </w:rPr>
        <w:t>was identified t</w:t>
      </w:r>
      <w:r w:rsidR="00327A17" w:rsidRPr="00FD3202">
        <w:rPr>
          <w:lang w:val="en-GB"/>
        </w:rPr>
        <w:t>o</w:t>
      </w:r>
      <w:r w:rsidR="00BA6A9E" w:rsidRPr="00FD3202">
        <w:rPr>
          <w:lang w:val="en-GB"/>
        </w:rPr>
        <w:t xml:space="preserve"> the lowest possible taxon level (</w:t>
      </w:r>
      <w:r w:rsidR="00F7372D">
        <w:rPr>
          <w:lang w:val="en-GB"/>
        </w:rPr>
        <w:t>i.e.</w:t>
      </w:r>
      <w:r w:rsidR="00BA6A9E" w:rsidRPr="00FD3202">
        <w:rPr>
          <w:lang w:val="en-GB"/>
        </w:rPr>
        <w:t xml:space="preserve"> morphotypes)</w:t>
      </w:r>
      <w:r w:rsidR="00327A17" w:rsidRPr="00FD3202">
        <w:rPr>
          <w:lang w:val="en-GB"/>
        </w:rPr>
        <w:t xml:space="preserve"> </w:t>
      </w:r>
      <w:r w:rsidR="007A79CF" w:rsidRPr="00FD3202">
        <w:rPr>
          <w:lang w:val="en-GB"/>
        </w:rPr>
        <w:t>and counted</w:t>
      </w:r>
      <w:r w:rsidR="00327A17" w:rsidRPr="00FD3202">
        <w:rPr>
          <w:lang w:val="en-GB"/>
        </w:rPr>
        <w:t xml:space="preserve">. </w:t>
      </w:r>
      <w:r w:rsidR="002F5583" w:rsidRPr="00FD3202">
        <w:rPr>
          <w:lang w:val="en-GB"/>
        </w:rPr>
        <w:t>Fauna that could not be identified was labelled as ‘</w:t>
      </w:r>
      <w:r w:rsidR="002F5583" w:rsidRPr="00FD3202">
        <w:rPr>
          <w:i/>
          <w:lang w:val="en-GB"/>
        </w:rPr>
        <w:t>Unknown</w:t>
      </w:r>
      <w:r w:rsidR="00E94D86">
        <w:rPr>
          <w:lang w:val="en-GB"/>
        </w:rPr>
        <w:t>’.</w:t>
      </w:r>
    </w:p>
    <w:p w14:paraId="1DBC76CF" w14:textId="21BEF586" w:rsidR="002D4823" w:rsidRPr="004C2B8B" w:rsidRDefault="002D4823" w:rsidP="006601C6">
      <w:pPr>
        <w:pStyle w:val="Kop2"/>
      </w:pPr>
      <w:r w:rsidRPr="004C2B8B">
        <w:t>Annotation data quality control</w:t>
      </w:r>
    </w:p>
    <w:p w14:paraId="116ED72F" w14:textId="31745A10" w:rsidR="001D0944" w:rsidRPr="00FD3202" w:rsidRDefault="001D0944" w:rsidP="001D0944">
      <w:pPr>
        <w:rPr>
          <w:lang w:val="en-GB"/>
        </w:rPr>
      </w:pPr>
      <w:r w:rsidRPr="00FD3202">
        <w:rPr>
          <w:lang w:val="en-GB"/>
        </w:rPr>
        <w:t xml:space="preserve">An inter-observer agreement analysis was performed to assess the quality of megafauna annotations </w:t>
      </w:r>
      <w:r w:rsidR="00424361" w:rsidRPr="00FD3202">
        <w:rPr>
          <w:lang w:val="en-GB"/>
        </w:rPr>
        <w:fldChar w:fldCharType="begin"/>
      </w:r>
      <w:r w:rsidR="00780EA9">
        <w:rPr>
          <w:lang w:val="en-GB"/>
        </w:rPr>
        <w:instrText xml:space="preserve"> ADDIN ZOTERO_ITEM CSL_CITATION {"citationID":"a1pmcc25rj2","properties":{"formattedCitation":"(Durden et al., 2016a; Schoening et al., 2016)","plainCitation":"(Durden et al., 2016a; Schoening et al., 2016)","noteIndex":0},"citationItems":[{"id":590,"uris":["http://zotero.org/groups/512020/items/CZ32SPUC"],"uri":["http://zotero.org/groups/512020/items/CZ32SPUC"],"itemData":{"id":590,"type":"article-journal","container-title":"Marine Ecology Progress Series","DOI":"10.3354/meps11775","ISSN":"0171-8630, 1616-1599","language":"en","page":"61-70","source":"CrossRef","title":"Comparison of image annotation data generated by multiple investigators for benthic ecology","volume":"552","author":[{"family":"Durden","given":"Jm"},{"family":"Bett","given":"Bj"},{"family":"Schoening","given":"T"},{"family":"Morris","given":"Kj"},{"family":"Nattkemper","given":"Tw"},{"family":"Ruhl","given":"Ha"}],"issued":{"date-parts":[["2016",6,23]]}},"label":"page"},{"id":529,"uris":["http://zotero.org/groups/512020/items/8KM9SVD8"],"uri":["http://zotero.org/groups/512020/items/8KM9SVD8"],"itemData":{"id":529,"type":"article-journal","abstract":"Marine imaging is transforming into a sensor technology applied for high throughput sampling. In the context of habitat mapping, imaging establishes thereby an important bridge technology regarding the spatial resolution and information content between physical sampling gear (e.g. box corer, multi corer) on the one end and hydro-acoustic sensors on the other end of the spectrum of sampling methods. In contrast to other scientific imaging domains, such as digital pathology, there are no protocols and reports available that guide users (often referred to as observers) in the non-trivial process of assigning semantic categories to whole images, regions or objects of interest, which is referred to as annotation. These protocols are crucial to facilitate image analysis as a robust scientific method. In this article we will review the past observations in manual Marine Image Annotations (MIA) and provide a) a guideline for collecting manual annotations, b) definitions for annotation quality and c) a statistical framework to analyze the performance of human expert annotations and to compare those to computational approaches.","container-title":"Frontiers in Marine Science","DOI":"10.3389/fmars.2016.00059","ISSN":"2296-7745","journalAbbreviation":"Front. Mar. Sci.","language":"English","source":"Frontiers","title":"RecoMIA—Recommendations for Marine Image Annotation: Lessons Learned and Future Directions","title-short":"RecoMIA—Recommendations for Marine Image Annotation","URL":"http://journal.frontiersin.org/article/10.3389/fmars.2016.00059/full","volume":"3","author":[{"family":"Schoening","given":"Timm"},{"family":"Osterloff","given":"Jonas"},{"family":"Nattkemper","given":"Tim W."}],"accessed":{"date-parts":[["2017",7,5]]},"issued":{"date-parts":[["2016"]]}},"label":"page"}],"schema":"https://github.com/citation-style-language/schema/raw/master/csl-citation.json"} </w:instrText>
      </w:r>
      <w:r w:rsidR="00424361" w:rsidRPr="00FD3202">
        <w:rPr>
          <w:lang w:val="en-GB"/>
        </w:rPr>
        <w:fldChar w:fldCharType="separate"/>
      </w:r>
      <w:r w:rsidR="00780EA9" w:rsidRPr="00780EA9">
        <w:rPr>
          <w:rFonts w:cs="Times New Roman"/>
        </w:rPr>
        <w:t>(Durden et al., 2016a; Schoening et al., 2016)</w:t>
      </w:r>
      <w:r w:rsidR="00424361" w:rsidRPr="00FD3202">
        <w:rPr>
          <w:lang w:val="en-GB"/>
        </w:rPr>
        <w:fldChar w:fldCharType="end"/>
      </w:r>
      <w:r w:rsidRPr="00FD3202">
        <w:rPr>
          <w:lang w:val="en-GB"/>
        </w:rPr>
        <w:t xml:space="preserve">. To perform this assessment, a total of 200 randomly </w:t>
      </w:r>
      <w:r w:rsidR="00424361" w:rsidRPr="00FD3202">
        <w:rPr>
          <w:lang w:val="en-GB"/>
        </w:rPr>
        <w:t>selected images</w:t>
      </w:r>
      <w:r w:rsidRPr="00FD3202">
        <w:rPr>
          <w:lang w:val="en-GB"/>
        </w:rPr>
        <w:t xml:space="preserve"> </w:t>
      </w:r>
      <w:r w:rsidR="00424361" w:rsidRPr="00FD3202">
        <w:rPr>
          <w:lang w:val="en-GB"/>
        </w:rPr>
        <w:t>(</w:t>
      </w:r>
      <w:r w:rsidR="00424361" w:rsidRPr="00FD3202">
        <w:rPr>
          <w:i/>
          <w:lang w:val="en-GB"/>
        </w:rPr>
        <w:t>i.e.</w:t>
      </w:r>
      <w:r w:rsidR="00424361" w:rsidRPr="00FD3202">
        <w:rPr>
          <w:lang w:val="en-GB"/>
        </w:rPr>
        <w:t xml:space="preserve"> </w:t>
      </w:r>
      <w:r w:rsidRPr="00FD3202">
        <w:rPr>
          <w:lang w:val="en-GB"/>
        </w:rPr>
        <w:t>20% of each replicate set</w:t>
      </w:r>
      <w:r w:rsidR="00424361" w:rsidRPr="00FD3202">
        <w:rPr>
          <w:lang w:val="en-GB"/>
        </w:rPr>
        <w:t>)</w:t>
      </w:r>
      <w:r w:rsidRPr="00FD3202">
        <w:rPr>
          <w:lang w:val="en-GB"/>
        </w:rPr>
        <w:t xml:space="preserve">, were re-annotated for </w:t>
      </w:r>
      <w:r w:rsidR="00A34336" w:rsidRPr="00FD3202">
        <w:rPr>
          <w:lang w:val="en-GB"/>
        </w:rPr>
        <w:t>mega</w:t>
      </w:r>
      <w:r w:rsidRPr="00FD3202">
        <w:rPr>
          <w:lang w:val="en-GB"/>
        </w:rPr>
        <w:t>fauna by an independent observer. To avoid the inclusion of a fauna detectability bias, observer 1 (Obs1) annotations were hidden from observer 2 (Obs2)</w:t>
      </w:r>
      <w:r w:rsidR="001F7190" w:rsidRPr="00FD3202">
        <w:rPr>
          <w:lang w:val="en-GB"/>
        </w:rPr>
        <w:t xml:space="preserve"> during the annotation process. </w:t>
      </w:r>
      <w:r w:rsidRPr="00FD3202">
        <w:rPr>
          <w:lang w:val="en-GB"/>
        </w:rPr>
        <w:t>Obs2 followed exactly the same methodological approach and taxonomical resolution as Obs1, adding new taxonomical cat</w:t>
      </w:r>
      <w:r w:rsidR="00BE7F32" w:rsidRPr="00FD3202">
        <w:rPr>
          <w:lang w:val="en-GB"/>
        </w:rPr>
        <w:t>egories where deemed pertinent.</w:t>
      </w:r>
    </w:p>
    <w:p w14:paraId="4B62A4B1" w14:textId="77777777" w:rsidR="00062BD1" w:rsidRDefault="001D0944" w:rsidP="00062BD1">
      <w:pPr>
        <w:rPr>
          <w:lang w:val="en-GB"/>
        </w:rPr>
      </w:pPr>
      <w:r w:rsidRPr="00FD3202">
        <w:rPr>
          <w:lang w:val="en-GB"/>
        </w:rPr>
        <w:t>Relative x and y pixel position</w:t>
      </w:r>
      <w:r w:rsidR="0055592B" w:rsidRPr="00FD3202">
        <w:rPr>
          <w:lang w:val="en-GB"/>
        </w:rPr>
        <w:t>s</w:t>
      </w:r>
      <w:r w:rsidRPr="00FD3202">
        <w:rPr>
          <w:lang w:val="en-GB"/>
        </w:rPr>
        <w:t xml:space="preserve"> </w:t>
      </w:r>
      <w:r w:rsidR="0055592B" w:rsidRPr="00FD3202">
        <w:rPr>
          <w:lang w:val="en-GB"/>
        </w:rPr>
        <w:t xml:space="preserve">were </w:t>
      </w:r>
      <w:r w:rsidRPr="00FD3202">
        <w:rPr>
          <w:lang w:val="en-GB"/>
        </w:rPr>
        <w:t xml:space="preserve">recorded for all annotations and used to interpolate the fauna identified by both observers </w:t>
      </w:r>
      <w:r w:rsidR="0055592B" w:rsidRPr="00FD3202">
        <w:rPr>
          <w:lang w:val="en-GB"/>
        </w:rPr>
        <w:t xml:space="preserve">for </w:t>
      </w:r>
      <w:r w:rsidRPr="00FD3202">
        <w:rPr>
          <w:lang w:val="en-GB"/>
        </w:rPr>
        <w:t xml:space="preserve">each analysed image using a custom algorithm developed using R software </w:t>
      </w:r>
      <w:r w:rsidRPr="00FD3202">
        <w:rPr>
          <w:lang w:val="en-GB"/>
        </w:rPr>
        <w:fldChar w:fldCharType="begin"/>
      </w:r>
      <w:r w:rsidRPr="00FD3202">
        <w:rPr>
          <w:lang w:val="en-GB"/>
        </w:rPr>
        <w:instrText xml:space="preserve"> ADDIN EN.CITE &lt;EndNote&gt;&lt;Cite&gt;&lt;Author&gt;R Core Team&lt;/Author&gt;&lt;Year&gt;2014&lt;/Year&gt;&lt;RecNum&gt;1383&lt;/RecNum&gt;&lt;DisplayText&gt;(R Core Team 2014)&lt;/DisplayText&gt;&lt;record&gt;&lt;rec-number&gt;1383&lt;/rec-number&gt;&lt;foreign-keys&gt;&lt;key app="EN" db-id="psfx9asrcrwtaret22kx920l5etxa2rzrwfz" timestamp="1481498270"&gt;1383&lt;/key&gt;&lt;/foreign-keys&gt;&lt;ref-type name="Computer Program"&gt;9&lt;/ref-type&gt;&lt;contributors&gt;&lt;authors&gt;&lt;author&gt;R Core Team,&lt;/author&gt;&lt;/authors&gt;&lt;/contributors&gt;&lt;titles&gt;&lt;title&gt;R: A language and environment for statistical computing&lt;/title&gt;&lt;/titles&gt;&lt;dates&gt;&lt;year&gt;2014&lt;/year&gt;&lt;/dates&gt;&lt;pub-location&gt;Vienna, Austria&lt;/pub-location&gt;&lt;publisher&gt;R Foundation for Statistical Computing&lt;/publisher&gt;&lt;urls&gt;&lt;related-urls&gt;&lt;url&gt;http://www.R-project.org/&lt;/url&gt;&lt;/related-urls&gt;&lt;/urls&gt;&lt;/record&gt;&lt;/Cite&gt;&lt;/EndNote&gt;</w:instrText>
      </w:r>
      <w:r w:rsidRPr="00FD3202">
        <w:rPr>
          <w:lang w:val="en-GB"/>
        </w:rPr>
        <w:fldChar w:fldCharType="separate"/>
      </w:r>
      <w:hyperlink w:anchor="_ENREF_1" w:tooltip="R Core Team, 2014 #1383" w:history="1">
        <w:r w:rsidR="008A38D4">
          <w:rPr>
            <w:noProof/>
            <w:lang w:val="en-GB"/>
          </w:rPr>
          <w:fldChar w:fldCharType="begin"/>
        </w:r>
        <w:r w:rsidR="00C27A92">
          <w:rPr>
            <w:noProof/>
            <w:lang w:val="en-GB"/>
          </w:rPr>
          <w:instrText xml:space="preserve"> ADDIN ZOTERO_ITEM CSL_CITATION {"citationID":"Ek9B3j1C","properties":{"formattedCitation":"(R Development Core Team, 2015)","plainCitation":"(R Development Core Team, 2015)","noteIndex":0},"citationItems":[{"id":582,"uris":["http://zotero.org/groups/512020/items/SJN4VIQ7"],"uri":["http://zotero.org/groups/512020/items/SJN4VIQ7"],"itemData":{"id":582,"type":"book","title":"R: A language and environment for statistical computing. R Foundation for Statistical Computing, Vienna, Austria. URL http://www.R-project.org/.","author":[{"family":"R Development Core Team","given":""}],"issued":{"date-parts":[["2015"]]}}}],"schema":"https://github.com/citation-style-language/schema/raw/master/csl-citation.json"} </w:instrText>
        </w:r>
        <w:r w:rsidR="008A38D4">
          <w:rPr>
            <w:noProof/>
            <w:lang w:val="en-GB"/>
          </w:rPr>
          <w:fldChar w:fldCharType="separate"/>
        </w:r>
        <w:r w:rsidR="00C27A92" w:rsidRPr="00C27A92">
          <w:rPr>
            <w:rFonts w:cs="Times New Roman"/>
          </w:rPr>
          <w:t>(R Development Core Team, 2015)</w:t>
        </w:r>
        <w:r w:rsidR="008A38D4">
          <w:rPr>
            <w:noProof/>
            <w:lang w:val="en-GB"/>
          </w:rPr>
          <w:fldChar w:fldCharType="end"/>
        </w:r>
      </w:hyperlink>
      <w:r w:rsidRPr="00FD3202">
        <w:rPr>
          <w:lang w:val="en-GB"/>
        </w:rPr>
        <w:fldChar w:fldCharType="end"/>
      </w:r>
      <w:r w:rsidRPr="00FD3202">
        <w:rPr>
          <w:lang w:val="en-GB"/>
        </w:rPr>
        <w:t xml:space="preserve">. The algorithm calculated a </w:t>
      </w:r>
      <w:r w:rsidR="00AE45AE" w:rsidRPr="00FD3202">
        <w:rPr>
          <w:lang w:val="en-GB"/>
        </w:rPr>
        <w:t>buffer area (±30 pixels)</w:t>
      </w:r>
      <w:r w:rsidRPr="00FD3202">
        <w:rPr>
          <w:lang w:val="en-GB"/>
        </w:rPr>
        <w:t xml:space="preserve"> around the x and y positioning of each Obs1 annotation, to then align each Obs1 annotation with any Obs2 </w:t>
      </w:r>
      <w:r w:rsidRPr="00FD3202">
        <w:rPr>
          <w:lang w:val="en-GB"/>
        </w:rPr>
        <w:lastRenderedPageBreak/>
        <w:t xml:space="preserve">annotation(s) falling within the same buffer area range, at the same given image. </w:t>
      </w:r>
      <w:r w:rsidR="00AE45AE" w:rsidRPr="00FD3202">
        <w:rPr>
          <w:lang w:val="en-GB"/>
        </w:rPr>
        <w:t xml:space="preserve">A buffer size of approximately 30 pixels </w:t>
      </w:r>
      <w:r w:rsidR="00050303">
        <w:rPr>
          <w:lang w:val="en-GB"/>
        </w:rPr>
        <w:t xml:space="preserve">(~7.3 cm) </w:t>
      </w:r>
      <w:r w:rsidR="00AE45AE" w:rsidRPr="00FD3202">
        <w:rPr>
          <w:lang w:val="en-GB"/>
        </w:rPr>
        <w:t xml:space="preserve">was selected to ensure a sufficiently large range for the alignment between annotations from both observers, provided that the average maximum length of Obs1 annotations was 34 px (calculated from all annotations where a line was used), and animal lengths of the largest taxa (Holothuroidea) averaged 81 px. </w:t>
      </w:r>
      <w:r w:rsidRPr="00FD3202">
        <w:rPr>
          <w:lang w:val="en-GB"/>
        </w:rPr>
        <w:t xml:space="preserve">Position-aligned annotations with matching taxonomical labels given by both observers were given a “1” score (full agreement), those aligned in position but with a different taxonomical label were given a “0.5” score, and annotations from both observers that could not be aligned in position with any annotation from the other observer where given a “0”. When multiple annotations fell within the same buffer area, the algorithm prioritized the alignment between annotations with the same taxonomical label given, under the assumption that these referred to the same individual in the image. In situations where multiple annotations falling within the same buffer had no possible taxonomical label match, alignment between Obs1 and Obs2 annotations was randomly assigned between any combination of these, and given a “0.5” score. The algorithm also flagged all cases of multiple alignment were the total number of annotations from each observer aligned were impaired (29 cases), so that these could be manually inspected and </w:t>
      </w:r>
      <w:r w:rsidR="00E94D86">
        <w:rPr>
          <w:lang w:val="en-GB"/>
        </w:rPr>
        <w:t>resolved</w:t>
      </w:r>
      <w:r w:rsidRPr="00FD3202">
        <w:rPr>
          <w:lang w:val="en-GB"/>
        </w:rPr>
        <w:t>.</w:t>
      </w:r>
      <w:r w:rsidR="0090185F">
        <w:rPr>
          <w:lang w:val="en-GB"/>
        </w:rPr>
        <w:t xml:space="preserve"> The specimen detection success was computed as the number of specimens detected by an observer as a fraction of the total number of specimens detected by both observers. The classification success was calculated as the number of specimens that were identically classified by both observers as a fraction of the number of specimens detected by both observers.</w:t>
      </w:r>
    </w:p>
    <w:p w14:paraId="1F008457" w14:textId="31B016AC" w:rsidR="00992097" w:rsidRPr="00062BD1" w:rsidRDefault="004D7E4C" w:rsidP="00062BD1">
      <w:pPr>
        <w:pStyle w:val="Kop2"/>
      </w:pPr>
      <w:r w:rsidRPr="004C2B8B">
        <w:t>Polymetallic n</w:t>
      </w:r>
      <w:r w:rsidR="00992097" w:rsidRPr="004C2B8B">
        <w:t>odule coverage</w:t>
      </w:r>
    </w:p>
    <w:p w14:paraId="570EBF35" w14:textId="724403BE" w:rsidR="00C106E2" w:rsidRDefault="00ED159B" w:rsidP="006221CE">
      <w:r>
        <w:rPr>
          <w:lang w:val="en-GB"/>
        </w:rPr>
        <w:t xml:space="preserve">From each of the AUV images, </w:t>
      </w:r>
      <w:r>
        <w:rPr>
          <w:rFonts w:cs="Times New Roman"/>
          <w:lang w:val="en-GB"/>
        </w:rPr>
        <w:t>nodule presence and size was</w:t>
      </w:r>
      <w:r w:rsidRPr="00C87DC3">
        <w:rPr>
          <w:rFonts w:cs="Times New Roman"/>
          <w:color w:val="3D3937"/>
        </w:rPr>
        <w:t xml:space="preserve"> </w:t>
      </w:r>
      <w:r>
        <w:rPr>
          <w:rFonts w:cs="Times New Roman"/>
          <w:color w:val="3D3937"/>
        </w:rPr>
        <w:t xml:space="preserve">measured by means of </w:t>
      </w:r>
      <w:r w:rsidRPr="00C87DC3">
        <w:rPr>
          <w:rFonts w:cs="Times New Roman"/>
          <w:color w:val="3D3937"/>
        </w:rPr>
        <w:t xml:space="preserve">a custom script in Python programming language </w:t>
      </w:r>
      <w:r>
        <w:rPr>
          <w:rFonts w:cs="Times New Roman"/>
          <w:color w:val="3D3937"/>
        </w:rPr>
        <w:t>developed with a</w:t>
      </w:r>
      <w:r w:rsidRPr="00C87DC3">
        <w:rPr>
          <w:rFonts w:cs="Times New Roman"/>
          <w:color w:val="3D3937"/>
        </w:rPr>
        <w:t xml:space="preserve"> combination of tools from the opensource libraries OpenCV (</w:t>
      </w:r>
      <w:hyperlink r:id="rId18" w:tgtFrame="_blank" w:history="1">
        <w:r w:rsidRPr="00C87DC3">
          <w:rPr>
            <w:rStyle w:val="Hyperlink"/>
            <w:rFonts w:cs="Times New Roman"/>
          </w:rPr>
          <w:t>https://opencv.org/</w:t>
        </w:r>
      </w:hyperlink>
      <w:r w:rsidRPr="00C87DC3">
        <w:rPr>
          <w:rFonts w:cs="Times New Roman"/>
          <w:color w:val="212121"/>
          <w:shd w:val="clear" w:color="auto" w:fill="FFFFFF"/>
        </w:rPr>
        <w:t>) and Scikit-Image (</w:t>
      </w:r>
      <w:hyperlink r:id="rId19" w:tgtFrame="_blank" w:history="1">
        <w:r w:rsidRPr="00C87DC3">
          <w:rPr>
            <w:rStyle w:val="Hyperlink"/>
            <w:rFonts w:cs="Times New Roman"/>
          </w:rPr>
          <w:t>https://scikit-image.org/</w:t>
        </w:r>
      </w:hyperlink>
      <w:r w:rsidRPr="00C87DC3">
        <w:rPr>
          <w:rFonts w:cs="Times New Roman"/>
          <w:color w:val="212121"/>
          <w:shd w:val="clear" w:color="auto" w:fill="FFFFFF"/>
        </w:rPr>
        <w:t>).</w:t>
      </w:r>
      <w:r>
        <w:rPr>
          <w:rFonts w:cs="Times New Roman"/>
          <w:color w:val="212121"/>
          <w:shd w:val="clear" w:color="auto" w:fill="FFFFFF"/>
        </w:rPr>
        <w:t xml:space="preserve"> </w:t>
      </w:r>
      <w:r w:rsidR="00C106E2">
        <w:rPr>
          <w:lang w:val="en-GB"/>
        </w:rPr>
        <w:t>T</w:t>
      </w:r>
      <w:r w:rsidR="00C106E2" w:rsidRPr="00C106E2">
        <w:rPr>
          <w:lang w:val="en-GB"/>
        </w:rPr>
        <w:t xml:space="preserve">he </w:t>
      </w:r>
      <w:r w:rsidRPr="00C106E2">
        <w:rPr>
          <w:lang w:val="en-GB"/>
        </w:rPr>
        <w:t xml:space="preserve">surface area covered by nodules </w:t>
      </w:r>
      <w:r>
        <w:rPr>
          <w:lang w:val="en-GB"/>
        </w:rPr>
        <w:t>(</w:t>
      </w:r>
      <w:r w:rsidR="00C106E2" w:rsidRPr="00C106E2">
        <w:rPr>
          <w:lang w:val="en-GB"/>
        </w:rPr>
        <w:t>nodule coverage</w:t>
      </w:r>
      <w:r>
        <w:rPr>
          <w:lang w:val="en-GB"/>
        </w:rPr>
        <w:t xml:space="preserve">, </w:t>
      </w:r>
      <w:r w:rsidR="00C106E2" w:rsidRPr="00C106E2">
        <w:rPr>
          <w:lang w:val="en-GB"/>
        </w:rPr>
        <w:t xml:space="preserve">%) was determined </w:t>
      </w:r>
      <w:r>
        <w:rPr>
          <w:lang w:val="en-GB"/>
        </w:rPr>
        <w:t>analysing</w:t>
      </w:r>
      <w:r w:rsidR="00C106E2" w:rsidRPr="00C106E2">
        <w:rPr>
          <w:lang w:val="en-GB"/>
        </w:rPr>
        <w:t xml:space="preserve"> </w:t>
      </w:r>
      <w:r w:rsidR="006221CE">
        <w:rPr>
          <w:lang w:val="en-GB"/>
        </w:rPr>
        <w:t xml:space="preserve">the pictures by means of two approaches: a </w:t>
      </w:r>
      <w:r w:rsidR="00C106E2" w:rsidRPr="00EA6187">
        <w:t>qualitative</w:t>
      </w:r>
      <w:r w:rsidR="006221CE">
        <w:t xml:space="preserve"> and a quantitative approach. The qualitative approach</w:t>
      </w:r>
      <w:r w:rsidR="00C106E2" w:rsidRPr="00EA6187">
        <w:t xml:space="preserve"> distinguish</w:t>
      </w:r>
      <w:r w:rsidR="006221CE">
        <w:t>es</w:t>
      </w:r>
      <w:r w:rsidR="00C106E2" w:rsidRPr="00EA6187">
        <w:t xml:space="preserve"> </w:t>
      </w:r>
      <w:r w:rsidR="006221CE">
        <w:t>images</w:t>
      </w:r>
      <w:r w:rsidR="00C106E2" w:rsidRPr="00EA6187">
        <w:t xml:space="preserve"> </w:t>
      </w:r>
      <w:r w:rsidR="006221CE">
        <w:t>with</w:t>
      </w:r>
      <w:r w:rsidR="00C106E2" w:rsidRPr="00EA6187">
        <w:t xml:space="preserve"> many nodules (dense/intermediate class) </w:t>
      </w:r>
      <w:r w:rsidR="006221CE">
        <w:t>from</w:t>
      </w:r>
      <w:r w:rsidR="00C106E2" w:rsidRPr="00EA6187">
        <w:t xml:space="preserve"> </w:t>
      </w:r>
      <w:r w:rsidR="006221CE">
        <w:t>images with</w:t>
      </w:r>
      <w:r w:rsidR="00C106E2" w:rsidRPr="00EA6187">
        <w:t xml:space="preserve"> no or few nodules (bare class). </w:t>
      </w:r>
      <w:r w:rsidR="006221CE">
        <w:t xml:space="preserve">The quantitative approach </w:t>
      </w:r>
      <w:r>
        <w:t>identified</w:t>
      </w:r>
      <w:r w:rsidR="00C106E2" w:rsidRPr="00EA6187">
        <w:t xml:space="preserve"> </w:t>
      </w:r>
      <w:r w:rsidR="006221CE">
        <w:t xml:space="preserve">for each nodule in the image a set of </w:t>
      </w:r>
      <w:r w:rsidR="00C106E2" w:rsidRPr="00EA6187">
        <w:t xml:space="preserve">parameters: major axis, minor axis, orientation </w:t>
      </w:r>
      <w:r w:rsidR="00C106E2" w:rsidRPr="00EA6187">
        <w:lastRenderedPageBreak/>
        <w:t>surface, roundness</w:t>
      </w:r>
      <w:r w:rsidR="006221CE">
        <w:t>,</w:t>
      </w:r>
      <w:r w:rsidR="00C106E2" w:rsidRPr="00EA6187">
        <w:t xml:space="preserve"> and for each parameter the mean, standard deviation, minimum, maxi</w:t>
      </w:r>
      <w:r w:rsidR="00257595">
        <w:t>mum and 5% and 95% percentiles we</w:t>
      </w:r>
      <w:r w:rsidR="00C106E2" w:rsidRPr="00EA6187">
        <w:t xml:space="preserve">re calculated. </w:t>
      </w:r>
      <w:r w:rsidR="00927AC1">
        <w:t>T</w:t>
      </w:r>
      <w:r>
        <w:t>he script followed</w:t>
      </w:r>
      <w:r w:rsidR="00C106E2" w:rsidRPr="00EA6187">
        <w:t xml:space="preserve"> a </w:t>
      </w:r>
      <w:r w:rsidR="00927AC1">
        <w:t>different</w:t>
      </w:r>
      <w:r w:rsidR="006221CE">
        <w:t xml:space="preserve"> </w:t>
      </w:r>
      <w:r w:rsidR="00C106E2" w:rsidRPr="00EA6187">
        <w:t xml:space="preserve">workflow </w:t>
      </w:r>
      <w:r w:rsidR="006221CE">
        <w:t xml:space="preserve">for </w:t>
      </w:r>
      <w:r w:rsidR="00927AC1">
        <w:t>b</w:t>
      </w:r>
      <w:r w:rsidR="00C106E2" w:rsidRPr="00EA6187">
        <w:t>are</w:t>
      </w:r>
      <w:r w:rsidR="00927AC1">
        <w:t>, i</w:t>
      </w:r>
      <w:r w:rsidR="00C106E2" w:rsidRPr="00EA6187">
        <w:t>ntermediate</w:t>
      </w:r>
      <w:r w:rsidR="00927AC1">
        <w:t xml:space="preserve"> and d</w:t>
      </w:r>
      <w:r w:rsidR="00C106E2" w:rsidRPr="00EA6187">
        <w:t>ense</w:t>
      </w:r>
      <w:r w:rsidR="00927AC1">
        <w:t xml:space="preserve"> class images, based on the outcome of the qualitative approach.</w:t>
      </w:r>
    </w:p>
    <w:p w14:paraId="4FE469A2" w14:textId="053F977C" w:rsidR="001C1715" w:rsidRDefault="00AE45AE" w:rsidP="006601C6">
      <w:pPr>
        <w:pStyle w:val="Kop2"/>
      </w:pPr>
      <w:r w:rsidRPr="00FD3202">
        <w:t>Data processing and statistical analyses</w:t>
      </w:r>
    </w:p>
    <w:p w14:paraId="2AB8115A" w14:textId="77777777" w:rsidR="00B820BC" w:rsidRPr="00B820BC" w:rsidRDefault="00B820BC" w:rsidP="00B820BC">
      <w:pPr>
        <w:pStyle w:val="ListParagraph"/>
        <w:numPr>
          <w:ilvl w:val="0"/>
          <w:numId w:val="26"/>
        </w:numPr>
        <w:contextualSpacing w:val="0"/>
        <w:rPr>
          <w:rFonts w:cs="Times New Roman"/>
          <w:i/>
          <w:vanish/>
        </w:rPr>
      </w:pPr>
    </w:p>
    <w:p w14:paraId="78610945" w14:textId="77777777" w:rsidR="00B820BC" w:rsidRPr="00B820BC" w:rsidRDefault="00B820BC" w:rsidP="00B820BC">
      <w:pPr>
        <w:pStyle w:val="ListParagraph"/>
        <w:numPr>
          <w:ilvl w:val="0"/>
          <w:numId w:val="26"/>
        </w:numPr>
        <w:contextualSpacing w:val="0"/>
        <w:rPr>
          <w:rFonts w:cs="Times New Roman"/>
          <w:i/>
          <w:vanish/>
        </w:rPr>
      </w:pPr>
    </w:p>
    <w:p w14:paraId="461D6E29" w14:textId="77777777" w:rsidR="00B820BC" w:rsidRPr="00B820BC" w:rsidRDefault="00B820BC" w:rsidP="00B820BC">
      <w:pPr>
        <w:pStyle w:val="ListParagraph"/>
        <w:numPr>
          <w:ilvl w:val="1"/>
          <w:numId w:val="26"/>
        </w:numPr>
        <w:contextualSpacing w:val="0"/>
        <w:rPr>
          <w:rFonts w:cs="Times New Roman"/>
          <w:i/>
          <w:vanish/>
        </w:rPr>
      </w:pPr>
    </w:p>
    <w:p w14:paraId="1D5F3319" w14:textId="77777777" w:rsidR="00B820BC" w:rsidRPr="00B820BC" w:rsidRDefault="00B820BC" w:rsidP="00B820BC">
      <w:pPr>
        <w:pStyle w:val="ListParagraph"/>
        <w:numPr>
          <w:ilvl w:val="1"/>
          <w:numId w:val="26"/>
        </w:numPr>
        <w:contextualSpacing w:val="0"/>
        <w:rPr>
          <w:rFonts w:cs="Times New Roman"/>
          <w:i/>
          <w:vanish/>
        </w:rPr>
      </w:pPr>
    </w:p>
    <w:p w14:paraId="4A16CA76" w14:textId="77777777" w:rsidR="00B820BC" w:rsidRPr="00B820BC" w:rsidRDefault="00B820BC" w:rsidP="00B820BC">
      <w:pPr>
        <w:pStyle w:val="ListParagraph"/>
        <w:numPr>
          <w:ilvl w:val="1"/>
          <w:numId w:val="26"/>
        </w:numPr>
        <w:contextualSpacing w:val="0"/>
        <w:rPr>
          <w:rFonts w:cs="Times New Roman"/>
          <w:i/>
          <w:vanish/>
        </w:rPr>
      </w:pPr>
    </w:p>
    <w:p w14:paraId="3247F57F" w14:textId="77777777" w:rsidR="00B820BC" w:rsidRPr="00B820BC" w:rsidRDefault="00B820BC" w:rsidP="00B820BC">
      <w:pPr>
        <w:pStyle w:val="ListParagraph"/>
        <w:numPr>
          <w:ilvl w:val="1"/>
          <w:numId w:val="26"/>
        </w:numPr>
        <w:contextualSpacing w:val="0"/>
        <w:rPr>
          <w:rFonts w:cs="Times New Roman"/>
          <w:i/>
          <w:vanish/>
        </w:rPr>
      </w:pPr>
    </w:p>
    <w:p w14:paraId="14DE35E5" w14:textId="77777777" w:rsidR="00B820BC" w:rsidRPr="00B820BC" w:rsidRDefault="00B820BC" w:rsidP="00B820BC">
      <w:pPr>
        <w:pStyle w:val="ListParagraph"/>
        <w:numPr>
          <w:ilvl w:val="1"/>
          <w:numId w:val="26"/>
        </w:numPr>
        <w:contextualSpacing w:val="0"/>
        <w:rPr>
          <w:rFonts w:cs="Times New Roman"/>
          <w:i/>
          <w:vanish/>
        </w:rPr>
      </w:pPr>
    </w:p>
    <w:p w14:paraId="7100FC11" w14:textId="77777777" w:rsidR="00B820BC" w:rsidRPr="00B820BC" w:rsidRDefault="00B820BC" w:rsidP="00B820BC">
      <w:pPr>
        <w:pStyle w:val="ListParagraph"/>
        <w:numPr>
          <w:ilvl w:val="1"/>
          <w:numId w:val="26"/>
        </w:numPr>
        <w:contextualSpacing w:val="0"/>
        <w:rPr>
          <w:rFonts w:cs="Times New Roman"/>
          <w:i/>
          <w:vanish/>
        </w:rPr>
      </w:pPr>
    </w:p>
    <w:p w14:paraId="4A715948" w14:textId="2BC64991" w:rsidR="00FA77EB" w:rsidRPr="009D0A8C" w:rsidRDefault="00FA77EB" w:rsidP="00B820BC">
      <w:pPr>
        <w:pStyle w:val="Kop3"/>
      </w:pPr>
      <w:r w:rsidRPr="009D0A8C">
        <w:t xml:space="preserve">Polymetallic nodule </w:t>
      </w:r>
      <w:r w:rsidRPr="006601C6">
        <w:t>coverage</w:t>
      </w:r>
    </w:p>
    <w:p w14:paraId="797AFCF7" w14:textId="45ED6ECC" w:rsidR="00FA77EB" w:rsidRPr="00F924C3" w:rsidRDefault="00FA77EB" w:rsidP="00FA77EB">
      <w:pPr>
        <w:spacing w:after="160"/>
        <w:rPr>
          <w:lang w:val="en-GB"/>
        </w:rPr>
      </w:pPr>
      <w:r w:rsidRPr="009D0A8C">
        <w:rPr>
          <w:lang w:val="en-GB"/>
        </w:rPr>
        <w:t xml:space="preserve">Differences in the polymetallic nodule coverage (%) </w:t>
      </w:r>
      <w:r w:rsidR="00D23192">
        <w:rPr>
          <w:lang w:val="en-GB"/>
        </w:rPr>
        <w:t>below 8m altitude</w:t>
      </w:r>
      <w:r w:rsidR="00D23192" w:rsidRPr="009D0A8C">
        <w:rPr>
          <w:lang w:val="en-GB"/>
        </w:rPr>
        <w:t xml:space="preserve"> </w:t>
      </w:r>
      <w:r w:rsidRPr="009D0A8C">
        <w:rPr>
          <w:lang w:val="en-GB"/>
        </w:rPr>
        <w:t xml:space="preserve">between sites were tested </w:t>
      </w:r>
      <w:r w:rsidRPr="00C500E1">
        <w:rPr>
          <w:lang w:val="en-GB"/>
        </w:rPr>
        <w:t>with a</w:t>
      </w:r>
      <w:r w:rsidR="00164FED" w:rsidRPr="00C500E1">
        <w:rPr>
          <w:lang w:val="en-GB"/>
        </w:rPr>
        <w:t xml:space="preserve"> non-parametric</w:t>
      </w:r>
      <w:r w:rsidRPr="00C500E1">
        <w:rPr>
          <w:lang w:val="en-GB"/>
        </w:rPr>
        <w:t xml:space="preserve"> </w:t>
      </w:r>
      <w:r w:rsidR="00164FED" w:rsidRPr="00C500E1">
        <w:rPr>
          <w:lang w:val="en-GB"/>
        </w:rPr>
        <w:t>two sample Wilcoxon test,</w:t>
      </w:r>
      <w:r w:rsidR="00164FED">
        <w:rPr>
          <w:lang w:val="en-GB"/>
        </w:rPr>
        <w:t xml:space="preserve"> because </w:t>
      </w:r>
      <w:r w:rsidR="00164FED">
        <w:t xml:space="preserve">the assumptions of normality </w:t>
      </w:r>
      <w:r w:rsidR="00164FED" w:rsidRPr="00FD3202">
        <w:rPr>
          <w:lang w:val="en-GB"/>
        </w:rPr>
        <w:t>(Shapiro-Wilk tests)</w:t>
      </w:r>
      <w:r w:rsidR="00164FED">
        <w:rPr>
          <w:lang w:val="en-GB"/>
        </w:rPr>
        <w:t xml:space="preserve"> </w:t>
      </w:r>
      <w:r w:rsidR="00164FED">
        <w:t xml:space="preserve">and </w:t>
      </w:r>
      <w:r w:rsidR="00164FED" w:rsidRPr="00E8480E">
        <w:rPr>
          <w:lang w:val="en-GB"/>
        </w:rPr>
        <w:t>homogeneity of variance</w:t>
      </w:r>
      <w:r w:rsidR="00164FED">
        <w:rPr>
          <w:lang w:val="en-GB"/>
        </w:rPr>
        <w:t xml:space="preserve"> were not fulfilled. </w:t>
      </w:r>
      <w:r w:rsidR="00C31E4B">
        <w:rPr>
          <w:lang w:val="en-GB"/>
        </w:rPr>
        <w:t xml:space="preserve"> </w:t>
      </w:r>
      <w:r w:rsidR="00AA2474">
        <w:rPr>
          <w:lang w:val="en-GB"/>
        </w:rPr>
        <w:t xml:space="preserve">Prior to the analysis, the zero nodule coverage </w:t>
      </w:r>
      <w:r w:rsidR="00AA2474" w:rsidRPr="005B3D6A">
        <w:t xml:space="preserve">images were removed </w:t>
      </w:r>
      <w:r w:rsidR="00AA2474">
        <w:t>from the dataset</w:t>
      </w:r>
      <w:r w:rsidR="00164FED">
        <w:t>.</w:t>
      </w:r>
    </w:p>
    <w:p w14:paraId="08B54000" w14:textId="12EEB749" w:rsidR="005902A6" w:rsidRPr="00FD3202" w:rsidRDefault="005902A6" w:rsidP="006601C6">
      <w:pPr>
        <w:pStyle w:val="Kop3"/>
      </w:pPr>
      <w:r w:rsidRPr="00FD3202">
        <w:t>Megaf</w:t>
      </w:r>
      <w:r w:rsidR="007A79CF" w:rsidRPr="00FD3202">
        <w:t xml:space="preserve">auna </w:t>
      </w:r>
      <w:r w:rsidR="006F27F1">
        <w:t>density</w:t>
      </w:r>
      <w:r w:rsidRPr="00FD3202">
        <w:t xml:space="preserve"> and community composition</w:t>
      </w:r>
    </w:p>
    <w:p w14:paraId="5C910762" w14:textId="66B6B1DB" w:rsidR="002F75C5" w:rsidRPr="009D666F" w:rsidRDefault="005676DF" w:rsidP="00E229C0">
      <w:pPr>
        <w:rPr>
          <w:lang w:val="en-GB"/>
        </w:rPr>
      </w:pPr>
      <w:r>
        <w:t xml:space="preserve">Only the annotations from Obs 1 were used for further ecological analysis as these covered the full dataset, whereas Obs 2 annotations encompassed only a 20% of the images already annotated by Obs1. </w:t>
      </w:r>
      <w:r w:rsidR="00E16EAD" w:rsidRPr="00FD3202">
        <w:rPr>
          <w:lang w:val="en-GB"/>
        </w:rPr>
        <w:t xml:space="preserve">The megafauna community was investigated both at higher taxon </w:t>
      </w:r>
      <w:r w:rsidR="00642707" w:rsidRPr="00FD3202">
        <w:rPr>
          <w:lang w:val="en-GB"/>
        </w:rPr>
        <w:t xml:space="preserve">level </w:t>
      </w:r>
      <w:r w:rsidR="00A51D1B" w:rsidRPr="00FD3202">
        <w:rPr>
          <w:lang w:val="en-GB"/>
        </w:rPr>
        <w:t>(</w:t>
      </w:r>
      <w:r w:rsidR="00A51D1B" w:rsidRPr="000D57CD">
        <w:rPr>
          <w:lang w:val="en-GB"/>
        </w:rPr>
        <w:t>i.e.</w:t>
      </w:r>
      <w:r w:rsidR="00A51D1B" w:rsidRPr="00FD3202">
        <w:rPr>
          <w:lang w:val="en-GB"/>
        </w:rPr>
        <w:t xml:space="preserve"> </w:t>
      </w:r>
      <w:r w:rsidR="002E48D5" w:rsidRPr="00FD3202">
        <w:rPr>
          <w:lang w:val="en-GB"/>
        </w:rPr>
        <w:t>p</w:t>
      </w:r>
      <w:r w:rsidR="00164AB1">
        <w:rPr>
          <w:lang w:val="en-GB"/>
        </w:rPr>
        <w:t xml:space="preserve">hylum, </w:t>
      </w:r>
      <w:r w:rsidR="002E48D5" w:rsidRPr="00FD3202">
        <w:rPr>
          <w:lang w:val="en-GB"/>
        </w:rPr>
        <w:t>class</w:t>
      </w:r>
      <w:r w:rsidR="00164AB1">
        <w:rPr>
          <w:lang w:val="en-GB"/>
        </w:rPr>
        <w:t xml:space="preserve"> or </w:t>
      </w:r>
      <w:r w:rsidR="002E48D5" w:rsidRPr="00FD3202">
        <w:rPr>
          <w:lang w:val="en-GB"/>
        </w:rPr>
        <w:t>order</w:t>
      </w:r>
      <w:r w:rsidR="00A51D1B" w:rsidRPr="00FD3202">
        <w:rPr>
          <w:lang w:val="en-GB"/>
        </w:rPr>
        <w:t xml:space="preserve"> level) </w:t>
      </w:r>
      <w:r w:rsidR="00E16EAD" w:rsidRPr="00FD3202">
        <w:rPr>
          <w:lang w:val="en-GB"/>
        </w:rPr>
        <w:t xml:space="preserve">and </w:t>
      </w:r>
      <w:r w:rsidR="00642707" w:rsidRPr="00FD3202">
        <w:rPr>
          <w:lang w:val="en-GB"/>
        </w:rPr>
        <w:t xml:space="preserve">at </w:t>
      </w:r>
      <w:r w:rsidR="00A51D1B" w:rsidRPr="00FD3202">
        <w:rPr>
          <w:lang w:val="en-GB"/>
        </w:rPr>
        <w:t>the lowest</w:t>
      </w:r>
      <w:r w:rsidR="00642707" w:rsidRPr="00FD3202">
        <w:rPr>
          <w:lang w:val="en-GB"/>
        </w:rPr>
        <w:t xml:space="preserve"> identifiable</w:t>
      </w:r>
      <w:r w:rsidR="00E16EAD" w:rsidRPr="00FD3202">
        <w:rPr>
          <w:lang w:val="en-GB"/>
        </w:rPr>
        <w:t xml:space="preserve"> taxon level</w:t>
      </w:r>
      <w:r w:rsidR="00DC33B5">
        <w:rPr>
          <w:lang w:val="en-GB"/>
        </w:rPr>
        <w:t xml:space="preserve"> </w:t>
      </w:r>
      <w:r w:rsidR="00DC33B5" w:rsidRPr="00DC33B5">
        <w:rPr>
          <w:lang w:val="en-GB"/>
        </w:rPr>
        <w:t>(morpho</w:t>
      </w:r>
      <w:r w:rsidR="00DC33B5">
        <w:rPr>
          <w:lang w:val="en-GB"/>
        </w:rPr>
        <w:t>types</w:t>
      </w:r>
      <w:r w:rsidR="00DC33B5" w:rsidRPr="00DC33B5">
        <w:rPr>
          <w:lang w:val="en-GB"/>
        </w:rPr>
        <w:t>: m</w:t>
      </w:r>
      <w:r w:rsidR="00DC33B5">
        <w:rPr>
          <w:lang w:val="en-GB"/>
        </w:rPr>
        <w:t>t</w:t>
      </w:r>
      <w:r w:rsidR="00DC33B5" w:rsidRPr="00DC33B5">
        <w:rPr>
          <w:lang w:val="en-GB"/>
        </w:rPr>
        <w:t>p)</w:t>
      </w:r>
      <w:r w:rsidR="00E94D86">
        <w:rPr>
          <w:lang w:val="en-GB"/>
        </w:rPr>
        <w:t>,</w:t>
      </w:r>
      <w:r w:rsidR="00A51D1B" w:rsidRPr="00FD3202">
        <w:rPr>
          <w:lang w:val="en-GB"/>
        </w:rPr>
        <w:t xml:space="preserve"> </w:t>
      </w:r>
      <w:r w:rsidR="0055592B" w:rsidRPr="00FD3202">
        <w:rPr>
          <w:lang w:val="en-GB"/>
        </w:rPr>
        <w:t>excluding</w:t>
      </w:r>
      <w:r w:rsidR="00F94D58">
        <w:rPr>
          <w:lang w:val="en-GB"/>
        </w:rPr>
        <w:t xml:space="preserve"> unknown annotations and</w:t>
      </w:r>
      <w:r w:rsidR="00A51D1B" w:rsidRPr="00FD3202">
        <w:rPr>
          <w:lang w:val="en-GB"/>
        </w:rPr>
        <w:t xml:space="preserve"> Xenophyophora (megafauna-sized unicellular eukaryotes</w:t>
      </w:r>
      <w:r w:rsidR="000B1104">
        <w:rPr>
          <w:lang w:val="en-GB"/>
        </w:rPr>
        <w:t>,</w:t>
      </w:r>
      <w:r w:rsidR="00A51D1B" w:rsidRPr="00FD3202">
        <w:rPr>
          <w:lang w:val="en-GB"/>
        </w:rPr>
        <w:t xml:space="preserve"> which are generally not taken into account in deep-sea megafauna community studies</w:t>
      </w:r>
      <w:r w:rsidR="000D57CD">
        <w:rPr>
          <w:lang w:val="en-GB"/>
        </w:rPr>
        <w:t xml:space="preserve"> because </w:t>
      </w:r>
      <w:r w:rsidR="000D57CD" w:rsidRPr="000D57CD">
        <w:rPr>
          <w:lang w:val="en-GB"/>
        </w:rPr>
        <w:t>it is not possible</w:t>
      </w:r>
      <w:r w:rsidR="000D57CD">
        <w:rPr>
          <w:lang w:val="en-GB"/>
        </w:rPr>
        <w:t xml:space="preserve"> </w:t>
      </w:r>
      <w:r w:rsidR="000D57CD" w:rsidRPr="000D57CD">
        <w:rPr>
          <w:lang w:val="en-GB"/>
        </w:rPr>
        <w:t xml:space="preserve">to determine whether </w:t>
      </w:r>
      <w:r w:rsidR="000D57CD">
        <w:rPr>
          <w:lang w:val="en-GB"/>
        </w:rPr>
        <w:t>they</w:t>
      </w:r>
      <w:r w:rsidR="000D57CD" w:rsidRPr="000D57CD">
        <w:rPr>
          <w:lang w:val="en-GB"/>
        </w:rPr>
        <w:t xml:space="preserve"> are alive in images</w:t>
      </w:r>
      <w:r w:rsidR="00937C3B">
        <w:rPr>
          <w:lang w:val="en-GB"/>
        </w:rPr>
        <w:t>;</w:t>
      </w:r>
      <w:r w:rsidR="000D57CD">
        <w:rPr>
          <w:lang w:val="en-GB"/>
        </w:rPr>
        <w:t xml:space="preserve"> </w:t>
      </w:r>
      <w:r w:rsidR="000D57CD">
        <w:rPr>
          <w:lang w:val="en-GB"/>
        </w:rPr>
        <w:fldChar w:fldCharType="begin"/>
      </w:r>
      <w:r w:rsidR="00937C3B">
        <w:rPr>
          <w:lang w:val="en-GB"/>
        </w:rPr>
        <w:instrText xml:space="preserve"> ADDIN ZOTERO_ITEM CSL_CITATION {"citationID":"QjFaiPV0","properties":{"custom":"Hughes and Gooday, 2004","formattedCitation":"Hughes and Gooday, 2004","plainCitation":"Hughes and Gooday, 2004","noteIndex":0},"citationItems":[{"id":1783,"uris":["http://zotero.org/groups/512020/items/LHQ3DEPX"],"uri":["http://zotero.org/groups/512020/items/LHQ3DEPX"],"itemData":{"id":1783,"type":"article-journal","container-title":"Deep-Sea Research I","page":"1741–1758","source":"Google Scholar","title":"The influence of dead Syringammina fragilissima (Xenophyophorea) tests on the distribution of benthic foraminifera in the Darwin Mounds region (NE Atlantic)","volume":"51","author":[{"family":"Hughes","given":"J. A."},{"family":"Gooday","given":"A. J."}],"issued":{"date-parts":[["2004"]]}}}],"schema":"https://github.com/citation-style-language/schema/raw/master/csl-citation.json"} </w:instrText>
      </w:r>
      <w:r w:rsidR="000D57CD">
        <w:rPr>
          <w:lang w:val="en-GB"/>
        </w:rPr>
        <w:fldChar w:fldCharType="separate"/>
      </w:r>
      <w:r w:rsidR="00937C3B" w:rsidRPr="00937C3B">
        <w:rPr>
          <w:rFonts w:cs="Times New Roman"/>
        </w:rPr>
        <w:t>Hughes and Gooday, 2004</w:t>
      </w:r>
      <w:r w:rsidR="000D57CD">
        <w:rPr>
          <w:lang w:val="en-GB"/>
        </w:rPr>
        <w:fldChar w:fldCharType="end"/>
      </w:r>
      <w:r w:rsidR="000D57CD">
        <w:rPr>
          <w:lang w:val="en-GB"/>
        </w:rPr>
        <w:t>)</w:t>
      </w:r>
      <w:r w:rsidR="00A51D1B" w:rsidRPr="00FD3202">
        <w:rPr>
          <w:lang w:val="en-GB"/>
        </w:rPr>
        <w:t xml:space="preserve">. </w:t>
      </w:r>
      <w:r w:rsidR="000E3008" w:rsidRPr="00FD3202">
        <w:rPr>
          <w:lang w:val="en-GB"/>
        </w:rPr>
        <w:t>M</w:t>
      </w:r>
      <w:r w:rsidR="00A51D1B" w:rsidRPr="00FD3202">
        <w:rPr>
          <w:lang w:val="en-GB"/>
        </w:rPr>
        <w:t>egafaunal abundances were standardized to number of individuals per hectare (ha).</w:t>
      </w:r>
      <w:r w:rsidR="00642707" w:rsidRPr="00FD3202">
        <w:rPr>
          <w:lang w:val="en-GB"/>
        </w:rPr>
        <w:t xml:space="preserve"> Differences in megafaunal </w:t>
      </w:r>
      <w:r w:rsidR="00164AB1">
        <w:rPr>
          <w:lang w:val="en-GB"/>
        </w:rPr>
        <w:t>density (ind. ha</w:t>
      </w:r>
      <w:r w:rsidR="00164AB1" w:rsidRPr="00164AB1">
        <w:rPr>
          <w:vertAlign w:val="superscript"/>
          <w:lang w:val="en-GB"/>
        </w:rPr>
        <w:t>-1</w:t>
      </w:r>
      <w:r w:rsidR="00164AB1">
        <w:rPr>
          <w:lang w:val="en-GB"/>
        </w:rPr>
        <w:t>)</w:t>
      </w:r>
      <w:r w:rsidR="00642707" w:rsidRPr="00FD3202">
        <w:rPr>
          <w:lang w:val="en-GB"/>
        </w:rPr>
        <w:t xml:space="preserve"> were test</w:t>
      </w:r>
      <w:r w:rsidR="004E14F0" w:rsidRPr="00FD3202">
        <w:rPr>
          <w:lang w:val="en-GB"/>
        </w:rPr>
        <w:t>ed</w:t>
      </w:r>
      <w:r w:rsidR="00642707" w:rsidRPr="00FD3202">
        <w:rPr>
          <w:lang w:val="en-GB"/>
        </w:rPr>
        <w:t xml:space="preserve"> with a two-way Analysis of Variance (ANOVA)</w:t>
      </w:r>
      <w:r w:rsidR="00C10294" w:rsidRPr="00FD3202">
        <w:rPr>
          <w:lang w:val="en-GB"/>
        </w:rPr>
        <w:t>, with Site and Altitude as two fixed factors</w:t>
      </w:r>
      <w:r w:rsidR="00642707" w:rsidRPr="00FD3202">
        <w:rPr>
          <w:lang w:val="en-GB"/>
        </w:rPr>
        <w:t>.</w:t>
      </w:r>
      <w:r w:rsidR="009D666F">
        <w:rPr>
          <w:lang w:val="en-GB"/>
        </w:rPr>
        <w:t xml:space="preserve"> </w:t>
      </w:r>
      <w:r w:rsidR="009D666F" w:rsidRPr="00FD3202">
        <w:rPr>
          <w:lang w:val="en-GB"/>
        </w:rPr>
        <w:t>Prior to ANOVA, the assumptions of normality (Shapiro-Wilk tests), homogeneity of variances (Levene tests), and the independence of the residuals were tested on untransformed data.</w:t>
      </w:r>
      <w:r w:rsidR="009D666F">
        <w:rPr>
          <w:lang w:val="en-GB"/>
        </w:rPr>
        <w:t xml:space="preserve"> Besides, to put focus </w:t>
      </w:r>
      <w:r w:rsidR="002F75C5" w:rsidRPr="00FD3202">
        <w:rPr>
          <w:lang w:val="en-GB"/>
        </w:rPr>
        <w:t xml:space="preserve">on the data </w:t>
      </w:r>
      <w:r w:rsidR="009D666F">
        <w:rPr>
          <w:lang w:val="en-GB"/>
        </w:rPr>
        <w:t>retrieved below 8m altitude, d</w:t>
      </w:r>
      <w:r w:rsidR="009D666F" w:rsidRPr="00FD3202">
        <w:rPr>
          <w:lang w:val="en-GB"/>
        </w:rPr>
        <w:t xml:space="preserve">ifferences in megafaunal </w:t>
      </w:r>
      <w:r w:rsidR="009D666F">
        <w:rPr>
          <w:lang w:val="en-GB"/>
        </w:rPr>
        <w:t>density (ind. ha</w:t>
      </w:r>
      <w:r w:rsidR="009D666F" w:rsidRPr="00164AB1">
        <w:rPr>
          <w:vertAlign w:val="superscript"/>
          <w:lang w:val="en-GB"/>
        </w:rPr>
        <w:t>-1</w:t>
      </w:r>
      <w:r w:rsidR="009D666F">
        <w:rPr>
          <w:lang w:val="en-GB"/>
        </w:rPr>
        <w:t>)</w:t>
      </w:r>
      <w:r w:rsidR="009D666F" w:rsidRPr="00FD3202">
        <w:rPr>
          <w:lang w:val="en-GB"/>
        </w:rPr>
        <w:t xml:space="preserve"> were tested with a </w:t>
      </w:r>
      <w:r w:rsidR="009D666F">
        <w:rPr>
          <w:lang w:val="en-GB"/>
        </w:rPr>
        <w:t>t-test.</w:t>
      </w:r>
      <w:r w:rsidR="00D23192">
        <w:rPr>
          <w:lang w:val="en-GB"/>
        </w:rPr>
        <w:t xml:space="preserve"> The correlation between total megafauna densities below 8m altitude and nodule coverage was evaluated using a Spe</w:t>
      </w:r>
      <w:r w:rsidR="00D61C41">
        <w:rPr>
          <w:lang w:val="en-GB"/>
        </w:rPr>
        <w:t>arman Rank correlation test</w:t>
      </w:r>
      <w:r w:rsidR="00D23192">
        <w:rPr>
          <w:lang w:val="en-GB"/>
        </w:rPr>
        <w:t>.</w:t>
      </w:r>
    </w:p>
    <w:p w14:paraId="37C38228" w14:textId="17F8D19A" w:rsidR="000E3008" w:rsidRDefault="004305F3" w:rsidP="00A51D1B">
      <w:pPr>
        <w:spacing w:after="160"/>
        <w:rPr>
          <w:lang w:val="en-GB"/>
        </w:rPr>
      </w:pPr>
      <w:r w:rsidRPr="00FD3202">
        <w:rPr>
          <w:lang w:val="en-GB"/>
        </w:rPr>
        <w:t xml:space="preserve">Differences in megafaunal community composition between sites and altitudes were tested with a multivariate 2-factor permutational ANOVA (PERMANOVA), based on Bray-Curtis resemblance </w:t>
      </w:r>
      <w:r w:rsidRPr="00FD3202">
        <w:rPr>
          <w:lang w:val="en-GB"/>
        </w:rPr>
        <w:lastRenderedPageBreak/>
        <w:t xml:space="preserve">matrices of </w:t>
      </w:r>
      <w:r w:rsidR="002F75C5">
        <w:rPr>
          <w:lang w:val="en-GB"/>
        </w:rPr>
        <w:t>un</w:t>
      </w:r>
      <w:r w:rsidRPr="00FD3202">
        <w:rPr>
          <w:lang w:val="en-GB"/>
        </w:rPr>
        <w:t xml:space="preserve">transformed </w:t>
      </w:r>
      <w:r w:rsidR="006F27F1">
        <w:rPr>
          <w:lang w:val="en-GB"/>
        </w:rPr>
        <w:t>density</w:t>
      </w:r>
      <w:r w:rsidRPr="00FD3202">
        <w:rPr>
          <w:lang w:val="en-GB"/>
        </w:rPr>
        <w:t xml:space="preserve"> data</w:t>
      </w:r>
      <w:r w:rsidR="00204877" w:rsidRPr="00FD3202">
        <w:rPr>
          <w:lang w:val="en-GB"/>
        </w:rPr>
        <w:t xml:space="preserve"> (</w:t>
      </w:r>
      <w:r w:rsidR="00F94D58">
        <w:rPr>
          <w:lang w:val="en-GB"/>
        </w:rPr>
        <w:t>lowest available</w:t>
      </w:r>
      <w:r w:rsidR="00204877" w:rsidRPr="00FD3202">
        <w:rPr>
          <w:lang w:val="en-GB"/>
        </w:rPr>
        <w:t xml:space="preserve"> taxon level)</w:t>
      </w:r>
      <w:r w:rsidRPr="00FD3202">
        <w:rPr>
          <w:lang w:val="en-GB"/>
        </w:rPr>
        <w:t xml:space="preserve">. </w:t>
      </w:r>
      <w:r w:rsidR="00F6172F" w:rsidRPr="00FD3202">
        <w:rPr>
          <w:lang w:val="en-GB"/>
        </w:rPr>
        <w:t>If</w:t>
      </w:r>
      <w:r w:rsidR="00204877" w:rsidRPr="00FD3202">
        <w:rPr>
          <w:lang w:val="en-GB"/>
        </w:rPr>
        <w:t xml:space="preserve"> a significant</w:t>
      </w:r>
      <w:r w:rsidR="00BE7689" w:rsidRPr="00FD3202">
        <w:rPr>
          <w:lang w:val="en-GB"/>
        </w:rPr>
        <w:t xml:space="preserve"> interaction</w:t>
      </w:r>
      <w:r w:rsidR="00204877" w:rsidRPr="00FD3202">
        <w:rPr>
          <w:lang w:val="en-GB"/>
        </w:rPr>
        <w:t xml:space="preserve"> effect was found, pair-wise tests </w:t>
      </w:r>
      <w:r w:rsidR="00BE7689" w:rsidRPr="00FD3202">
        <w:rPr>
          <w:lang w:val="en-GB"/>
        </w:rPr>
        <w:t xml:space="preserve">for </w:t>
      </w:r>
      <w:r w:rsidR="00204877" w:rsidRPr="00FD3202">
        <w:rPr>
          <w:lang w:val="en-GB"/>
        </w:rPr>
        <w:t xml:space="preserve">Site </w:t>
      </w:r>
      <w:r w:rsidR="00204877" w:rsidRPr="00FD3202">
        <w:rPr>
          <w:rFonts w:cs="Times New Roman"/>
          <w:lang w:val="en-GB"/>
        </w:rPr>
        <w:t>×</w:t>
      </w:r>
      <w:r w:rsidR="00204877" w:rsidRPr="00FD3202">
        <w:rPr>
          <w:lang w:val="en-GB"/>
        </w:rPr>
        <w:t xml:space="preserve"> Altitude were carried out. </w:t>
      </w:r>
      <w:r w:rsidR="00CC707E" w:rsidRPr="00CC707E">
        <w:rPr>
          <w:rStyle w:val="linkify"/>
        </w:rPr>
        <w:t>A SIMPER analysis (</w:t>
      </w:r>
      <w:r w:rsidR="00CC707E" w:rsidRPr="00CC707E">
        <w:rPr>
          <w:lang w:val="en-GB"/>
        </w:rPr>
        <w:t>Bray-Curtis resemblance, untransformed density data)</w:t>
      </w:r>
      <w:r w:rsidR="00CC707E" w:rsidRPr="00CC707E">
        <w:rPr>
          <w:rStyle w:val="linkify"/>
        </w:rPr>
        <w:t xml:space="preserve"> was conducted to calculate the contribution of each taxon (%) to the </w:t>
      </w:r>
      <w:r w:rsidR="00CC707E">
        <w:rPr>
          <w:lang w:val="en-GB"/>
        </w:rPr>
        <w:t>dissimilarity</w:t>
      </w:r>
      <w:r w:rsidR="00CC707E" w:rsidRPr="00CC707E">
        <w:rPr>
          <w:lang w:val="en-GB"/>
        </w:rPr>
        <w:t xml:space="preserve"> in the mega</w:t>
      </w:r>
      <w:r w:rsidR="00CC707E" w:rsidRPr="002D0B55">
        <w:rPr>
          <w:lang w:val="en-GB"/>
        </w:rPr>
        <w:t>fauna community between altitudes</w:t>
      </w:r>
      <w:r w:rsidR="0057655B">
        <w:rPr>
          <w:lang w:val="en-GB"/>
        </w:rPr>
        <w:t xml:space="preserve"> and sites</w:t>
      </w:r>
      <w:r w:rsidR="00CC707E">
        <w:rPr>
          <w:lang w:val="en-GB"/>
        </w:rPr>
        <w:t>.</w:t>
      </w:r>
      <w:r w:rsidR="00CC707E" w:rsidRPr="00FD3202">
        <w:rPr>
          <w:lang w:val="en-GB"/>
        </w:rPr>
        <w:t xml:space="preserve"> </w:t>
      </w:r>
      <w:r w:rsidR="009D666F" w:rsidRPr="00FD3202">
        <w:rPr>
          <w:lang w:val="en-GB"/>
        </w:rPr>
        <w:t>Differences in megafaunal community composition between sites</w:t>
      </w:r>
      <w:r w:rsidR="000B1104">
        <w:rPr>
          <w:lang w:val="en-GB"/>
        </w:rPr>
        <w:t xml:space="preserve"> at an altitude &lt; 8m</w:t>
      </w:r>
      <w:r w:rsidR="009D666F" w:rsidRPr="00FD3202">
        <w:rPr>
          <w:lang w:val="en-GB"/>
        </w:rPr>
        <w:t xml:space="preserve"> </w:t>
      </w:r>
      <w:r w:rsidR="009D666F">
        <w:rPr>
          <w:lang w:val="en-GB"/>
        </w:rPr>
        <w:t>only</w:t>
      </w:r>
      <w:r w:rsidR="009D666F" w:rsidRPr="00FD3202">
        <w:rPr>
          <w:lang w:val="en-GB"/>
        </w:rPr>
        <w:t xml:space="preserve"> were tested with a multivariate </w:t>
      </w:r>
      <w:r w:rsidR="009D666F">
        <w:rPr>
          <w:lang w:val="en-GB"/>
        </w:rPr>
        <w:t>1</w:t>
      </w:r>
      <w:r w:rsidR="009D666F" w:rsidRPr="00FD3202">
        <w:rPr>
          <w:lang w:val="en-GB"/>
        </w:rPr>
        <w:t xml:space="preserve">-factor </w:t>
      </w:r>
      <w:r w:rsidR="009D666F">
        <w:rPr>
          <w:lang w:val="en-GB"/>
        </w:rPr>
        <w:t>PERMANOVA</w:t>
      </w:r>
      <w:r w:rsidR="009D666F" w:rsidRPr="00FD3202">
        <w:rPr>
          <w:lang w:val="en-GB"/>
        </w:rPr>
        <w:t xml:space="preserve">, based on Bray-Curtis resemblance matrices of </w:t>
      </w:r>
      <w:r w:rsidR="009D666F">
        <w:rPr>
          <w:lang w:val="en-GB"/>
        </w:rPr>
        <w:t>un</w:t>
      </w:r>
      <w:r w:rsidR="009D666F" w:rsidRPr="00FD3202">
        <w:rPr>
          <w:lang w:val="en-GB"/>
        </w:rPr>
        <w:t xml:space="preserve">transformed </w:t>
      </w:r>
      <w:r w:rsidR="009D666F">
        <w:rPr>
          <w:lang w:val="en-GB"/>
        </w:rPr>
        <w:t>density</w:t>
      </w:r>
      <w:r w:rsidR="009D666F" w:rsidRPr="00FD3202">
        <w:rPr>
          <w:lang w:val="en-GB"/>
        </w:rPr>
        <w:t xml:space="preserve"> data (</w:t>
      </w:r>
      <w:r w:rsidR="009D666F">
        <w:rPr>
          <w:lang w:val="en-GB"/>
        </w:rPr>
        <w:t>lowest available</w:t>
      </w:r>
      <w:r w:rsidR="009D666F" w:rsidRPr="00FD3202">
        <w:rPr>
          <w:lang w:val="en-GB"/>
        </w:rPr>
        <w:t xml:space="preserve"> taxon level).</w:t>
      </w:r>
      <w:r w:rsidR="009D666F">
        <w:rPr>
          <w:lang w:val="en-GB"/>
        </w:rPr>
        <w:t xml:space="preserve"> </w:t>
      </w:r>
      <w:r w:rsidR="00204877" w:rsidRPr="00FD3202">
        <w:rPr>
          <w:lang w:val="en-GB"/>
        </w:rPr>
        <w:t xml:space="preserve">Although PERMANOVA makes no explicit assumptions regarding the distribution of the data, a test for the homogeneity of multivariate dispersions was </w:t>
      </w:r>
      <w:r w:rsidR="000B1104">
        <w:rPr>
          <w:lang w:val="en-GB"/>
        </w:rPr>
        <w:t>done</w:t>
      </w:r>
      <w:r w:rsidR="00204877" w:rsidRPr="00FD3202">
        <w:rPr>
          <w:lang w:val="en-GB"/>
        </w:rPr>
        <w:t xml:space="preserve">, using the PERMDISP routine. </w:t>
      </w:r>
      <w:r w:rsidRPr="009D666F">
        <w:rPr>
          <w:lang w:val="en-GB"/>
        </w:rPr>
        <w:t xml:space="preserve">In addition, data was visualized by a Principal Coordinates Analysis </w:t>
      </w:r>
      <w:r w:rsidRPr="009D666F">
        <w:rPr>
          <w:lang w:val="en-GB"/>
        </w:rPr>
        <w:fldChar w:fldCharType="begin"/>
      </w:r>
      <w:r w:rsidR="00312465">
        <w:rPr>
          <w:lang w:val="en-GB"/>
        </w:rPr>
        <w:instrText xml:space="preserve"> ADDIN ZOTERO_ITEM CSL_CITATION {"citationID":"69Euelrr","properties":{"formattedCitation":"(PCO; Anderson et al., 2008)","plainCitation":"(PCO; Anderson et al., 2008)","noteIndex":0},"citationItems":[{"id":606,"uris":["http://zotero.org/groups/512020/items/ATA55IRJ"],"uri":["http://zotero.org/groups/512020/items/ATA55IRJ"],"itemData":{"id":606,"type":"book","call-number":"EP-A16","event-place":"Plymouth","publisher":"Primer-E Ltd","publisher-place":"Plymouth","title":"PERMANOVA+ for PRIMER: guide for software and statistical methods","URL":"file:///D:/Elpape/My Documents/Ellen.Data/PDF/permanova+_for_primer_2008-3210213892/permanova+_for_primer_2008.pdf","author":[{"family":"Anderson","given":"M.J."},{"family":"Gorley","given":"R.N."},{"family":"Clarke","given":"K. R."}],"issued":{"date-parts":[["2008"]]}},"prefix":"PCO; "}],"schema":"https://github.com/citation-style-language/schema/raw/master/csl-citation.json"} </w:instrText>
      </w:r>
      <w:r w:rsidRPr="009D666F">
        <w:rPr>
          <w:lang w:val="en-GB"/>
        </w:rPr>
        <w:fldChar w:fldCharType="separate"/>
      </w:r>
      <w:r w:rsidRPr="009D666F">
        <w:rPr>
          <w:rFonts w:cs="Times New Roman"/>
          <w:lang w:val="en-GB"/>
        </w:rPr>
        <w:t>(PCO; Anderson et al., 2008)</w:t>
      </w:r>
      <w:r w:rsidRPr="009D666F">
        <w:rPr>
          <w:lang w:val="en-GB"/>
        </w:rPr>
        <w:fldChar w:fldCharType="end"/>
      </w:r>
      <w:r w:rsidRPr="009D666F">
        <w:rPr>
          <w:lang w:val="en-GB"/>
        </w:rPr>
        <w:t>.</w:t>
      </w:r>
    </w:p>
    <w:p w14:paraId="626510A5" w14:textId="4832B104" w:rsidR="00DF0931" w:rsidRPr="00FD3202" w:rsidRDefault="000E3008" w:rsidP="004305F3">
      <w:pPr>
        <w:spacing w:after="160"/>
        <w:rPr>
          <w:lang w:val="en-GB"/>
        </w:rPr>
      </w:pPr>
      <w:r w:rsidRPr="00FD3202">
        <w:rPr>
          <w:lang w:val="en-GB"/>
        </w:rPr>
        <w:t xml:space="preserve">A significance level of </w:t>
      </w:r>
      <w:r w:rsidR="004F1AAB">
        <w:rPr>
          <w:rFonts w:cs="Times New Roman"/>
          <w:i/>
          <w:lang w:val="en-GB"/>
        </w:rPr>
        <w:t>α</w:t>
      </w:r>
      <w:r w:rsidR="004F1AAB">
        <w:rPr>
          <w:i/>
          <w:lang w:val="en-GB"/>
        </w:rPr>
        <w:t xml:space="preserve"> </w:t>
      </w:r>
      <w:r w:rsidR="004F1AAB" w:rsidRPr="004F1AAB">
        <w:rPr>
          <w:lang w:val="en-GB"/>
        </w:rPr>
        <w:t>=</w:t>
      </w:r>
      <w:r w:rsidRPr="00FD3202">
        <w:rPr>
          <w:lang w:val="en-GB"/>
        </w:rPr>
        <w:t xml:space="preserve"> 0.05 was used in all tests. All statistical analys</w:t>
      </w:r>
      <w:r w:rsidR="00BE7689" w:rsidRPr="00FD3202">
        <w:rPr>
          <w:lang w:val="en-GB"/>
        </w:rPr>
        <w:t>e</w:t>
      </w:r>
      <w:r w:rsidRPr="00FD3202">
        <w:rPr>
          <w:lang w:val="en-GB"/>
        </w:rPr>
        <w:t xml:space="preserve">s were conducted in the open source software R </w:t>
      </w:r>
      <w:r w:rsidR="002550BF" w:rsidRPr="00FD3202">
        <w:rPr>
          <w:lang w:val="en-GB"/>
        </w:rPr>
        <w:fldChar w:fldCharType="begin"/>
      </w:r>
      <w:r w:rsidR="00C27A92">
        <w:rPr>
          <w:lang w:val="en-GB"/>
        </w:rPr>
        <w:instrText xml:space="preserve"> ADDIN ZOTERO_ITEM CSL_CITATION {"citationID":"mGCblKZa","properties":{"formattedCitation":"(version 3.3.1; R Development Core Team, 2015)","plainCitation":"(version 3.3.1; R Development Core Team, 2015)","noteIndex":0},"citationItems":[{"id":582,"uris":["http://zotero.org/groups/512020/items/SJN4VIQ7"],"uri":["http://zotero.org/groups/512020/items/SJN4VIQ7"],"itemData":{"id":582,"type":"book","title":"R: A language and environment for statistical computing. R Foundation for Statistical Computing, Vienna, Austria. URL http://www.R-project.org/.","author":[{"family":"R Development Core Team","given":""}],"issued":{"date-parts":[["2015"]]}},"prefix":"version 3.3.1; "}],"schema":"https://github.com/citation-style-language/schema/raw/master/csl-citation.json"} </w:instrText>
      </w:r>
      <w:r w:rsidR="002550BF" w:rsidRPr="00FD3202">
        <w:rPr>
          <w:lang w:val="en-GB"/>
        </w:rPr>
        <w:fldChar w:fldCharType="separate"/>
      </w:r>
      <w:r w:rsidR="00C27A92" w:rsidRPr="00C27A92">
        <w:rPr>
          <w:rFonts w:cs="Times New Roman"/>
        </w:rPr>
        <w:t>(version 3.3.1; R Development Core Team, 2015)</w:t>
      </w:r>
      <w:r w:rsidR="002550BF" w:rsidRPr="00FD3202">
        <w:rPr>
          <w:lang w:val="en-GB"/>
        </w:rPr>
        <w:fldChar w:fldCharType="end"/>
      </w:r>
      <w:r w:rsidR="002550BF" w:rsidRPr="00FD3202">
        <w:rPr>
          <w:lang w:val="en-GB"/>
        </w:rPr>
        <w:t xml:space="preserve"> </w:t>
      </w:r>
      <w:r w:rsidRPr="00FD3202">
        <w:rPr>
          <w:lang w:val="en-GB"/>
        </w:rPr>
        <w:t>and in PRIMER v6 with the PERMANOVA+ add-on software</w:t>
      </w:r>
      <w:r w:rsidR="002550BF" w:rsidRPr="00FD3202">
        <w:rPr>
          <w:lang w:val="en-GB"/>
        </w:rPr>
        <w:t xml:space="preserve"> </w:t>
      </w:r>
      <w:r w:rsidR="002550BF" w:rsidRPr="00FD3202">
        <w:rPr>
          <w:lang w:val="en-GB"/>
        </w:rPr>
        <w:fldChar w:fldCharType="begin"/>
      </w:r>
      <w:r w:rsidR="00312465">
        <w:rPr>
          <w:lang w:val="en-GB"/>
        </w:rPr>
        <w:instrText xml:space="preserve"> ADDIN ZOTERO_ITEM CSL_CITATION {"citationID":"a1ecrtpa3la","properties":{"formattedCitation":"(Clarke and Gorley, 2006; Anderson et al., 2008)","plainCitation":"(Clarke and Gorley, 2006; Anderson et al., 2008)","noteIndex":0},"citationItems":[{"id":606,"uris":["http://zotero.org/groups/512020/items/ATA55IRJ"],"uri":["http://zotero.org/groups/512020/items/ATA55IRJ"],"itemData":{"id":606,"type":"book","call-number":"EP-A16","event-place":"Plymouth","publisher":"Primer-E Ltd","publisher-place":"Plymouth","title":"PERMANOVA+ for PRIMER: guide for software and statistical methods","URL":"file:///D:/Elpape/My Documents/Ellen.Data/PDF/permanova+_for_primer_2008-3210213892/permanova+_for_primer_2008.pdf","author":[{"family":"Anderson","given":"M.J."},{"family":"Gorley","given":"R.N."},{"family":"Clarke","given":"K. R."}],"issued":{"date-parts":[["2008"]]}},"label":"page"},{"id":605,"uris":["http://zotero.org/groups/512020/items/6G7PGNZK"],"uri":["http://zotero.org/groups/512020/items/6G7PGNZK"],"itemData":{"id":605,"type":"book","call-number":"EP-C17","event-place":"Plymouth","publisher":"Primer-E Ltd","publisher-place":"Plymouth","title":"PRIMER v6: User Manual/tutorial","URL":"file:///D:/Elpape/My Documents/Ellen.Data/PDF/Primer_v6_manual_2-0211588865/Primer_v6_manual_2.pdf","author":[{"family":"Clarke","given":"KR"},{"family":"Gorley","given":"RN"}],"issued":{"date-parts":[["2006"]]}},"label":"page"}],"schema":"https://github.com/citation-style-language/schema/raw/master/csl-citation.json"} </w:instrText>
      </w:r>
      <w:r w:rsidR="002550BF" w:rsidRPr="00FD3202">
        <w:rPr>
          <w:lang w:val="en-GB"/>
        </w:rPr>
        <w:fldChar w:fldCharType="separate"/>
      </w:r>
      <w:r w:rsidR="00312465" w:rsidRPr="00312465">
        <w:rPr>
          <w:rFonts w:cs="Times New Roman"/>
        </w:rPr>
        <w:t>(Clarke and Gorley, 2006; Anderson et al., 2008)</w:t>
      </w:r>
      <w:r w:rsidR="002550BF" w:rsidRPr="00FD3202">
        <w:rPr>
          <w:lang w:val="en-GB"/>
        </w:rPr>
        <w:fldChar w:fldCharType="end"/>
      </w:r>
      <w:r w:rsidRPr="00FD3202">
        <w:rPr>
          <w:lang w:val="en-GB"/>
        </w:rPr>
        <w:t xml:space="preserve">. </w:t>
      </w:r>
    </w:p>
    <w:p w14:paraId="171CBFF9" w14:textId="19A1023C" w:rsidR="00EA51A9" w:rsidRDefault="00676A30" w:rsidP="006601C6">
      <w:pPr>
        <w:pStyle w:val="Kop1"/>
      </w:pPr>
      <w:r w:rsidRPr="00FD3202">
        <w:t>Results</w:t>
      </w:r>
    </w:p>
    <w:p w14:paraId="59E5106F" w14:textId="77777777" w:rsidR="006601C6" w:rsidRPr="006601C6" w:rsidRDefault="006601C6" w:rsidP="006601C6">
      <w:pPr>
        <w:pStyle w:val="ListParagraph"/>
        <w:numPr>
          <w:ilvl w:val="0"/>
          <w:numId w:val="25"/>
        </w:numPr>
        <w:rPr>
          <w:rFonts w:cs="Times New Roman"/>
          <w:vanish/>
          <w:lang w:val="en-GB"/>
        </w:rPr>
      </w:pPr>
    </w:p>
    <w:p w14:paraId="4B830D8C" w14:textId="7EA6A3C1" w:rsidR="00FA77EB" w:rsidRPr="009D0A8C" w:rsidRDefault="00FA77EB" w:rsidP="006601C6">
      <w:pPr>
        <w:pStyle w:val="Kop2"/>
      </w:pPr>
      <w:r w:rsidRPr="009D0A8C">
        <w:t>Polymetallic nodule coverage</w:t>
      </w:r>
    </w:p>
    <w:p w14:paraId="3BF65621" w14:textId="0EC2CBC5" w:rsidR="002E4372" w:rsidRPr="00FD3202" w:rsidRDefault="00FA77EB" w:rsidP="00CB6DEF">
      <w:pPr>
        <w:rPr>
          <w:lang w:val="en-GB"/>
        </w:rPr>
      </w:pPr>
      <w:r w:rsidRPr="00C500E1">
        <w:t>The polymetallic nodule coverage (</w:t>
      </w:r>
      <w:r w:rsidRPr="00C500E1">
        <w:rPr>
          <w:rFonts w:cs="Times New Roman"/>
        </w:rPr>
        <w:t>±</w:t>
      </w:r>
      <w:r w:rsidRPr="00C500E1">
        <w:t xml:space="preserve">SD) was significantly higher in site B4S03 (31.9 </w:t>
      </w:r>
      <w:r w:rsidRPr="00C500E1">
        <w:rPr>
          <w:rFonts w:cs="Times New Roman"/>
        </w:rPr>
        <w:t>± 5.4 %)</w:t>
      </w:r>
      <w:r w:rsidRPr="00C500E1">
        <w:t xml:space="preserve"> compared </w:t>
      </w:r>
      <w:r w:rsidRPr="00F12B37">
        <w:t xml:space="preserve">to site B6S02 (29.6 </w:t>
      </w:r>
      <w:r w:rsidRPr="00F12B37">
        <w:rPr>
          <w:rFonts w:cs="Times New Roman"/>
        </w:rPr>
        <w:t xml:space="preserve">± 2.3 %) </w:t>
      </w:r>
      <w:r w:rsidRPr="00F12B37">
        <w:rPr>
          <w:lang w:val="en-GB"/>
        </w:rPr>
        <w:t>(</w:t>
      </w:r>
      <w:r w:rsidR="00164FED">
        <w:rPr>
          <w:lang w:val="en-GB"/>
        </w:rPr>
        <w:t xml:space="preserve">Wilcoxon </w:t>
      </w:r>
      <w:r w:rsidRPr="00F12B37">
        <w:rPr>
          <w:lang w:val="en-GB"/>
        </w:rPr>
        <w:t xml:space="preserve">t-test: </w:t>
      </w:r>
      <w:r w:rsidRPr="00F12B37">
        <w:rPr>
          <w:i/>
          <w:lang w:val="en-GB"/>
        </w:rPr>
        <w:t>p</w:t>
      </w:r>
      <w:r w:rsidRPr="00F12B37">
        <w:rPr>
          <w:lang w:val="en-GB"/>
        </w:rPr>
        <w:t xml:space="preserve"> = 1.</w:t>
      </w:r>
      <w:r w:rsidR="00164FED">
        <w:rPr>
          <w:lang w:val="en-GB"/>
        </w:rPr>
        <w:t>1</w:t>
      </w:r>
      <w:r w:rsidRPr="00F12B37">
        <w:rPr>
          <w:lang w:val="en-GB"/>
        </w:rPr>
        <w:t xml:space="preserve">35 </w:t>
      </w:r>
      <w:r w:rsidRPr="00F12B37">
        <w:rPr>
          <w:rFonts w:cs="Times New Roman"/>
          <w:lang w:val="en-GB"/>
        </w:rPr>
        <w:t>×</w:t>
      </w:r>
      <w:r w:rsidRPr="00F12B37">
        <w:rPr>
          <w:lang w:val="en-GB"/>
        </w:rPr>
        <w:t xml:space="preserve"> 10</w:t>
      </w:r>
      <w:r w:rsidR="00164FED">
        <w:rPr>
          <w:vertAlign w:val="superscript"/>
          <w:lang w:val="en-GB"/>
        </w:rPr>
        <w:t>-9</w:t>
      </w:r>
      <w:r w:rsidRPr="00F12B37">
        <w:rPr>
          <w:lang w:val="en-GB"/>
        </w:rPr>
        <w:t>).</w:t>
      </w:r>
    </w:p>
    <w:p w14:paraId="745301A8" w14:textId="324CAAB5" w:rsidR="002E4372" w:rsidRPr="00FD3202" w:rsidRDefault="002E4372" w:rsidP="006601C6">
      <w:pPr>
        <w:pStyle w:val="Kop2"/>
      </w:pPr>
      <w:r w:rsidRPr="00FD3202">
        <w:t>Megaf</w:t>
      </w:r>
      <w:r w:rsidR="00471E69" w:rsidRPr="00FD3202">
        <w:t xml:space="preserve">auna </w:t>
      </w:r>
      <w:r w:rsidR="006F27F1">
        <w:t>density</w:t>
      </w:r>
      <w:r w:rsidR="00433BC7">
        <w:t xml:space="preserve"> </w:t>
      </w:r>
      <w:r w:rsidRPr="00FD3202">
        <w:t>and community composition</w:t>
      </w:r>
    </w:p>
    <w:p w14:paraId="2F7389C9" w14:textId="7A4B5113" w:rsidR="00E5559A" w:rsidRDefault="002E4372" w:rsidP="002E4372">
      <w:pPr>
        <w:rPr>
          <w:lang w:val="en-GB"/>
        </w:rPr>
      </w:pPr>
      <w:r w:rsidRPr="00FD3202">
        <w:rPr>
          <w:lang w:val="en-GB"/>
        </w:rPr>
        <w:t xml:space="preserve">In total, </w:t>
      </w:r>
      <w:r w:rsidR="0039473E">
        <w:rPr>
          <w:lang w:val="en-GB"/>
        </w:rPr>
        <w:t>2</w:t>
      </w:r>
      <w:r w:rsidR="002C2F24">
        <w:rPr>
          <w:lang w:val="en-GB"/>
        </w:rPr>
        <w:t>,</w:t>
      </w:r>
      <w:r w:rsidR="0039473E">
        <w:rPr>
          <w:lang w:val="en-GB"/>
        </w:rPr>
        <w:t>426</w:t>
      </w:r>
      <w:r w:rsidRPr="00FD3202">
        <w:rPr>
          <w:lang w:val="en-GB"/>
        </w:rPr>
        <w:t xml:space="preserve"> </w:t>
      </w:r>
      <w:r w:rsidR="00126E3E" w:rsidRPr="00FD3202">
        <w:rPr>
          <w:lang w:val="en-GB"/>
        </w:rPr>
        <w:t>individuals</w:t>
      </w:r>
      <w:r w:rsidR="0039473E">
        <w:rPr>
          <w:lang w:val="en-GB"/>
        </w:rPr>
        <w:t>, belonging to 41</w:t>
      </w:r>
      <w:r w:rsidRPr="00FD3202">
        <w:rPr>
          <w:lang w:val="en-GB"/>
        </w:rPr>
        <w:t xml:space="preserve"> megafaunal taxa, were counted and annotated </w:t>
      </w:r>
      <w:r w:rsidR="00375234" w:rsidRPr="00FD3202">
        <w:rPr>
          <w:lang w:val="en-GB"/>
        </w:rPr>
        <w:t xml:space="preserve">in the GSR </w:t>
      </w:r>
      <w:r w:rsidR="00B73220">
        <w:rPr>
          <w:lang w:val="en-GB"/>
        </w:rPr>
        <w:t>contract</w:t>
      </w:r>
      <w:r w:rsidR="00375234" w:rsidRPr="00FD3202">
        <w:rPr>
          <w:lang w:val="en-GB"/>
        </w:rPr>
        <w:t xml:space="preserve"> area (area </w:t>
      </w:r>
      <w:r w:rsidR="00FA254B" w:rsidRPr="00FD3202">
        <w:rPr>
          <w:lang w:val="en-GB"/>
        </w:rPr>
        <w:t>analysed</w:t>
      </w:r>
      <w:r w:rsidR="00375234" w:rsidRPr="00FD3202">
        <w:rPr>
          <w:lang w:val="en-GB"/>
        </w:rPr>
        <w:t xml:space="preserve"> = </w:t>
      </w:r>
      <w:r w:rsidR="006E3614" w:rsidRPr="00FD3202">
        <w:rPr>
          <w:lang w:val="en-GB"/>
        </w:rPr>
        <w:t>22</w:t>
      </w:r>
      <w:r w:rsidR="002C2F24">
        <w:rPr>
          <w:lang w:val="en-GB"/>
        </w:rPr>
        <w:t>,</w:t>
      </w:r>
      <w:r w:rsidR="006E3614" w:rsidRPr="00FD3202">
        <w:rPr>
          <w:lang w:val="en-GB"/>
        </w:rPr>
        <w:t>205 m</w:t>
      </w:r>
      <w:r w:rsidR="006E3614" w:rsidRPr="00FD3202">
        <w:rPr>
          <w:vertAlign w:val="superscript"/>
          <w:lang w:val="en-GB"/>
        </w:rPr>
        <w:t>2</w:t>
      </w:r>
      <w:r w:rsidR="00375234" w:rsidRPr="00FD3202">
        <w:rPr>
          <w:lang w:val="en-GB"/>
        </w:rPr>
        <w:t>)</w:t>
      </w:r>
      <w:r w:rsidR="00072828">
        <w:rPr>
          <w:lang w:val="en-GB"/>
        </w:rPr>
        <w:t xml:space="preserve"> (Fig. 2)</w:t>
      </w:r>
      <w:r w:rsidR="00375234" w:rsidRPr="00FD3202">
        <w:rPr>
          <w:lang w:val="en-GB"/>
        </w:rPr>
        <w:t xml:space="preserve">, resulting in an </w:t>
      </w:r>
      <w:r w:rsidR="005A2BEB" w:rsidRPr="00FD3202">
        <w:rPr>
          <w:lang w:val="en-GB"/>
        </w:rPr>
        <w:t xml:space="preserve">average megafaunal </w:t>
      </w:r>
      <w:r w:rsidR="006F27F1">
        <w:rPr>
          <w:lang w:val="en-GB"/>
        </w:rPr>
        <w:t>density</w:t>
      </w:r>
      <w:r w:rsidR="005A2BEB" w:rsidRPr="00FD3202">
        <w:rPr>
          <w:lang w:val="en-GB"/>
        </w:rPr>
        <w:t xml:space="preserve"> (</w:t>
      </w:r>
      <w:r w:rsidR="005A2BEB" w:rsidRPr="00FD3202">
        <w:rPr>
          <w:rFonts w:cs="Times New Roman"/>
          <w:lang w:val="en-GB"/>
        </w:rPr>
        <w:t>±</w:t>
      </w:r>
      <w:r w:rsidR="005A2BEB" w:rsidRPr="00FD3202">
        <w:rPr>
          <w:lang w:val="en-GB"/>
        </w:rPr>
        <w:t>SD)</w:t>
      </w:r>
      <w:r w:rsidR="00375234" w:rsidRPr="00FD3202">
        <w:rPr>
          <w:lang w:val="en-GB"/>
        </w:rPr>
        <w:t xml:space="preserve"> of </w:t>
      </w:r>
      <w:r w:rsidR="005C341C">
        <w:rPr>
          <w:lang w:val="en-GB"/>
        </w:rPr>
        <w:t>1</w:t>
      </w:r>
      <w:r w:rsidR="002C2F24">
        <w:rPr>
          <w:lang w:val="en-GB"/>
        </w:rPr>
        <w:t>,</w:t>
      </w:r>
      <w:r w:rsidR="005C341C">
        <w:rPr>
          <w:lang w:val="en-GB"/>
        </w:rPr>
        <w:t>277</w:t>
      </w:r>
      <w:r w:rsidR="00375234" w:rsidRPr="00FD3202">
        <w:rPr>
          <w:lang w:val="en-GB"/>
        </w:rPr>
        <w:t xml:space="preserve"> </w:t>
      </w:r>
      <w:r w:rsidR="00375234" w:rsidRPr="00FD3202">
        <w:rPr>
          <w:rFonts w:cs="Times New Roman"/>
          <w:lang w:val="en-GB"/>
        </w:rPr>
        <w:t>±</w:t>
      </w:r>
      <w:r w:rsidR="00375234" w:rsidRPr="00FD3202">
        <w:rPr>
          <w:lang w:val="en-GB"/>
        </w:rPr>
        <w:t xml:space="preserve"> </w:t>
      </w:r>
      <w:r w:rsidR="005C341C">
        <w:rPr>
          <w:lang w:val="en-GB"/>
        </w:rPr>
        <w:t>464</w:t>
      </w:r>
      <w:r w:rsidR="00375234" w:rsidRPr="00FD3202">
        <w:rPr>
          <w:lang w:val="en-GB"/>
        </w:rPr>
        <w:t xml:space="preserve"> ind.ha</w:t>
      </w:r>
      <w:r w:rsidR="00375234" w:rsidRPr="00FD3202">
        <w:rPr>
          <w:vertAlign w:val="superscript"/>
          <w:lang w:val="en-GB"/>
        </w:rPr>
        <w:t>-1</w:t>
      </w:r>
      <w:r w:rsidR="00E1298C" w:rsidRPr="00FD3202">
        <w:rPr>
          <w:lang w:val="en-GB"/>
        </w:rPr>
        <w:t xml:space="preserve"> (Supplementary Material </w:t>
      </w:r>
      <w:r w:rsidR="00813769">
        <w:rPr>
          <w:lang w:val="en-GB"/>
        </w:rPr>
        <w:t>3</w:t>
      </w:r>
      <w:r w:rsidR="00E1298C" w:rsidRPr="00FD3202">
        <w:rPr>
          <w:lang w:val="en-GB"/>
        </w:rPr>
        <w:t>)</w:t>
      </w:r>
      <w:r w:rsidR="00375234" w:rsidRPr="00FD3202">
        <w:rPr>
          <w:lang w:val="en-GB"/>
        </w:rPr>
        <w:t xml:space="preserve">. </w:t>
      </w:r>
      <w:r w:rsidR="0054229F">
        <w:rPr>
          <w:lang w:val="en-GB"/>
        </w:rPr>
        <w:t>A total of</w:t>
      </w:r>
      <w:r w:rsidR="00AB5934">
        <w:rPr>
          <w:lang w:val="en-GB"/>
        </w:rPr>
        <w:t xml:space="preserve"> 9</w:t>
      </w:r>
      <w:r w:rsidR="00516AC0">
        <w:rPr>
          <w:lang w:val="en-GB"/>
        </w:rPr>
        <w:t>8.2</w:t>
      </w:r>
      <w:r w:rsidR="00D27EE7" w:rsidRPr="00FD3202">
        <w:rPr>
          <w:lang w:val="en-GB"/>
        </w:rPr>
        <w:t xml:space="preserve">% of the </w:t>
      </w:r>
      <w:r w:rsidR="00516AC0">
        <w:rPr>
          <w:lang w:val="en-GB"/>
        </w:rPr>
        <w:t>megafauna</w:t>
      </w:r>
      <w:r w:rsidR="00D27EE7" w:rsidRPr="00FD3202">
        <w:rPr>
          <w:lang w:val="en-GB"/>
        </w:rPr>
        <w:t xml:space="preserve"> </w:t>
      </w:r>
      <w:r w:rsidR="00516AC0">
        <w:rPr>
          <w:lang w:val="en-GB"/>
        </w:rPr>
        <w:t>individuals</w:t>
      </w:r>
      <w:r w:rsidR="00375234" w:rsidRPr="00FD3202">
        <w:rPr>
          <w:lang w:val="en-GB"/>
        </w:rPr>
        <w:t xml:space="preserve"> </w:t>
      </w:r>
      <w:r w:rsidR="00D27EE7" w:rsidRPr="00FD3202">
        <w:rPr>
          <w:lang w:val="en-GB"/>
        </w:rPr>
        <w:t xml:space="preserve">belonged to </w:t>
      </w:r>
      <w:r w:rsidR="003541F7" w:rsidRPr="00FD3202">
        <w:rPr>
          <w:lang w:val="en-GB"/>
        </w:rPr>
        <w:t xml:space="preserve">one of the following </w:t>
      </w:r>
      <w:r w:rsidR="00732EED" w:rsidRPr="00FD3202">
        <w:rPr>
          <w:lang w:val="en-GB"/>
        </w:rPr>
        <w:t>five</w:t>
      </w:r>
      <w:r w:rsidR="00D27EE7" w:rsidRPr="00FD3202">
        <w:rPr>
          <w:lang w:val="en-GB"/>
        </w:rPr>
        <w:t xml:space="preserve"> higher taxa: </w:t>
      </w:r>
      <w:r w:rsidR="00516AC0">
        <w:rPr>
          <w:lang w:val="en-GB"/>
        </w:rPr>
        <w:t>Echinodermata (67.3%), Cnidaria (14.9%), Polychaeta (8</w:t>
      </w:r>
      <w:r w:rsidR="00D27EE7" w:rsidRPr="00FD3202">
        <w:rPr>
          <w:lang w:val="en-GB"/>
        </w:rPr>
        <w:t>%)</w:t>
      </w:r>
      <w:r w:rsidR="00516AC0">
        <w:rPr>
          <w:lang w:val="en-GB"/>
        </w:rPr>
        <w:t>, Porifera (5.4%) and Arthropoda (2.6%)</w:t>
      </w:r>
      <w:r w:rsidR="00072828">
        <w:rPr>
          <w:lang w:val="en-GB"/>
        </w:rPr>
        <w:t xml:space="preserve"> (Fig. 3)</w:t>
      </w:r>
      <w:r w:rsidR="00D27EE7" w:rsidRPr="00FD3202">
        <w:rPr>
          <w:lang w:val="en-GB"/>
        </w:rPr>
        <w:t>.</w:t>
      </w:r>
      <w:r w:rsidR="001673B9" w:rsidRPr="00FD3202">
        <w:rPr>
          <w:lang w:val="en-GB"/>
        </w:rPr>
        <w:t xml:space="preserve"> </w:t>
      </w:r>
    </w:p>
    <w:p w14:paraId="7E79B251" w14:textId="4EF558D0" w:rsidR="00611529" w:rsidRDefault="0054229F" w:rsidP="002E4372">
      <w:pPr>
        <w:rPr>
          <w:lang w:val="en-GB"/>
        </w:rPr>
      </w:pPr>
      <w:r>
        <w:rPr>
          <w:lang w:val="en-GB"/>
        </w:rPr>
        <w:t>M</w:t>
      </w:r>
      <w:r w:rsidR="00930B4B" w:rsidRPr="00FD3202">
        <w:rPr>
          <w:lang w:val="en-GB"/>
        </w:rPr>
        <w:t xml:space="preserve">egafauna </w:t>
      </w:r>
      <w:r w:rsidR="00EB211D">
        <w:rPr>
          <w:lang w:val="en-GB"/>
        </w:rPr>
        <w:t>density</w:t>
      </w:r>
      <w:r w:rsidR="00DE2094">
        <w:rPr>
          <w:lang w:val="en-GB"/>
        </w:rPr>
        <w:t xml:space="preserve"> was </w:t>
      </w:r>
      <w:r w:rsidR="00DE2094" w:rsidRPr="00FD3202">
        <w:rPr>
          <w:lang w:val="en-GB"/>
        </w:rPr>
        <w:t xml:space="preserve">significantly </w:t>
      </w:r>
      <w:r w:rsidR="00DE2094">
        <w:rPr>
          <w:lang w:val="en-GB"/>
        </w:rPr>
        <w:t>different among the two altitudes</w:t>
      </w:r>
      <w:r w:rsidR="00DE2094" w:rsidRPr="00FD3202">
        <w:rPr>
          <w:lang w:val="en-GB"/>
        </w:rPr>
        <w:t xml:space="preserve"> (</w:t>
      </w:r>
      <w:r w:rsidR="00DE2094">
        <w:rPr>
          <w:lang w:val="en-GB"/>
        </w:rPr>
        <w:t>2</w:t>
      </w:r>
      <w:r w:rsidR="00DE2094" w:rsidRPr="00FD3202">
        <w:rPr>
          <w:lang w:val="en-GB"/>
        </w:rPr>
        <w:t>-</w:t>
      </w:r>
      <w:r w:rsidR="00DE2094">
        <w:rPr>
          <w:lang w:val="en-GB"/>
        </w:rPr>
        <w:t>way</w:t>
      </w:r>
      <w:r w:rsidR="00DE2094" w:rsidRPr="00FD3202">
        <w:rPr>
          <w:lang w:val="en-GB"/>
        </w:rPr>
        <w:t xml:space="preserve"> </w:t>
      </w:r>
      <w:r w:rsidR="00DE2094">
        <w:rPr>
          <w:lang w:val="en-GB"/>
        </w:rPr>
        <w:t>ANOVA</w:t>
      </w:r>
      <w:r w:rsidR="00DE2094" w:rsidRPr="00FD3202">
        <w:rPr>
          <w:lang w:val="en-GB"/>
        </w:rPr>
        <w:t>, F</w:t>
      </w:r>
      <w:r w:rsidR="00DE2094">
        <w:rPr>
          <w:lang w:val="en-GB"/>
        </w:rPr>
        <w:t>-value</w:t>
      </w:r>
      <w:r w:rsidR="00DE2094" w:rsidRPr="00B0442B">
        <w:rPr>
          <w:vertAlign w:val="subscript"/>
          <w:lang w:val="en-GB"/>
        </w:rPr>
        <w:t>1,1</w:t>
      </w:r>
      <w:r w:rsidR="00DE2094">
        <w:rPr>
          <w:vertAlign w:val="subscript"/>
          <w:lang w:val="en-GB"/>
        </w:rPr>
        <w:t>6</w:t>
      </w:r>
      <w:r w:rsidR="00DE2094" w:rsidRPr="00B0442B">
        <w:rPr>
          <w:vertAlign w:val="subscript"/>
          <w:lang w:val="en-GB"/>
        </w:rPr>
        <w:t xml:space="preserve"> </w:t>
      </w:r>
      <w:r w:rsidR="00DE2094">
        <w:rPr>
          <w:lang w:val="en-GB"/>
        </w:rPr>
        <w:t>= 64.963</w:t>
      </w:r>
      <w:r w:rsidR="00DE2094" w:rsidRPr="00FD3202">
        <w:rPr>
          <w:lang w:val="en-GB"/>
        </w:rPr>
        <w:t xml:space="preserve">, </w:t>
      </w:r>
      <w:r w:rsidR="00DE2094" w:rsidRPr="00FD3202">
        <w:rPr>
          <w:i/>
          <w:iCs/>
          <w:lang w:val="en-GB"/>
        </w:rPr>
        <w:t>p</w:t>
      </w:r>
      <w:r w:rsidR="00DE2094" w:rsidRPr="00FD3202">
        <w:rPr>
          <w:lang w:val="en-GB"/>
        </w:rPr>
        <w:t xml:space="preserve"> </w:t>
      </w:r>
      <w:r w:rsidR="00DE2094">
        <w:rPr>
          <w:lang w:val="en-GB"/>
        </w:rPr>
        <w:t xml:space="preserve">= 5.03 </w:t>
      </w:r>
      <w:r w:rsidR="00DE2094">
        <w:rPr>
          <w:rFonts w:cs="Times New Roman"/>
          <w:lang w:val="en-GB"/>
        </w:rPr>
        <w:t>×</w:t>
      </w:r>
      <w:r w:rsidR="00DE2094">
        <w:rPr>
          <w:lang w:val="en-GB"/>
        </w:rPr>
        <w:t xml:space="preserve"> 10</w:t>
      </w:r>
      <w:r w:rsidR="00DE2094" w:rsidRPr="002C1CBC">
        <w:rPr>
          <w:vertAlign w:val="superscript"/>
          <w:lang w:val="en-GB"/>
        </w:rPr>
        <w:t>-7</w:t>
      </w:r>
      <w:r w:rsidR="00DE2094" w:rsidRPr="00FD3202">
        <w:rPr>
          <w:lang w:val="en-GB"/>
        </w:rPr>
        <w:t>)</w:t>
      </w:r>
      <w:r w:rsidR="00DE2094">
        <w:rPr>
          <w:lang w:val="en-GB"/>
        </w:rPr>
        <w:t xml:space="preserve">, but not significantly different among the two sites </w:t>
      </w:r>
      <w:r w:rsidR="00DE2094" w:rsidRPr="00FD3202">
        <w:rPr>
          <w:lang w:val="en-GB"/>
        </w:rPr>
        <w:t>(</w:t>
      </w:r>
      <w:r w:rsidR="00DE2094">
        <w:rPr>
          <w:lang w:val="en-GB"/>
        </w:rPr>
        <w:t>2</w:t>
      </w:r>
      <w:r w:rsidR="00DE2094" w:rsidRPr="00FD3202">
        <w:rPr>
          <w:lang w:val="en-GB"/>
        </w:rPr>
        <w:t>-</w:t>
      </w:r>
      <w:r w:rsidR="00DE2094">
        <w:rPr>
          <w:lang w:val="en-GB"/>
        </w:rPr>
        <w:t>way</w:t>
      </w:r>
      <w:r w:rsidR="00DE2094" w:rsidRPr="00FD3202">
        <w:rPr>
          <w:lang w:val="en-GB"/>
        </w:rPr>
        <w:t xml:space="preserve"> </w:t>
      </w:r>
      <w:r w:rsidR="00DE2094">
        <w:rPr>
          <w:lang w:val="en-GB"/>
        </w:rPr>
        <w:t>ANOVA</w:t>
      </w:r>
      <w:r w:rsidR="00DE2094" w:rsidRPr="00FD3202">
        <w:rPr>
          <w:lang w:val="en-GB"/>
        </w:rPr>
        <w:t>, F</w:t>
      </w:r>
      <w:r w:rsidR="00DE2094">
        <w:rPr>
          <w:lang w:val="en-GB"/>
        </w:rPr>
        <w:t>-value</w:t>
      </w:r>
      <w:r w:rsidR="00DE2094" w:rsidRPr="00B0442B">
        <w:rPr>
          <w:vertAlign w:val="subscript"/>
          <w:lang w:val="en-GB"/>
        </w:rPr>
        <w:t>1,1</w:t>
      </w:r>
      <w:r w:rsidR="00DE2094">
        <w:rPr>
          <w:vertAlign w:val="subscript"/>
          <w:lang w:val="en-GB"/>
        </w:rPr>
        <w:t>6</w:t>
      </w:r>
      <w:r w:rsidR="00DE2094" w:rsidRPr="00B0442B">
        <w:rPr>
          <w:vertAlign w:val="subscript"/>
          <w:lang w:val="en-GB"/>
        </w:rPr>
        <w:t xml:space="preserve"> </w:t>
      </w:r>
      <w:r w:rsidR="00DE2094">
        <w:rPr>
          <w:lang w:val="en-GB"/>
        </w:rPr>
        <w:t>= 0.7440</w:t>
      </w:r>
      <w:r w:rsidR="00DE2094" w:rsidRPr="00FD3202">
        <w:rPr>
          <w:lang w:val="en-GB"/>
        </w:rPr>
        <w:t xml:space="preserve">, </w:t>
      </w:r>
      <w:r w:rsidR="00DE2094" w:rsidRPr="00FD3202">
        <w:rPr>
          <w:i/>
          <w:iCs/>
          <w:lang w:val="en-GB"/>
        </w:rPr>
        <w:t>p</w:t>
      </w:r>
      <w:r w:rsidR="00DE2094" w:rsidRPr="00FD3202">
        <w:rPr>
          <w:lang w:val="en-GB"/>
        </w:rPr>
        <w:t xml:space="preserve"> </w:t>
      </w:r>
      <w:r w:rsidR="00DE2094">
        <w:rPr>
          <w:lang w:val="en-GB"/>
        </w:rPr>
        <w:t>= 0.4011</w:t>
      </w:r>
      <w:r w:rsidR="00DE2094" w:rsidRPr="00FD3202">
        <w:rPr>
          <w:lang w:val="en-GB"/>
        </w:rPr>
        <w:t>)</w:t>
      </w:r>
      <w:r w:rsidR="00DE2094">
        <w:rPr>
          <w:lang w:val="en-GB"/>
        </w:rPr>
        <w:t xml:space="preserve">. </w:t>
      </w:r>
      <w:r w:rsidR="00FC5DA6" w:rsidRPr="00FD3202">
        <w:rPr>
          <w:lang w:val="en-GB"/>
        </w:rPr>
        <w:t xml:space="preserve">The average </w:t>
      </w:r>
      <w:r w:rsidR="006F27F1">
        <w:rPr>
          <w:lang w:val="en-GB"/>
        </w:rPr>
        <w:t>density</w:t>
      </w:r>
      <w:r w:rsidR="00FC5DA6" w:rsidRPr="00FD3202">
        <w:rPr>
          <w:sz w:val="23"/>
          <w:szCs w:val="23"/>
          <w:lang w:val="en-GB"/>
        </w:rPr>
        <w:t xml:space="preserve"> </w:t>
      </w:r>
      <w:r w:rsidR="00FC5DA6" w:rsidRPr="00FD3202">
        <w:rPr>
          <w:lang w:val="en-GB"/>
        </w:rPr>
        <w:t>(</w:t>
      </w:r>
      <w:r w:rsidR="00FC5DA6" w:rsidRPr="00FD3202">
        <w:rPr>
          <w:rFonts w:cs="Times New Roman"/>
          <w:lang w:val="en-GB"/>
        </w:rPr>
        <w:t>±</w:t>
      </w:r>
      <w:r w:rsidR="00FC5DA6" w:rsidRPr="00FD3202">
        <w:rPr>
          <w:lang w:val="en-GB"/>
        </w:rPr>
        <w:t>SD)</w:t>
      </w:r>
      <w:r w:rsidR="00611529" w:rsidRPr="00FD3202">
        <w:rPr>
          <w:lang w:val="en-GB"/>
        </w:rPr>
        <w:t xml:space="preserve"> of megafauna was </w:t>
      </w:r>
      <w:r w:rsidR="00511DAC">
        <w:rPr>
          <w:lang w:val="en-GB"/>
        </w:rPr>
        <w:t>almost twice as high</w:t>
      </w:r>
      <w:r w:rsidR="00611529" w:rsidRPr="00FD3202">
        <w:rPr>
          <w:lang w:val="en-GB"/>
        </w:rPr>
        <w:t xml:space="preserve"> at an altitude </w:t>
      </w:r>
      <w:r w:rsidR="00611529" w:rsidRPr="00FD3202">
        <w:rPr>
          <w:lang w:val="en-GB"/>
        </w:rPr>
        <w:lastRenderedPageBreak/>
        <w:t>&lt;8m (</w:t>
      </w:r>
      <w:r w:rsidR="00511DAC">
        <w:rPr>
          <w:lang w:val="en-GB"/>
        </w:rPr>
        <w:t>1</w:t>
      </w:r>
      <w:r w:rsidR="002C2F24">
        <w:rPr>
          <w:lang w:val="en-GB"/>
        </w:rPr>
        <w:t>,</w:t>
      </w:r>
      <w:r w:rsidR="00511DAC">
        <w:rPr>
          <w:lang w:val="en-GB"/>
        </w:rPr>
        <w:t>676</w:t>
      </w:r>
      <w:r w:rsidR="00611529" w:rsidRPr="00FD3202">
        <w:rPr>
          <w:lang w:val="en-GB"/>
        </w:rPr>
        <w:t xml:space="preserve"> </w:t>
      </w:r>
      <w:r w:rsidR="00611529" w:rsidRPr="00FD3202">
        <w:rPr>
          <w:rFonts w:cs="Times New Roman"/>
          <w:lang w:val="en-GB"/>
        </w:rPr>
        <w:t>±</w:t>
      </w:r>
      <w:r w:rsidR="00611529" w:rsidRPr="00FD3202">
        <w:rPr>
          <w:lang w:val="en-GB"/>
        </w:rPr>
        <w:t xml:space="preserve"> </w:t>
      </w:r>
      <w:r w:rsidR="00511DAC">
        <w:rPr>
          <w:lang w:val="en-GB"/>
        </w:rPr>
        <w:t>217</w:t>
      </w:r>
      <w:r w:rsidR="00611529" w:rsidRPr="00FD3202">
        <w:rPr>
          <w:lang w:val="en-GB"/>
        </w:rPr>
        <w:t xml:space="preserve"> ind.ha</w:t>
      </w:r>
      <w:r w:rsidR="00611529" w:rsidRPr="00FD3202">
        <w:rPr>
          <w:vertAlign w:val="superscript"/>
          <w:lang w:val="en-GB"/>
        </w:rPr>
        <w:t>-1</w:t>
      </w:r>
      <w:r w:rsidR="00611529" w:rsidRPr="00FD3202">
        <w:rPr>
          <w:lang w:val="en-GB"/>
        </w:rPr>
        <w:t>) compared to an altitude &gt;8m (</w:t>
      </w:r>
      <w:r w:rsidR="00511DAC">
        <w:rPr>
          <w:lang w:val="en-GB"/>
        </w:rPr>
        <w:t>878</w:t>
      </w:r>
      <w:r w:rsidR="00611529" w:rsidRPr="00FD3202">
        <w:rPr>
          <w:lang w:val="en-GB"/>
        </w:rPr>
        <w:t xml:space="preserve"> </w:t>
      </w:r>
      <w:r w:rsidR="00611529" w:rsidRPr="00FD3202">
        <w:rPr>
          <w:rFonts w:cs="Times New Roman"/>
          <w:lang w:val="en-GB"/>
        </w:rPr>
        <w:t>±</w:t>
      </w:r>
      <w:r w:rsidR="00611529" w:rsidRPr="00FD3202">
        <w:rPr>
          <w:lang w:val="en-GB"/>
        </w:rPr>
        <w:t xml:space="preserve"> </w:t>
      </w:r>
      <w:r w:rsidR="00511DAC">
        <w:rPr>
          <w:lang w:val="en-GB"/>
        </w:rPr>
        <w:t>230</w:t>
      </w:r>
      <w:r w:rsidR="00611529" w:rsidRPr="00FD3202">
        <w:rPr>
          <w:lang w:val="en-GB"/>
        </w:rPr>
        <w:t xml:space="preserve"> ind.ha</w:t>
      </w:r>
      <w:r w:rsidR="00611529" w:rsidRPr="00FD3202">
        <w:rPr>
          <w:vertAlign w:val="superscript"/>
          <w:lang w:val="en-GB"/>
        </w:rPr>
        <w:t>-1</w:t>
      </w:r>
      <w:r w:rsidR="00611529" w:rsidRPr="00FD3202">
        <w:rPr>
          <w:lang w:val="en-GB"/>
        </w:rPr>
        <w:t>).</w:t>
      </w:r>
      <w:r w:rsidR="00FB45DB">
        <w:rPr>
          <w:lang w:val="en-GB"/>
        </w:rPr>
        <w:t xml:space="preserve"> </w:t>
      </w:r>
      <w:r w:rsidR="00DE2094">
        <w:t xml:space="preserve">Multivariate analysis </w:t>
      </w:r>
      <w:r>
        <w:t xml:space="preserve">also </w:t>
      </w:r>
      <w:r w:rsidR="00DE2094">
        <w:t xml:space="preserve">revealed a significant interaction effect of </w:t>
      </w:r>
      <w:r w:rsidR="001A5FE1">
        <w:t xml:space="preserve">Site </w:t>
      </w:r>
      <w:r w:rsidR="001A5FE1">
        <w:rPr>
          <w:rFonts w:cs="Times New Roman"/>
        </w:rPr>
        <w:t>×</w:t>
      </w:r>
      <w:r w:rsidR="001A5FE1">
        <w:t xml:space="preserve"> Altitude on the </w:t>
      </w:r>
      <w:r w:rsidR="00DE2094">
        <w:t>megafauna community</w:t>
      </w:r>
      <w:r w:rsidR="001A5FE1">
        <w:t xml:space="preserve"> (2-factor PERMANOVA, pseudo-F</w:t>
      </w:r>
      <w:r w:rsidR="001A5FE1" w:rsidRPr="001A5FE1">
        <w:rPr>
          <w:vertAlign w:val="subscript"/>
        </w:rPr>
        <w:t xml:space="preserve">1,16 </w:t>
      </w:r>
      <w:r w:rsidR="001A5FE1" w:rsidRPr="00FC5DA6">
        <w:t xml:space="preserve">= </w:t>
      </w:r>
      <w:r w:rsidR="001A5FE1">
        <w:t>6.6807</w:t>
      </w:r>
      <w:r w:rsidR="001A5FE1" w:rsidRPr="00FC5DA6">
        <w:t xml:space="preserve">, </w:t>
      </w:r>
      <w:r w:rsidR="001A5FE1" w:rsidRPr="00FC5DA6">
        <w:rPr>
          <w:i/>
          <w:iCs/>
        </w:rPr>
        <w:t>p</w:t>
      </w:r>
      <w:r w:rsidR="001A5FE1" w:rsidRPr="00FC5DA6">
        <w:t>PERM = 0.000</w:t>
      </w:r>
      <w:r w:rsidR="001A5FE1">
        <w:t>5</w:t>
      </w:r>
      <w:r w:rsidR="00E54FAC">
        <w:t>)</w:t>
      </w:r>
      <w:r w:rsidR="00A81518">
        <w:t xml:space="preserve"> </w:t>
      </w:r>
      <w:r w:rsidR="00E54FAC" w:rsidRPr="00370823">
        <w:t>(</w:t>
      </w:r>
      <w:r w:rsidR="00A81518" w:rsidRPr="00370823">
        <w:t>S</w:t>
      </w:r>
      <w:r w:rsidR="002C2F24">
        <w:t xml:space="preserve">upplementary Material </w:t>
      </w:r>
      <w:r w:rsidR="00813769">
        <w:t>4</w:t>
      </w:r>
      <w:r w:rsidR="00A81518" w:rsidRPr="00370823">
        <w:t>)</w:t>
      </w:r>
      <w:r w:rsidR="001A5FE1" w:rsidRPr="00370823">
        <w:t>.</w:t>
      </w:r>
      <w:r w:rsidR="001A5FE1">
        <w:t xml:space="preserve"> Pair-wise tests showed that the megafauna community was significantly different </w:t>
      </w:r>
      <w:r w:rsidR="00FD1E37">
        <w:t xml:space="preserve">when observed from different altitudes and between the two sites (all four pair-wise tests: </w:t>
      </w:r>
      <w:r w:rsidR="00FD1E37" w:rsidRPr="00FD1E37">
        <w:rPr>
          <w:i/>
        </w:rPr>
        <w:t>p</w:t>
      </w:r>
      <w:r w:rsidR="00FD1E37">
        <w:t xml:space="preserve"> &lt; 0.005).</w:t>
      </w:r>
      <w:r w:rsidR="00611529" w:rsidRPr="00FD3202">
        <w:rPr>
          <w:lang w:val="en-GB"/>
        </w:rPr>
        <w:t xml:space="preserve"> </w:t>
      </w:r>
      <w:r w:rsidR="002D0B55">
        <w:rPr>
          <w:lang w:val="en-GB"/>
        </w:rPr>
        <w:t xml:space="preserve">A SIMPER analysis revealed that </w:t>
      </w:r>
      <w:r w:rsidR="002D0B55" w:rsidRPr="002D0B55">
        <w:rPr>
          <w:lang w:val="en-GB"/>
        </w:rPr>
        <w:t>66.8% of the</w:t>
      </w:r>
      <w:r w:rsidR="003508E8" w:rsidRPr="002D0B55">
        <w:rPr>
          <w:lang w:val="en-GB"/>
        </w:rPr>
        <w:t xml:space="preserve"> differences </w:t>
      </w:r>
      <w:r w:rsidR="006A4C38" w:rsidRPr="002D0B55">
        <w:rPr>
          <w:lang w:val="en-GB"/>
        </w:rPr>
        <w:t xml:space="preserve">in the megafauna community between altitudes </w:t>
      </w:r>
      <w:r>
        <w:rPr>
          <w:lang w:val="en-GB"/>
        </w:rPr>
        <w:t xml:space="preserve">were caused by </w:t>
      </w:r>
      <w:r w:rsidR="003508E8" w:rsidRPr="002D0B55">
        <w:rPr>
          <w:lang w:val="en-GB"/>
        </w:rPr>
        <w:t>differ</w:t>
      </w:r>
      <w:r w:rsidR="00DA582F" w:rsidRPr="002D0B55">
        <w:rPr>
          <w:lang w:val="en-GB"/>
        </w:rPr>
        <w:t>e</w:t>
      </w:r>
      <w:r w:rsidR="003508E8" w:rsidRPr="002D0B55">
        <w:rPr>
          <w:lang w:val="en-GB"/>
        </w:rPr>
        <w:t xml:space="preserve">nces in the </w:t>
      </w:r>
      <w:r w:rsidR="006F27F1" w:rsidRPr="002D0B55">
        <w:rPr>
          <w:lang w:val="en-GB"/>
        </w:rPr>
        <w:t>density</w:t>
      </w:r>
      <w:r w:rsidR="003508E8" w:rsidRPr="002D0B55">
        <w:rPr>
          <w:lang w:val="en-GB"/>
        </w:rPr>
        <w:t xml:space="preserve"> of </w:t>
      </w:r>
      <w:r w:rsidR="002D0B55" w:rsidRPr="002D0B55">
        <w:rPr>
          <w:lang w:val="en-GB"/>
        </w:rPr>
        <w:t>Ophiuroidea (20.2%), Aspidodiadematidae (16.7%), Acti</w:t>
      </w:r>
      <w:r>
        <w:rPr>
          <w:lang w:val="en-GB"/>
        </w:rPr>
        <w:t>niaria (15%) and Polychaeta (14.</w:t>
      </w:r>
      <w:r w:rsidR="002D0B55" w:rsidRPr="002D0B55">
        <w:rPr>
          <w:lang w:val="en-GB"/>
        </w:rPr>
        <w:t>9%)</w:t>
      </w:r>
      <w:r w:rsidR="002D0B55">
        <w:rPr>
          <w:lang w:val="en-GB"/>
        </w:rPr>
        <w:t>.</w:t>
      </w:r>
      <w:r w:rsidR="003508E8" w:rsidRPr="00FD3202">
        <w:rPr>
          <w:lang w:val="en-GB"/>
        </w:rPr>
        <w:t xml:space="preserve"> </w:t>
      </w:r>
      <w:r w:rsidR="00957E0D" w:rsidRPr="00FD3202">
        <w:rPr>
          <w:lang w:val="en-GB"/>
        </w:rPr>
        <w:t xml:space="preserve">Owing </w:t>
      </w:r>
      <w:r w:rsidR="00611529" w:rsidRPr="00FD3202">
        <w:rPr>
          <w:lang w:val="en-GB"/>
        </w:rPr>
        <w:t xml:space="preserve">to the significant differences in the megafauna community as a result of the altitude at which the AUV images were taken, further statistical analyses were conducted </w:t>
      </w:r>
      <w:r>
        <w:rPr>
          <w:lang w:val="en-GB"/>
        </w:rPr>
        <w:t xml:space="preserve">only </w:t>
      </w:r>
      <w:r w:rsidR="00611529" w:rsidRPr="00FD3202">
        <w:rPr>
          <w:lang w:val="en-GB"/>
        </w:rPr>
        <w:t>on the data retrieved below 8m altitude.</w:t>
      </w:r>
    </w:p>
    <w:p w14:paraId="1DCCB98F" w14:textId="77777777" w:rsidR="0091717C" w:rsidRDefault="00E61D5E" w:rsidP="0091717C">
      <w:pPr>
        <w:jc w:val="center"/>
        <w:rPr>
          <w:rFonts w:cs="Times New Roman"/>
          <w:lang w:val="en-GB"/>
        </w:rPr>
      </w:pPr>
      <w:r>
        <w:rPr>
          <w:rFonts w:cs="Times New Roman"/>
          <w:noProof/>
        </w:rPr>
        <w:lastRenderedPageBreak/>
        <w:drawing>
          <wp:inline distT="0" distB="0" distL="0" distR="0" wp14:anchorId="2FE8390B" wp14:editId="2E0A9EDD">
            <wp:extent cx="3850792" cy="6550169"/>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gafauna.jpg"/>
                    <pic:cNvPicPr/>
                  </pic:nvPicPr>
                  <pic:blipFill>
                    <a:blip r:embed="rId20">
                      <a:extLst>
                        <a:ext uri="{28A0092B-C50C-407E-A947-70E740481C1C}">
                          <a14:useLocalDpi xmlns:a14="http://schemas.microsoft.com/office/drawing/2010/main" val="0"/>
                        </a:ext>
                      </a:extLst>
                    </a:blip>
                    <a:stretch>
                      <a:fillRect/>
                    </a:stretch>
                  </pic:blipFill>
                  <pic:spPr>
                    <a:xfrm>
                      <a:off x="0" y="0"/>
                      <a:ext cx="3850792" cy="6550169"/>
                    </a:xfrm>
                    <a:prstGeom prst="rect">
                      <a:avLst/>
                    </a:prstGeom>
                  </pic:spPr>
                </pic:pic>
              </a:graphicData>
            </a:graphic>
          </wp:inline>
        </w:drawing>
      </w:r>
    </w:p>
    <w:p w14:paraId="61106D52" w14:textId="208ABA2B" w:rsidR="0091717C" w:rsidRPr="0091717C" w:rsidRDefault="0091717C" w:rsidP="006601C6">
      <w:pPr>
        <w:spacing w:line="240" w:lineRule="auto"/>
      </w:pPr>
      <w:r w:rsidRPr="006601C6">
        <w:rPr>
          <w:sz w:val="20"/>
        </w:rPr>
        <w:t xml:space="preserve">Figure 2. Examples of identified higher megafauna taxa </w:t>
      </w:r>
      <w:r w:rsidR="00416B1A">
        <w:rPr>
          <w:sz w:val="20"/>
        </w:rPr>
        <w:t xml:space="preserve">(and the altitude at which the images were taken) </w:t>
      </w:r>
      <w:r w:rsidRPr="006601C6">
        <w:rPr>
          <w:sz w:val="20"/>
        </w:rPr>
        <w:t>from the GSR exploration area in the CCZ. (A) Actiniaria</w:t>
      </w:r>
      <w:r w:rsidR="000C455D">
        <w:rPr>
          <w:sz w:val="20"/>
        </w:rPr>
        <w:t xml:space="preserve"> mtp</w:t>
      </w:r>
      <w:r w:rsidR="00416B1A">
        <w:rPr>
          <w:sz w:val="20"/>
        </w:rPr>
        <w:t xml:space="preserve"> (4.92m altitude)</w:t>
      </w:r>
      <w:r w:rsidRPr="006601C6">
        <w:rPr>
          <w:sz w:val="20"/>
        </w:rPr>
        <w:t>, (B) Alcyonacea</w:t>
      </w:r>
      <w:r w:rsidR="000C455D">
        <w:rPr>
          <w:sz w:val="20"/>
        </w:rPr>
        <w:t xml:space="preserve"> mtp</w:t>
      </w:r>
      <w:r w:rsidR="00416B1A">
        <w:rPr>
          <w:sz w:val="20"/>
        </w:rPr>
        <w:t xml:space="preserve"> (5.1m)</w:t>
      </w:r>
      <w:r w:rsidRPr="006601C6">
        <w:rPr>
          <w:sz w:val="20"/>
        </w:rPr>
        <w:t>, (C) Antipatharia</w:t>
      </w:r>
      <w:r w:rsidR="000C455D">
        <w:rPr>
          <w:sz w:val="20"/>
        </w:rPr>
        <w:t xml:space="preserve"> mtp</w:t>
      </w:r>
      <w:r w:rsidR="00416B1A">
        <w:rPr>
          <w:sz w:val="20"/>
        </w:rPr>
        <w:t xml:space="preserve"> (5.1m)</w:t>
      </w:r>
      <w:r w:rsidRPr="006601C6">
        <w:rPr>
          <w:sz w:val="20"/>
        </w:rPr>
        <w:t>, (D) Asteroidea</w:t>
      </w:r>
      <w:r w:rsidR="001B7202">
        <w:rPr>
          <w:sz w:val="20"/>
        </w:rPr>
        <w:t xml:space="preserve"> (</w:t>
      </w:r>
      <w:r w:rsidR="001B7202" w:rsidRPr="001B7202">
        <w:rPr>
          <w:sz w:val="20"/>
        </w:rPr>
        <w:t>Paxillosida m</w:t>
      </w:r>
      <w:r w:rsidR="001B7202">
        <w:rPr>
          <w:sz w:val="20"/>
        </w:rPr>
        <w:t>tp)</w:t>
      </w:r>
      <w:r w:rsidR="00416B1A">
        <w:rPr>
          <w:sz w:val="20"/>
        </w:rPr>
        <w:t xml:space="preserve"> (9.5m)</w:t>
      </w:r>
      <w:r w:rsidRPr="006601C6">
        <w:rPr>
          <w:sz w:val="20"/>
        </w:rPr>
        <w:t>, (E) Crinoidea</w:t>
      </w:r>
      <w:r w:rsidR="000C455D">
        <w:rPr>
          <w:sz w:val="20"/>
        </w:rPr>
        <w:t xml:space="preserve"> mtp</w:t>
      </w:r>
      <w:r w:rsidR="00416B1A">
        <w:rPr>
          <w:sz w:val="20"/>
        </w:rPr>
        <w:t xml:space="preserve"> (7.1m)</w:t>
      </w:r>
      <w:r w:rsidRPr="006601C6">
        <w:rPr>
          <w:sz w:val="20"/>
        </w:rPr>
        <w:t>, (F) Decapoda</w:t>
      </w:r>
      <w:r w:rsidR="001B7202">
        <w:rPr>
          <w:sz w:val="20"/>
        </w:rPr>
        <w:t xml:space="preserve"> </w:t>
      </w:r>
      <w:r w:rsidR="001B7202" w:rsidRPr="001B7202">
        <w:rPr>
          <w:sz w:val="20"/>
        </w:rPr>
        <w:t>(Aristeidae)</w:t>
      </w:r>
      <w:r w:rsidR="00416B1A">
        <w:rPr>
          <w:sz w:val="20"/>
        </w:rPr>
        <w:t xml:space="preserve"> (5.1m)</w:t>
      </w:r>
      <w:r w:rsidRPr="006601C6">
        <w:rPr>
          <w:sz w:val="20"/>
        </w:rPr>
        <w:t>, (G) Echinoidea</w:t>
      </w:r>
      <w:r w:rsidR="00F8492C">
        <w:rPr>
          <w:sz w:val="20"/>
        </w:rPr>
        <w:t xml:space="preserve"> (</w:t>
      </w:r>
      <w:r w:rsidR="00B34F9E" w:rsidRPr="002D0B55">
        <w:rPr>
          <w:lang w:val="en-GB"/>
        </w:rPr>
        <w:t>Aspidodiadematidae</w:t>
      </w:r>
      <w:r w:rsidR="000C455D">
        <w:rPr>
          <w:lang w:val="en-GB"/>
        </w:rPr>
        <w:t xml:space="preserve"> mtp</w:t>
      </w:r>
      <w:r w:rsidR="00B34F9E">
        <w:rPr>
          <w:lang w:val="en-GB"/>
        </w:rPr>
        <w:t>)</w:t>
      </w:r>
      <w:r w:rsidR="00416B1A">
        <w:rPr>
          <w:lang w:val="en-GB"/>
        </w:rPr>
        <w:t xml:space="preserve"> (5.6m)</w:t>
      </w:r>
      <w:r w:rsidRPr="006601C6">
        <w:rPr>
          <w:sz w:val="20"/>
        </w:rPr>
        <w:t>, (H) Holothuroidea</w:t>
      </w:r>
      <w:r w:rsidR="000C455D">
        <w:rPr>
          <w:sz w:val="20"/>
        </w:rPr>
        <w:t xml:space="preserve"> mtp</w:t>
      </w:r>
      <w:r w:rsidR="00416B1A">
        <w:rPr>
          <w:sz w:val="20"/>
        </w:rPr>
        <w:t xml:space="preserve"> (5.1</w:t>
      </w:r>
      <w:r w:rsidR="00062BD1">
        <w:rPr>
          <w:sz w:val="20"/>
        </w:rPr>
        <w:t>m</w:t>
      </w:r>
      <w:r w:rsidR="00416B1A">
        <w:rPr>
          <w:sz w:val="20"/>
        </w:rPr>
        <w:t>)</w:t>
      </w:r>
      <w:r w:rsidRPr="006601C6">
        <w:rPr>
          <w:sz w:val="20"/>
        </w:rPr>
        <w:t>, (I) Hydrozoa</w:t>
      </w:r>
      <w:r w:rsidR="000C455D">
        <w:rPr>
          <w:sz w:val="20"/>
        </w:rPr>
        <w:t xml:space="preserve"> mtp</w:t>
      </w:r>
      <w:r w:rsidR="00416B1A">
        <w:rPr>
          <w:sz w:val="20"/>
        </w:rPr>
        <w:t xml:space="preserve"> (5.0m)</w:t>
      </w:r>
      <w:r w:rsidRPr="006601C6">
        <w:rPr>
          <w:sz w:val="20"/>
        </w:rPr>
        <w:t>, (J) Ophiuroidea</w:t>
      </w:r>
      <w:r w:rsidR="000C455D">
        <w:rPr>
          <w:sz w:val="20"/>
        </w:rPr>
        <w:t xml:space="preserve"> mtp</w:t>
      </w:r>
      <w:r w:rsidR="00416B1A">
        <w:rPr>
          <w:sz w:val="20"/>
        </w:rPr>
        <w:t xml:space="preserve"> (5.0m)</w:t>
      </w:r>
      <w:r w:rsidRPr="006601C6">
        <w:rPr>
          <w:sz w:val="20"/>
        </w:rPr>
        <w:t>, (K) Osteichthyes</w:t>
      </w:r>
      <w:r w:rsidR="000C455D">
        <w:rPr>
          <w:sz w:val="20"/>
        </w:rPr>
        <w:t xml:space="preserve"> mtp</w:t>
      </w:r>
      <w:r w:rsidR="00416B1A">
        <w:rPr>
          <w:sz w:val="20"/>
        </w:rPr>
        <w:t xml:space="preserve"> (10.3m)</w:t>
      </w:r>
      <w:r w:rsidRPr="006601C6">
        <w:rPr>
          <w:sz w:val="20"/>
        </w:rPr>
        <w:t>, (L) Polychaeta</w:t>
      </w:r>
      <w:r w:rsidR="000C455D">
        <w:rPr>
          <w:sz w:val="20"/>
        </w:rPr>
        <w:t xml:space="preserve"> mtp</w:t>
      </w:r>
      <w:r w:rsidR="00416B1A">
        <w:rPr>
          <w:sz w:val="20"/>
        </w:rPr>
        <w:t xml:space="preserve"> (5.1m)</w:t>
      </w:r>
      <w:r w:rsidRPr="006601C6">
        <w:rPr>
          <w:sz w:val="20"/>
        </w:rPr>
        <w:t>, (M) Porifera</w:t>
      </w:r>
      <w:r w:rsidR="000C455D">
        <w:rPr>
          <w:sz w:val="20"/>
        </w:rPr>
        <w:t xml:space="preserve"> mtp</w:t>
      </w:r>
      <w:r w:rsidR="00416B1A">
        <w:rPr>
          <w:sz w:val="20"/>
        </w:rPr>
        <w:t xml:space="preserve"> (5.3m)</w:t>
      </w:r>
      <w:r w:rsidRPr="006601C6">
        <w:rPr>
          <w:sz w:val="20"/>
        </w:rPr>
        <w:t>, (N) Xenophyophora (plate-like morphotype)</w:t>
      </w:r>
      <w:r w:rsidR="00416B1A">
        <w:rPr>
          <w:sz w:val="20"/>
        </w:rPr>
        <w:t xml:space="preserve"> (5.1m)</w:t>
      </w:r>
      <w:r w:rsidRPr="006601C6">
        <w:rPr>
          <w:sz w:val="20"/>
        </w:rPr>
        <w:t>, (O) Xenophyophora (reticulate morphotype)</w:t>
      </w:r>
      <w:r w:rsidR="00416B1A">
        <w:rPr>
          <w:sz w:val="20"/>
        </w:rPr>
        <w:t xml:space="preserve"> (5.5m)</w:t>
      </w:r>
      <w:r w:rsidRPr="006601C6">
        <w:rPr>
          <w:sz w:val="20"/>
        </w:rPr>
        <w:t xml:space="preserve">. </w:t>
      </w:r>
      <w:r w:rsidR="00062BD1">
        <w:rPr>
          <w:sz w:val="20"/>
        </w:rPr>
        <w:t>All s</w:t>
      </w:r>
      <w:r w:rsidR="00B72216">
        <w:rPr>
          <w:sz w:val="20"/>
        </w:rPr>
        <w:t xml:space="preserve">cale bars </w:t>
      </w:r>
      <w:r w:rsidR="001B7202">
        <w:rPr>
          <w:sz w:val="20"/>
        </w:rPr>
        <w:t>= 10 cm.</w:t>
      </w:r>
    </w:p>
    <w:p w14:paraId="1E3AD008" w14:textId="77777777" w:rsidR="00E61D5E" w:rsidRDefault="00E61D5E">
      <w:pPr>
        <w:spacing w:after="160" w:line="259" w:lineRule="auto"/>
        <w:jc w:val="left"/>
        <w:rPr>
          <w:lang w:val="en-GB"/>
        </w:rPr>
      </w:pPr>
    </w:p>
    <w:p w14:paraId="7640FD4A" w14:textId="39841D5B" w:rsidR="00E61D5E" w:rsidRDefault="00E61D5E" w:rsidP="00E61D5E">
      <w:pPr>
        <w:jc w:val="center"/>
        <w:rPr>
          <w:lang w:val="en-GB"/>
        </w:rPr>
      </w:pPr>
      <w:r>
        <w:rPr>
          <w:rFonts w:cs="Times New Roman"/>
          <w:noProof/>
          <w:color w:val="FF0000"/>
        </w:rPr>
        <w:lastRenderedPageBreak/>
        <w:drawing>
          <wp:inline distT="0" distB="0" distL="0" distR="0" wp14:anchorId="0D1C81F4" wp14:editId="19B222FE">
            <wp:extent cx="5760336" cy="44964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egafauna_taxon_composition_absolute_excl_Xeno.tiff"/>
                    <pic:cNvPicPr/>
                  </pic:nvPicPr>
                  <pic:blipFill>
                    <a:blip r:embed="rId21">
                      <a:extLst>
                        <a:ext uri="{28A0092B-C50C-407E-A947-70E740481C1C}">
                          <a14:useLocalDpi xmlns:a14="http://schemas.microsoft.com/office/drawing/2010/main" val="0"/>
                        </a:ext>
                      </a:extLst>
                    </a:blip>
                    <a:stretch>
                      <a:fillRect/>
                    </a:stretch>
                  </pic:blipFill>
                  <pic:spPr>
                    <a:xfrm>
                      <a:off x="0" y="0"/>
                      <a:ext cx="5760336" cy="4496435"/>
                    </a:xfrm>
                    <a:prstGeom prst="rect">
                      <a:avLst/>
                    </a:prstGeom>
                  </pic:spPr>
                </pic:pic>
              </a:graphicData>
            </a:graphic>
          </wp:inline>
        </w:drawing>
      </w:r>
    </w:p>
    <w:p w14:paraId="3D85000E" w14:textId="5D965F5E" w:rsidR="0091717C" w:rsidRPr="0091717C" w:rsidRDefault="0091717C" w:rsidP="0091717C">
      <w:pPr>
        <w:spacing w:after="160" w:line="259" w:lineRule="auto"/>
        <w:rPr>
          <w:rFonts w:cs="Times New Roman"/>
          <w:color w:val="FF0000"/>
          <w:sz w:val="20"/>
          <w:lang w:val="en-GB"/>
        </w:rPr>
      </w:pPr>
      <w:r w:rsidRPr="0091717C">
        <w:rPr>
          <w:rFonts w:cs="Times New Roman"/>
          <w:sz w:val="20"/>
          <w:lang w:val="en-GB"/>
        </w:rPr>
        <w:t xml:space="preserve">Figure 3. Megafauna taxon composition as observed from AUV images taken at an altitude &lt; 8m and &gt; 8m at sites B6S02 and B4S03 in the GSR </w:t>
      </w:r>
      <w:r w:rsidR="00B73220">
        <w:rPr>
          <w:lang w:val="en-GB"/>
        </w:rPr>
        <w:t>contract</w:t>
      </w:r>
      <w:r w:rsidRPr="0091717C">
        <w:rPr>
          <w:rFonts w:cs="Times New Roman"/>
          <w:sz w:val="20"/>
          <w:lang w:val="en-GB"/>
        </w:rPr>
        <w:t xml:space="preserve"> area. Per combination of site and altitude, 5 replicate sets of </w:t>
      </w:r>
      <w:r w:rsidR="00B34F9E">
        <w:rPr>
          <w:rFonts w:cs="Times New Roman"/>
          <w:sz w:val="20"/>
          <w:lang w:val="en-GB"/>
        </w:rPr>
        <w:t xml:space="preserve">50 </w:t>
      </w:r>
      <w:r w:rsidRPr="0091717C">
        <w:rPr>
          <w:rFonts w:cs="Times New Roman"/>
          <w:sz w:val="20"/>
          <w:lang w:val="en-GB"/>
        </w:rPr>
        <w:t>images</w:t>
      </w:r>
      <w:r w:rsidR="00B34F9E">
        <w:rPr>
          <w:rFonts w:cs="Times New Roman"/>
          <w:sz w:val="20"/>
          <w:lang w:val="en-GB"/>
        </w:rPr>
        <w:t xml:space="preserve"> (1,000 images in total)</w:t>
      </w:r>
      <w:r w:rsidRPr="0091717C">
        <w:rPr>
          <w:rFonts w:cs="Times New Roman"/>
          <w:sz w:val="20"/>
          <w:lang w:val="en-GB"/>
        </w:rPr>
        <w:t xml:space="preserve"> were annotated. Only higher taxa comprising ≥1% of the total megafauna density over the different sites and altitudes were included. Xenophyophora were not included since these </w:t>
      </w:r>
      <w:r w:rsidRPr="0091717C">
        <w:rPr>
          <w:sz w:val="20"/>
          <w:lang w:val="en-GB"/>
        </w:rPr>
        <w:t>megafauna-sized unicellular eukaryotes are generally not taken into account in deep-sea megafauna community studies. Unknown annotations were removed. Other taxa include Alcyonacea, Antipatharia, Asteroidea, Ceriantharia, Corallimorpharia, Crinoidea, Ctenophora, Decapoda, Hydrozoa, Mollusca, Osteichthyes, Other_Anthozoa, Other_Cnidaria, Pennatulacea, Scyphozoa.</w:t>
      </w:r>
    </w:p>
    <w:p w14:paraId="1C66F005" w14:textId="77777777" w:rsidR="0091717C" w:rsidRDefault="0091717C" w:rsidP="00E61D5E">
      <w:pPr>
        <w:jc w:val="center"/>
        <w:rPr>
          <w:lang w:val="en-GB"/>
        </w:rPr>
      </w:pPr>
    </w:p>
    <w:p w14:paraId="3B4D91AC" w14:textId="41BF2B62" w:rsidR="00A72219" w:rsidRPr="00FD3202" w:rsidRDefault="0030172B" w:rsidP="002E4372">
      <w:pPr>
        <w:rPr>
          <w:lang w:val="en-GB"/>
        </w:rPr>
      </w:pPr>
      <w:r>
        <w:rPr>
          <w:lang w:val="en-GB"/>
        </w:rPr>
        <w:t>Below 8m altitude, 987 individuals, belonging to 29 megafaunal taxa, were counted and annotated</w:t>
      </w:r>
      <w:r w:rsidR="00D67B74">
        <w:rPr>
          <w:lang w:val="en-GB"/>
        </w:rPr>
        <w:t xml:space="preserve"> on 500 images</w:t>
      </w:r>
      <w:r>
        <w:rPr>
          <w:lang w:val="en-GB"/>
        </w:rPr>
        <w:t xml:space="preserve">. </w:t>
      </w:r>
      <w:r w:rsidR="001673B9" w:rsidRPr="00FD3202">
        <w:rPr>
          <w:lang w:val="en-GB"/>
        </w:rPr>
        <w:t xml:space="preserve">The average </w:t>
      </w:r>
      <w:r w:rsidR="008046E9">
        <w:rPr>
          <w:lang w:val="en-GB"/>
        </w:rPr>
        <w:t>de</w:t>
      </w:r>
      <w:r w:rsidR="006F27F1">
        <w:rPr>
          <w:lang w:val="en-GB"/>
        </w:rPr>
        <w:t>n</w:t>
      </w:r>
      <w:r w:rsidR="008046E9">
        <w:rPr>
          <w:lang w:val="en-GB"/>
        </w:rPr>
        <w:t>s</w:t>
      </w:r>
      <w:r w:rsidR="0024551B">
        <w:rPr>
          <w:lang w:val="en-GB"/>
        </w:rPr>
        <w:t>ity</w:t>
      </w:r>
      <w:r w:rsidR="001673B9" w:rsidRPr="00FD3202">
        <w:rPr>
          <w:lang w:val="en-GB"/>
        </w:rPr>
        <w:t xml:space="preserve"> (</w:t>
      </w:r>
      <w:r w:rsidR="001673B9" w:rsidRPr="00FD3202">
        <w:rPr>
          <w:rFonts w:cs="Times New Roman"/>
          <w:lang w:val="en-GB"/>
        </w:rPr>
        <w:t>±</w:t>
      </w:r>
      <w:r w:rsidR="001673B9" w:rsidRPr="00FD3202">
        <w:rPr>
          <w:lang w:val="en-GB"/>
        </w:rPr>
        <w:t xml:space="preserve">SD) </w:t>
      </w:r>
      <w:r w:rsidR="00C20B84">
        <w:rPr>
          <w:lang w:val="en-GB"/>
        </w:rPr>
        <w:t>in site B6S02 (1</w:t>
      </w:r>
      <w:r w:rsidR="00F722D7">
        <w:rPr>
          <w:lang w:val="en-GB"/>
        </w:rPr>
        <w:t>,</w:t>
      </w:r>
      <w:r w:rsidR="00C20B84">
        <w:rPr>
          <w:lang w:val="en-GB"/>
        </w:rPr>
        <w:t xml:space="preserve">626 </w:t>
      </w:r>
      <w:r w:rsidR="00C20B84" w:rsidRPr="00FD3202">
        <w:rPr>
          <w:rFonts w:cs="Times New Roman"/>
          <w:lang w:val="en-GB"/>
        </w:rPr>
        <w:t>±</w:t>
      </w:r>
      <w:r w:rsidR="00C20B84">
        <w:rPr>
          <w:rFonts w:cs="Times New Roman"/>
          <w:lang w:val="en-GB"/>
        </w:rPr>
        <w:t xml:space="preserve"> </w:t>
      </w:r>
      <w:r w:rsidR="005A4550" w:rsidRPr="005A4550">
        <w:rPr>
          <w:rFonts w:cs="Times New Roman"/>
          <w:lang w:val="en-GB"/>
        </w:rPr>
        <w:t>268</w:t>
      </w:r>
      <w:r w:rsidR="00C20B84">
        <w:rPr>
          <w:rFonts w:cs="Times New Roman"/>
          <w:lang w:val="en-GB"/>
        </w:rPr>
        <w:t xml:space="preserve"> </w:t>
      </w:r>
      <w:r w:rsidR="00C20B84" w:rsidRPr="00FD3202">
        <w:rPr>
          <w:lang w:val="en-GB"/>
        </w:rPr>
        <w:t>ind.</w:t>
      </w:r>
      <w:r w:rsidR="0054229F">
        <w:rPr>
          <w:lang w:val="en-GB"/>
        </w:rPr>
        <w:t xml:space="preserve"> </w:t>
      </w:r>
      <w:r w:rsidR="00C20B84" w:rsidRPr="00FD3202">
        <w:rPr>
          <w:lang w:val="en-GB"/>
        </w:rPr>
        <w:t>ha</w:t>
      </w:r>
      <w:r w:rsidR="00C20B84" w:rsidRPr="00FD3202">
        <w:rPr>
          <w:vertAlign w:val="superscript"/>
          <w:lang w:val="en-GB"/>
        </w:rPr>
        <w:t>-1</w:t>
      </w:r>
      <w:r w:rsidR="00C20B84">
        <w:rPr>
          <w:lang w:val="en-GB"/>
        </w:rPr>
        <w:t xml:space="preserve">) </w:t>
      </w:r>
      <w:r w:rsidR="0024551B">
        <w:rPr>
          <w:lang w:val="en-GB"/>
        </w:rPr>
        <w:t>and site B4S03 (1</w:t>
      </w:r>
      <w:r w:rsidR="00F722D7">
        <w:rPr>
          <w:lang w:val="en-GB"/>
        </w:rPr>
        <w:t>,</w:t>
      </w:r>
      <w:r w:rsidR="0024551B">
        <w:rPr>
          <w:lang w:val="en-GB"/>
        </w:rPr>
        <w:t xml:space="preserve">726 </w:t>
      </w:r>
      <w:r w:rsidR="0024551B" w:rsidRPr="00FD3202">
        <w:rPr>
          <w:rFonts w:cs="Times New Roman"/>
          <w:lang w:val="en-GB"/>
        </w:rPr>
        <w:t>±</w:t>
      </w:r>
      <w:r w:rsidR="0024551B">
        <w:rPr>
          <w:rFonts w:cs="Times New Roman"/>
          <w:lang w:val="en-GB"/>
        </w:rPr>
        <w:t xml:space="preserve"> </w:t>
      </w:r>
      <w:r w:rsidR="0024551B" w:rsidRPr="005A4550">
        <w:rPr>
          <w:rFonts w:cs="Times New Roman"/>
          <w:lang w:val="en-GB"/>
        </w:rPr>
        <w:t>166</w:t>
      </w:r>
      <w:r w:rsidR="0024551B">
        <w:rPr>
          <w:rFonts w:cs="Times New Roman"/>
          <w:lang w:val="en-GB"/>
        </w:rPr>
        <w:t xml:space="preserve"> </w:t>
      </w:r>
      <w:r w:rsidR="0024551B" w:rsidRPr="00FD3202">
        <w:rPr>
          <w:lang w:val="en-GB"/>
        </w:rPr>
        <w:t>ind.</w:t>
      </w:r>
      <w:r w:rsidR="0054229F">
        <w:rPr>
          <w:lang w:val="en-GB"/>
        </w:rPr>
        <w:t xml:space="preserve"> </w:t>
      </w:r>
      <w:r w:rsidR="0024551B" w:rsidRPr="00FD3202">
        <w:rPr>
          <w:lang w:val="en-GB"/>
        </w:rPr>
        <w:t>ha</w:t>
      </w:r>
      <w:r w:rsidR="0024551B" w:rsidRPr="00FD3202">
        <w:rPr>
          <w:vertAlign w:val="superscript"/>
          <w:lang w:val="en-GB"/>
        </w:rPr>
        <w:t>-1</w:t>
      </w:r>
      <w:r w:rsidR="0024551B">
        <w:rPr>
          <w:lang w:val="en-GB"/>
        </w:rPr>
        <w:t>) was</w:t>
      </w:r>
      <w:r w:rsidR="001673B9" w:rsidRPr="00FD3202">
        <w:rPr>
          <w:lang w:val="en-GB"/>
        </w:rPr>
        <w:t xml:space="preserve"> </w:t>
      </w:r>
      <w:r w:rsidR="00C20B84">
        <w:rPr>
          <w:lang w:val="en-GB"/>
        </w:rPr>
        <w:t xml:space="preserve">not </w:t>
      </w:r>
      <w:r w:rsidR="001673B9" w:rsidRPr="00FD3202">
        <w:rPr>
          <w:lang w:val="en-GB"/>
        </w:rPr>
        <w:t xml:space="preserve">significantly </w:t>
      </w:r>
      <w:r w:rsidR="0024551B">
        <w:rPr>
          <w:lang w:val="en-GB"/>
        </w:rPr>
        <w:t>different</w:t>
      </w:r>
      <w:r w:rsidR="00C20B84">
        <w:rPr>
          <w:lang w:val="en-GB"/>
        </w:rPr>
        <w:t xml:space="preserve"> </w:t>
      </w:r>
      <w:r w:rsidR="00A8298D" w:rsidRPr="00FD3202">
        <w:rPr>
          <w:lang w:val="en-GB"/>
        </w:rPr>
        <w:t>(</w:t>
      </w:r>
      <w:r w:rsidR="00D53050">
        <w:rPr>
          <w:lang w:val="en-GB"/>
        </w:rPr>
        <w:t>t-test:</w:t>
      </w:r>
      <w:r w:rsidR="00A8298D" w:rsidRPr="00FD3202">
        <w:rPr>
          <w:lang w:val="en-GB"/>
        </w:rPr>
        <w:t xml:space="preserve"> </w:t>
      </w:r>
      <w:r w:rsidR="00D53050">
        <w:rPr>
          <w:lang w:val="en-GB"/>
        </w:rPr>
        <w:t>t</w:t>
      </w:r>
      <w:r w:rsidR="00C20B84">
        <w:rPr>
          <w:vertAlign w:val="subscript"/>
          <w:lang w:val="en-GB"/>
        </w:rPr>
        <w:t>8</w:t>
      </w:r>
      <w:r w:rsidR="00A8298D" w:rsidRPr="00FD3202">
        <w:rPr>
          <w:lang w:val="en-GB"/>
        </w:rPr>
        <w:t xml:space="preserve"> = </w:t>
      </w:r>
      <w:r w:rsidR="00D53050">
        <w:rPr>
          <w:lang w:val="en-GB"/>
        </w:rPr>
        <w:t>-</w:t>
      </w:r>
      <w:r w:rsidR="00C20B84">
        <w:rPr>
          <w:lang w:val="en-GB"/>
        </w:rPr>
        <w:t>0.</w:t>
      </w:r>
      <w:r w:rsidR="00D53050">
        <w:rPr>
          <w:lang w:val="en-GB"/>
        </w:rPr>
        <w:t>71</w:t>
      </w:r>
      <w:r w:rsidR="00A8298D" w:rsidRPr="00FD3202">
        <w:rPr>
          <w:lang w:val="en-GB"/>
        </w:rPr>
        <w:t xml:space="preserve">, </w:t>
      </w:r>
      <w:r w:rsidR="00A8298D" w:rsidRPr="00FD3202">
        <w:rPr>
          <w:i/>
          <w:lang w:val="en-GB"/>
        </w:rPr>
        <w:t>p</w:t>
      </w:r>
      <w:r w:rsidR="00A8298D" w:rsidRPr="00FD3202">
        <w:rPr>
          <w:lang w:val="en-GB"/>
        </w:rPr>
        <w:t xml:space="preserve"> = </w:t>
      </w:r>
      <w:r w:rsidR="00C20B84">
        <w:rPr>
          <w:lang w:val="en-GB"/>
        </w:rPr>
        <w:t>0.4992</w:t>
      </w:r>
      <w:r w:rsidR="00732EED" w:rsidRPr="00FD3202">
        <w:rPr>
          <w:lang w:val="en-GB"/>
        </w:rPr>
        <w:t>)</w:t>
      </w:r>
      <w:r w:rsidR="0024551B" w:rsidRPr="00072828">
        <w:rPr>
          <w:lang w:val="en-GB"/>
        </w:rPr>
        <w:t>.</w:t>
      </w:r>
      <w:r w:rsidR="0024551B">
        <w:rPr>
          <w:lang w:val="en-GB"/>
        </w:rPr>
        <w:t xml:space="preserve"> </w:t>
      </w:r>
      <w:r w:rsidR="00253E10">
        <w:rPr>
          <w:lang w:val="en-GB"/>
        </w:rPr>
        <w:t>Total megafauna densities showed a strongly significant, positive correlation with nodule coverage</w:t>
      </w:r>
      <w:r w:rsidR="009E3556">
        <w:rPr>
          <w:lang w:val="en-GB"/>
        </w:rPr>
        <w:t xml:space="preserve"> </w:t>
      </w:r>
      <w:r w:rsidR="00253E10">
        <w:rPr>
          <w:lang w:val="en-GB"/>
        </w:rPr>
        <w:t xml:space="preserve">(Spearman-Rank, R = 0.21, p &lt; 0.001). </w:t>
      </w:r>
      <w:r w:rsidR="001D1C5A" w:rsidRPr="00FD3202">
        <w:rPr>
          <w:lang w:val="en-GB"/>
        </w:rPr>
        <w:t xml:space="preserve">The megafaunal community </w:t>
      </w:r>
      <w:r w:rsidR="00900245">
        <w:rPr>
          <w:lang w:val="en-GB"/>
        </w:rPr>
        <w:t>below 8m over the two sites</w:t>
      </w:r>
      <w:r w:rsidR="001D1C5A" w:rsidRPr="00FD3202">
        <w:rPr>
          <w:lang w:val="en-GB"/>
        </w:rPr>
        <w:t xml:space="preserve"> wa</w:t>
      </w:r>
      <w:r w:rsidR="00FB45DB">
        <w:rPr>
          <w:lang w:val="en-GB"/>
        </w:rPr>
        <w:t>s dominated by Ophiuroidea (31.8%), Echinoidea (25.1%), Actiniaria (14.5</w:t>
      </w:r>
      <w:r w:rsidR="001D1C5A" w:rsidRPr="00FD3202">
        <w:rPr>
          <w:lang w:val="en-GB"/>
        </w:rPr>
        <w:t>%), Polychaeta (</w:t>
      </w:r>
      <w:r w:rsidR="00FB45DB">
        <w:rPr>
          <w:lang w:val="en-GB"/>
        </w:rPr>
        <w:t>10</w:t>
      </w:r>
      <w:r w:rsidR="001D1C5A" w:rsidRPr="00FD3202">
        <w:rPr>
          <w:lang w:val="en-GB"/>
        </w:rPr>
        <w:t>.</w:t>
      </w:r>
      <w:r w:rsidR="00FB45DB">
        <w:rPr>
          <w:lang w:val="en-GB"/>
        </w:rPr>
        <w:t>1</w:t>
      </w:r>
      <w:r w:rsidR="001D1C5A" w:rsidRPr="00FD3202">
        <w:rPr>
          <w:lang w:val="en-GB"/>
        </w:rPr>
        <w:t>%), Porifera (</w:t>
      </w:r>
      <w:r w:rsidR="00FB45DB">
        <w:rPr>
          <w:lang w:val="en-GB"/>
        </w:rPr>
        <w:t>4.9</w:t>
      </w:r>
      <w:r w:rsidR="001D1C5A" w:rsidRPr="00FD3202">
        <w:rPr>
          <w:lang w:val="en-GB"/>
        </w:rPr>
        <w:t xml:space="preserve">%) and </w:t>
      </w:r>
      <w:r w:rsidR="00FB45DB">
        <w:rPr>
          <w:lang w:val="en-GB"/>
        </w:rPr>
        <w:t>Decapoda</w:t>
      </w:r>
      <w:r w:rsidR="001D1C5A" w:rsidRPr="00FD3202">
        <w:rPr>
          <w:lang w:val="en-GB"/>
        </w:rPr>
        <w:t xml:space="preserve"> (</w:t>
      </w:r>
      <w:r w:rsidR="00FB45DB">
        <w:rPr>
          <w:lang w:val="en-GB"/>
        </w:rPr>
        <w:t>3.5</w:t>
      </w:r>
      <w:r w:rsidR="001D1C5A" w:rsidRPr="00FD3202">
        <w:rPr>
          <w:lang w:val="en-GB"/>
        </w:rPr>
        <w:t>%). T</w:t>
      </w:r>
      <w:r w:rsidR="00FB45DB">
        <w:rPr>
          <w:lang w:val="en-GB"/>
        </w:rPr>
        <w:t>he remaining taxa comprised 10.1</w:t>
      </w:r>
      <w:r w:rsidR="001D1C5A" w:rsidRPr="00FD3202">
        <w:rPr>
          <w:lang w:val="en-GB"/>
        </w:rPr>
        <w:t xml:space="preserve">% of the total megafaunal </w:t>
      </w:r>
      <w:r w:rsidR="006F27F1">
        <w:rPr>
          <w:lang w:val="en-GB"/>
        </w:rPr>
        <w:t>density</w:t>
      </w:r>
      <w:r w:rsidR="00FB45DB">
        <w:rPr>
          <w:lang w:val="en-GB"/>
        </w:rPr>
        <w:t>.</w:t>
      </w:r>
    </w:p>
    <w:p w14:paraId="2C636BB6" w14:textId="650BFE65" w:rsidR="00253E10" w:rsidRDefault="00191AAC" w:rsidP="002E4372">
      <w:r w:rsidRPr="00FD3202">
        <w:rPr>
          <w:lang w:val="en-GB"/>
        </w:rPr>
        <w:lastRenderedPageBreak/>
        <w:t xml:space="preserve">Multivariate analysis on the </w:t>
      </w:r>
      <w:r w:rsidR="00FF2703" w:rsidRPr="00FD3202">
        <w:rPr>
          <w:lang w:val="en-GB"/>
        </w:rPr>
        <w:t xml:space="preserve">lowest identifiable taxon level </w:t>
      </w:r>
      <w:r w:rsidR="00FF2703">
        <w:rPr>
          <w:lang w:val="en-GB"/>
        </w:rPr>
        <w:t xml:space="preserve">revealed that the </w:t>
      </w:r>
      <w:r w:rsidR="00747182" w:rsidRPr="00FD3202">
        <w:rPr>
          <w:lang w:val="en-GB"/>
        </w:rPr>
        <w:t xml:space="preserve">megafaunal community composition </w:t>
      </w:r>
      <w:r w:rsidR="00FF2703">
        <w:rPr>
          <w:lang w:val="en-GB"/>
        </w:rPr>
        <w:t xml:space="preserve">was significantly </w:t>
      </w:r>
      <w:r w:rsidR="00F00712">
        <w:rPr>
          <w:lang w:val="en-GB"/>
        </w:rPr>
        <w:t>different between</w:t>
      </w:r>
      <w:r w:rsidR="00FF2703">
        <w:rPr>
          <w:lang w:val="en-GB"/>
        </w:rPr>
        <w:t xml:space="preserve"> </w:t>
      </w:r>
      <w:r w:rsidR="00F00712">
        <w:rPr>
          <w:lang w:val="en-GB"/>
        </w:rPr>
        <w:t xml:space="preserve">sites </w:t>
      </w:r>
      <w:r w:rsidR="00FF2703">
        <w:rPr>
          <w:lang w:val="en-GB"/>
        </w:rPr>
        <w:t>B6S02 and B4S03</w:t>
      </w:r>
      <w:r w:rsidRPr="00FD3202">
        <w:rPr>
          <w:lang w:val="en-GB"/>
        </w:rPr>
        <w:t xml:space="preserve"> (</w:t>
      </w:r>
      <w:r w:rsidR="00FF2703">
        <w:rPr>
          <w:lang w:val="en-GB"/>
        </w:rPr>
        <w:t>1</w:t>
      </w:r>
      <w:r w:rsidRPr="00FD3202">
        <w:rPr>
          <w:lang w:val="en-GB"/>
        </w:rPr>
        <w:t>-factor PERMANOVA, pseudo-</w:t>
      </w:r>
      <w:r w:rsidRPr="00FD3202">
        <w:rPr>
          <w:i/>
          <w:lang w:val="en-GB"/>
        </w:rPr>
        <w:t>F</w:t>
      </w:r>
      <w:r w:rsidR="00FF2703">
        <w:rPr>
          <w:vertAlign w:val="subscript"/>
          <w:lang w:val="en-GB"/>
        </w:rPr>
        <w:t>1,9</w:t>
      </w:r>
      <w:r w:rsidRPr="00FD3202">
        <w:rPr>
          <w:lang w:val="en-GB"/>
        </w:rPr>
        <w:t xml:space="preserve"> = </w:t>
      </w:r>
      <w:r w:rsidR="00FF2703">
        <w:rPr>
          <w:lang w:val="en-GB"/>
        </w:rPr>
        <w:t>8.3554</w:t>
      </w:r>
      <w:r w:rsidRPr="00FD3202">
        <w:rPr>
          <w:lang w:val="en-GB"/>
        </w:rPr>
        <w:t xml:space="preserve">, </w:t>
      </w:r>
      <w:r w:rsidRPr="00FD3202">
        <w:rPr>
          <w:i/>
          <w:lang w:val="en-GB"/>
        </w:rPr>
        <w:t>p</w:t>
      </w:r>
      <w:r w:rsidRPr="00FD3202">
        <w:rPr>
          <w:vertAlign w:val="subscript"/>
          <w:lang w:val="en-GB"/>
        </w:rPr>
        <w:t>PERM</w:t>
      </w:r>
      <w:r w:rsidRPr="00FD3202">
        <w:rPr>
          <w:lang w:val="en-GB"/>
        </w:rPr>
        <w:t xml:space="preserve"> = 0.00</w:t>
      </w:r>
      <w:r w:rsidR="00FF2703">
        <w:rPr>
          <w:lang w:val="en-GB"/>
        </w:rPr>
        <w:t>66</w:t>
      </w:r>
      <w:r w:rsidRPr="00FD3202">
        <w:rPr>
          <w:lang w:val="en-GB"/>
        </w:rPr>
        <w:t>).</w:t>
      </w:r>
      <w:r w:rsidR="00CC0E39" w:rsidRPr="00FD3202">
        <w:rPr>
          <w:lang w:val="en-GB"/>
        </w:rPr>
        <w:t xml:space="preserve"> </w:t>
      </w:r>
      <w:r w:rsidR="0057655B">
        <w:rPr>
          <w:lang w:val="en-GB"/>
        </w:rPr>
        <w:t xml:space="preserve">A SIMPER analysis showed that the five taxa that contributed most to this dissimilarity between sites were the </w:t>
      </w:r>
      <w:r w:rsidR="0057655B" w:rsidRPr="0057655B">
        <w:rPr>
          <w:lang w:val="en-GB"/>
        </w:rPr>
        <w:t>Aspidodiadematidae</w:t>
      </w:r>
      <w:r w:rsidR="006E31A6">
        <w:rPr>
          <w:lang w:val="en-GB"/>
        </w:rPr>
        <w:t xml:space="preserve"> </w:t>
      </w:r>
      <w:r w:rsidR="006E31A6" w:rsidRPr="00700B09">
        <w:rPr>
          <w:i/>
          <w:lang w:val="en-GB"/>
        </w:rPr>
        <w:t>mtps</w:t>
      </w:r>
      <w:r w:rsidR="0057655B">
        <w:rPr>
          <w:lang w:val="en-GB"/>
        </w:rPr>
        <w:t xml:space="preserve"> (more abundant at B4S03</w:t>
      </w:r>
      <w:r w:rsidR="00C045E7">
        <w:rPr>
          <w:lang w:val="en-GB"/>
        </w:rPr>
        <w:t>; contribution</w:t>
      </w:r>
      <w:r w:rsidR="00F722D7">
        <w:rPr>
          <w:lang w:val="en-GB"/>
        </w:rPr>
        <w:t xml:space="preserve"> to dissimilarity of 34.8</w:t>
      </w:r>
      <w:r w:rsidR="0057655B">
        <w:rPr>
          <w:lang w:val="en-GB"/>
        </w:rPr>
        <w:t>%), Ophiuroidea</w:t>
      </w:r>
      <w:r w:rsidR="006E31A6">
        <w:rPr>
          <w:lang w:val="en-GB"/>
        </w:rPr>
        <w:t xml:space="preserve"> </w:t>
      </w:r>
      <w:r w:rsidR="006E31A6" w:rsidRPr="0016473F">
        <w:rPr>
          <w:i/>
          <w:lang w:val="en-GB"/>
        </w:rPr>
        <w:t>mtps</w:t>
      </w:r>
      <w:r w:rsidR="0057655B">
        <w:rPr>
          <w:lang w:val="en-GB"/>
        </w:rPr>
        <w:t xml:space="preserve"> (more abundant at B6S02; 16.6%), Polychaeta</w:t>
      </w:r>
      <w:r w:rsidR="006E31A6">
        <w:rPr>
          <w:lang w:val="en-GB"/>
        </w:rPr>
        <w:t xml:space="preserve"> </w:t>
      </w:r>
      <w:r w:rsidR="006E31A6" w:rsidRPr="0016473F">
        <w:rPr>
          <w:i/>
          <w:lang w:val="en-GB"/>
        </w:rPr>
        <w:t>mtps</w:t>
      </w:r>
      <w:r w:rsidR="0057655B">
        <w:rPr>
          <w:lang w:val="en-GB"/>
        </w:rPr>
        <w:t xml:space="preserve"> (</w:t>
      </w:r>
      <w:r w:rsidR="003D0728">
        <w:rPr>
          <w:lang w:val="en-GB"/>
        </w:rPr>
        <w:t>more abundant at B6S02; 8.8%</w:t>
      </w:r>
      <w:r w:rsidR="0057655B">
        <w:rPr>
          <w:lang w:val="en-GB"/>
        </w:rPr>
        <w:t>), Actin</w:t>
      </w:r>
      <w:r w:rsidR="003D0728">
        <w:rPr>
          <w:lang w:val="en-GB"/>
        </w:rPr>
        <w:t>i</w:t>
      </w:r>
      <w:r w:rsidR="0057655B">
        <w:rPr>
          <w:lang w:val="en-GB"/>
        </w:rPr>
        <w:t>aria</w:t>
      </w:r>
      <w:r w:rsidR="006E31A6">
        <w:rPr>
          <w:lang w:val="en-GB"/>
        </w:rPr>
        <w:t xml:space="preserve"> </w:t>
      </w:r>
      <w:r w:rsidR="006E31A6" w:rsidRPr="0016473F">
        <w:rPr>
          <w:i/>
          <w:lang w:val="en-GB"/>
        </w:rPr>
        <w:t>mtps</w:t>
      </w:r>
      <w:r w:rsidR="003D0728">
        <w:rPr>
          <w:lang w:val="en-GB"/>
        </w:rPr>
        <w:t xml:space="preserve"> (more abundant at B4S03; 8.1%)</w:t>
      </w:r>
      <w:r w:rsidR="0057655B">
        <w:rPr>
          <w:lang w:val="en-GB"/>
        </w:rPr>
        <w:t xml:space="preserve"> and Porifera</w:t>
      </w:r>
      <w:r w:rsidR="006E31A6">
        <w:rPr>
          <w:lang w:val="en-GB"/>
        </w:rPr>
        <w:t xml:space="preserve"> </w:t>
      </w:r>
      <w:r w:rsidR="006E31A6" w:rsidRPr="0016473F">
        <w:rPr>
          <w:i/>
          <w:lang w:val="en-GB"/>
        </w:rPr>
        <w:t>mtps</w:t>
      </w:r>
      <w:r w:rsidR="003D0728">
        <w:rPr>
          <w:lang w:val="en-GB"/>
        </w:rPr>
        <w:t xml:space="preserve"> (more abundant at B6S02; 3.9%)</w:t>
      </w:r>
      <w:r w:rsidR="0057655B">
        <w:rPr>
          <w:lang w:val="en-GB"/>
        </w:rPr>
        <w:t xml:space="preserve">. </w:t>
      </w:r>
      <w:r w:rsidR="00747182" w:rsidRPr="00F00712">
        <w:t xml:space="preserve">The PCO analyses </w:t>
      </w:r>
      <w:r w:rsidR="0043412B" w:rsidRPr="0043412B">
        <w:t>showed a clear separation</w:t>
      </w:r>
      <w:r w:rsidR="0043412B">
        <w:t xml:space="preserve"> with PCO1 explaining 58% of the total variation in the resemblance matrix and separating B6S02 and B4S03 sample sets.</w:t>
      </w:r>
    </w:p>
    <w:p w14:paraId="1A494FF5" w14:textId="77777777" w:rsidR="005676DF" w:rsidRPr="00C106E2" w:rsidRDefault="005676DF" w:rsidP="00945F29">
      <w:pPr>
        <w:pStyle w:val="Kop2"/>
      </w:pPr>
      <w:r w:rsidRPr="00C106E2">
        <w:t>Annotation data quality control</w:t>
      </w:r>
    </w:p>
    <w:p w14:paraId="0152CC1F" w14:textId="1B4711B5" w:rsidR="00700B09" w:rsidRDefault="005676DF" w:rsidP="005676DF">
      <w:pPr>
        <w:rPr>
          <w:lang w:val="en-GB"/>
        </w:rPr>
      </w:pPr>
      <w:r w:rsidRPr="00FD3202">
        <w:rPr>
          <w:lang w:val="en-GB"/>
        </w:rPr>
        <w:t>In the 200 randomly selected images, the two observers made 3</w:t>
      </w:r>
      <w:r>
        <w:rPr>
          <w:lang w:val="en-GB"/>
        </w:rPr>
        <w:t>,</w:t>
      </w:r>
      <w:r w:rsidRPr="00FD3202">
        <w:rPr>
          <w:lang w:val="en-GB"/>
        </w:rPr>
        <w:t>993 annotations. 48.8% of the individuals (1</w:t>
      </w:r>
      <w:r>
        <w:rPr>
          <w:lang w:val="en-GB"/>
        </w:rPr>
        <w:t>,</w:t>
      </w:r>
      <w:r w:rsidRPr="00FD3202">
        <w:rPr>
          <w:lang w:val="en-GB"/>
        </w:rPr>
        <w:t>947 individuals) was detected by both observers, whereas 51.2% (2</w:t>
      </w:r>
      <w:r>
        <w:rPr>
          <w:lang w:val="en-GB"/>
        </w:rPr>
        <w:t>,</w:t>
      </w:r>
      <w:r w:rsidRPr="00FD3202">
        <w:rPr>
          <w:lang w:val="en-GB"/>
        </w:rPr>
        <w:t>046 individuals) was detected by only one of the two observers, with 25% (1</w:t>
      </w:r>
      <w:r>
        <w:rPr>
          <w:lang w:val="en-GB"/>
        </w:rPr>
        <w:t>,</w:t>
      </w:r>
      <w:r w:rsidRPr="00FD3202">
        <w:rPr>
          <w:lang w:val="en-GB"/>
        </w:rPr>
        <w:t>000 individuals) and 26.2% (1</w:t>
      </w:r>
      <w:r>
        <w:rPr>
          <w:lang w:val="en-GB"/>
        </w:rPr>
        <w:t>,</w:t>
      </w:r>
      <w:r w:rsidRPr="00FD3202">
        <w:rPr>
          <w:lang w:val="en-GB"/>
        </w:rPr>
        <w:t xml:space="preserve">046 individuals) only annotated by observer 1 and 2, respectively. </w:t>
      </w:r>
      <w:r>
        <w:rPr>
          <w:lang w:val="en-GB"/>
        </w:rPr>
        <w:t xml:space="preserve">The detection success was consistent between the two observers (75.0% vs. 73.8%), with a mean detection success of 74.4%. </w:t>
      </w:r>
      <w:r w:rsidRPr="00FD3202">
        <w:rPr>
          <w:lang w:val="en-GB"/>
        </w:rPr>
        <w:t>The megafauna detected by only one of the two observers comprised mainly ‘unknowns’ (42.3%, 865 individuals) and Xenophyophora (47.9%, 982 individuals). If an organism was detected by both observers, the observers labelled it identically in 89.7% of the cases (1</w:t>
      </w:r>
      <w:r>
        <w:rPr>
          <w:lang w:val="en-GB"/>
        </w:rPr>
        <w:t>,</w:t>
      </w:r>
      <w:r w:rsidRPr="00FD3202">
        <w:rPr>
          <w:lang w:val="en-GB"/>
        </w:rPr>
        <w:t>747 out of 1</w:t>
      </w:r>
      <w:r>
        <w:rPr>
          <w:lang w:val="en-GB"/>
        </w:rPr>
        <w:t>,</w:t>
      </w:r>
      <w:r w:rsidRPr="00FD3202">
        <w:rPr>
          <w:lang w:val="en-GB"/>
        </w:rPr>
        <w:t>947 detected individuals). The 10.2% differently labelled organisms (200 out of 1947 detected individuals) consisted mainly of Xenophyophora (32%), ‘unknowns’ (13.5%), and sponges (11</w:t>
      </w:r>
      <w:r w:rsidRPr="004C2B8B">
        <w:rPr>
          <w:lang w:val="en-GB"/>
        </w:rPr>
        <w:t xml:space="preserve">%). If Xenophyophora and unknowns were removed, the two observers labelled </w:t>
      </w:r>
      <w:r w:rsidRPr="001972E2">
        <w:rPr>
          <w:lang w:val="en-GB"/>
        </w:rPr>
        <w:t>21</w:t>
      </w:r>
      <w:r w:rsidRPr="004C2B8B">
        <w:rPr>
          <w:lang w:val="en-GB"/>
        </w:rPr>
        <w:t xml:space="preserve">% (109 out of </w:t>
      </w:r>
      <w:r>
        <w:rPr>
          <w:lang w:val="en-GB"/>
        </w:rPr>
        <w:t>517</w:t>
      </w:r>
      <w:r w:rsidRPr="004C2B8B">
        <w:rPr>
          <w:lang w:val="en-GB"/>
        </w:rPr>
        <w:t xml:space="preserve"> individuals) of the mutually detected organisms differently</w:t>
      </w:r>
      <w:r>
        <w:rPr>
          <w:lang w:val="en-GB"/>
        </w:rPr>
        <w:t>, yielding a classification success of 79%.</w:t>
      </w:r>
    </w:p>
    <w:p w14:paraId="107F15D0" w14:textId="77777777" w:rsidR="00700B09" w:rsidRDefault="00700B09">
      <w:pPr>
        <w:spacing w:after="160" w:line="259" w:lineRule="auto"/>
        <w:jc w:val="left"/>
        <w:rPr>
          <w:lang w:val="en-GB"/>
        </w:rPr>
      </w:pPr>
      <w:r>
        <w:rPr>
          <w:lang w:val="en-GB"/>
        </w:rPr>
        <w:br w:type="page"/>
      </w:r>
    </w:p>
    <w:p w14:paraId="35820A16" w14:textId="42E04F10" w:rsidR="00676A30" w:rsidRDefault="00EA51A9" w:rsidP="006601C6">
      <w:pPr>
        <w:pStyle w:val="Kop1"/>
      </w:pPr>
      <w:r w:rsidRPr="00FD3202">
        <w:lastRenderedPageBreak/>
        <w:t>Discussion</w:t>
      </w:r>
    </w:p>
    <w:p w14:paraId="175E1F6E" w14:textId="77777777" w:rsidR="006601C6" w:rsidRPr="006601C6" w:rsidRDefault="006601C6" w:rsidP="006601C6">
      <w:pPr>
        <w:pStyle w:val="ListParagraph"/>
        <w:numPr>
          <w:ilvl w:val="0"/>
          <w:numId w:val="25"/>
        </w:numPr>
        <w:rPr>
          <w:rFonts w:cs="Times New Roman"/>
          <w:vanish/>
          <w:lang w:val="en-GB"/>
        </w:rPr>
      </w:pPr>
    </w:p>
    <w:p w14:paraId="32460157" w14:textId="4D0D6EBD" w:rsidR="001C7619" w:rsidRPr="00C106E2" w:rsidRDefault="00367D17" w:rsidP="006601C6">
      <w:pPr>
        <w:pStyle w:val="Kop2"/>
      </w:pPr>
      <w:r>
        <w:t>D</w:t>
      </w:r>
      <w:r w:rsidR="001C7619" w:rsidRPr="00C106E2">
        <w:t>ata quality control</w:t>
      </w:r>
    </w:p>
    <w:p w14:paraId="18F520F4" w14:textId="630A553C" w:rsidR="000255BD" w:rsidRDefault="00BE50F5" w:rsidP="000255BD">
      <w:pPr>
        <w:rPr>
          <w:lang w:val="en-GB"/>
        </w:rPr>
      </w:pPr>
      <w:r w:rsidRPr="000255BD">
        <w:rPr>
          <w:lang w:val="en-GB"/>
        </w:rPr>
        <w:t xml:space="preserve">The </w:t>
      </w:r>
      <w:r>
        <w:rPr>
          <w:lang w:val="en-GB"/>
        </w:rPr>
        <w:t xml:space="preserve">majority </w:t>
      </w:r>
      <w:r w:rsidRPr="000255BD">
        <w:rPr>
          <w:lang w:val="en-GB"/>
        </w:rPr>
        <w:t>of</w:t>
      </w:r>
      <w:r>
        <w:rPr>
          <w:lang w:val="en-GB"/>
        </w:rPr>
        <w:t xml:space="preserve"> </w:t>
      </w:r>
      <w:r w:rsidRPr="000255BD">
        <w:rPr>
          <w:lang w:val="en-GB"/>
        </w:rPr>
        <w:t>observations</w:t>
      </w:r>
      <w:r>
        <w:rPr>
          <w:lang w:val="en-GB"/>
        </w:rPr>
        <w:t xml:space="preserve"> in this study reflect morphotypes</w:t>
      </w:r>
      <w:r w:rsidR="00DB4E33">
        <w:rPr>
          <w:lang w:val="en-GB"/>
        </w:rPr>
        <w:t xml:space="preserve"> because the identification of </w:t>
      </w:r>
      <w:r w:rsidR="00805D64">
        <w:rPr>
          <w:lang w:val="en-GB"/>
        </w:rPr>
        <w:t xml:space="preserve">deep-sea </w:t>
      </w:r>
      <w:r w:rsidR="00DB4E33">
        <w:rPr>
          <w:lang w:val="en-GB"/>
        </w:rPr>
        <w:t xml:space="preserve">species from imagery is </w:t>
      </w:r>
      <w:r w:rsidR="00025397">
        <w:rPr>
          <w:lang w:val="en-GB"/>
        </w:rPr>
        <w:t>typically constrained by the image resolution, and</w:t>
      </w:r>
      <w:r w:rsidR="00DB4E33">
        <w:rPr>
          <w:lang w:val="en-GB"/>
        </w:rPr>
        <w:t xml:space="preserve"> </w:t>
      </w:r>
      <w:r w:rsidR="00BC03A9">
        <w:rPr>
          <w:lang w:val="en-GB"/>
        </w:rPr>
        <w:t xml:space="preserve">is </w:t>
      </w:r>
      <w:r w:rsidR="00DB4E33">
        <w:rPr>
          <w:lang w:val="en-GB"/>
        </w:rPr>
        <w:t>uncertain</w:t>
      </w:r>
      <w:r w:rsidR="00025397">
        <w:rPr>
          <w:lang w:val="en-GB"/>
        </w:rPr>
        <w:t xml:space="preserve"> as key morphological features required for positive identification can often only be resolved based on collected material (e.g. ventral morphology of the oral disc in ophiuroids; shape of spicules in holothuroidea and sponge taxa, etc.)</w:t>
      </w:r>
      <w:r>
        <w:rPr>
          <w:lang w:val="en-GB"/>
        </w:rPr>
        <w:t xml:space="preserve">. </w:t>
      </w:r>
      <w:r w:rsidR="00E21B5B">
        <w:rPr>
          <w:lang w:val="en-GB"/>
        </w:rPr>
        <w:t>F</w:t>
      </w:r>
      <w:r>
        <w:rPr>
          <w:lang w:val="en-GB"/>
        </w:rPr>
        <w:t xml:space="preserve">or comparative ecological studies </w:t>
      </w:r>
      <w:r w:rsidR="00BC03A9">
        <w:rPr>
          <w:lang w:val="en-GB"/>
        </w:rPr>
        <w:t>morphotype-</w:t>
      </w:r>
      <w:r w:rsidR="00025397">
        <w:rPr>
          <w:lang w:val="en-GB"/>
        </w:rPr>
        <w:t>level classification</w:t>
      </w:r>
      <w:r>
        <w:rPr>
          <w:lang w:val="en-GB"/>
        </w:rPr>
        <w:t xml:space="preserve"> usually proves</w:t>
      </w:r>
      <w:r w:rsidRPr="000255BD">
        <w:rPr>
          <w:lang w:val="en-GB"/>
        </w:rPr>
        <w:t xml:space="preserve"> sufficient</w:t>
      </w:r>
      <w:r>
        <w:rPr>
          <w:lang w:val="en-GB"/>
        </w:rPr>
        <w:t xml:space="preserve"> </w:t>
      </w:r>
      <w:r>
        <w:rPr>
          <w:lang w:val="en-GB"/>
        </w:rPr>
        <w:fldChar w:fldCharType="begin"/>
      </w:r>
      <w:r w:rsidR="00683D6F">
        <w:rPr>
          <w:lang w:val="en-GB"/>
        </w:rPr>
        <w:instrText xml:space="preserve"> ADDIN ZOTERO_ITEM CSL_CITATION {"citationID":"X2YIdxAn","properties":{"formattedCitation":"(Durden et al., 2016b)","plainCitation":"(Durden et al., 2016b)","noteIndex":0},"citationItems":[{"id":1578,"uris":["http://zotero.org/groups/512020/items/LXVT5LTK"],"uri":["http://zotero.org/groups/512020/items/LXVT5LTK"],"itemData":{"id":1578,"type":"article-journal","abstract":"JENS GREINERT3, NANCY JACOBSEN STOUT8, DANIEL O.B. JONES1, ANNE JORDT3, \nJEFFREY W. KAELI9, KEVIN KÖSER3, LINDA A. KUHNZ8, DHUGAL LINDSAY10,KIRSTY J. MORRIS1,","container-title":"Oceanography and Marine Biology","DOI":"10.1201/9781315368597-6","language":"en","page":"1-72","title":"Perspectives in Visual Imaging for Marine Biology and Ecology: From Acquisition to Understanding","title-short":"Perspectives in Visual Imaging for Marine Biology and Ecology","volume":"54","author":[{"family":"Durden","given":"Jennifer M."},{"family":"Schoening","given":"Timm"},{"family":"Althaus","given":"Franziska"},{"family":"Friedman","given":"Ariell"},{"family":"Garcia","given":"Rafael"},{"family":"Glover","given":"Adrian G."},{"family":"Greinert","given":"Jens"},{"family":"Stout","given":"Nancy Jacobsen"},{"family":"Jones","given":"Daniel O. B."},{"family":"Jordt","given":"Anne"},{"family":"Kaeli","given":"Jeffrey W."},{"family":"Köser","given":"Kevin"},{"family":"Kuhnz","given":"Linda A."},{"family":"Lindsay","given":"Dhugal"},{"family":"Morris","given":"Kirsty J."},{"family":"Nattkemper","given":"Tim W."},{"family":"Osterloff","given":"Jonas"},{"family":"Ruhl","given":"Henry A."},{"family":"Singh","given":"Hanumant"},{"family":"Bett","given":"Maggie Tran &amp; Brian J."}],"issued":{"date-parts":[["2016",11,25]]}},"label":"page"}],"schema":"https://github.com/citation-style-language/schema/raw/master/csl-citation.json"} </w:instrText>
      </w:r>
      <w:r>
        <w:rPr>
          <w:lang w:val="en-GB"/>
        </w:rPr>
        <w:fldChar w:fldCharType="separate"/>
      </w:r>
      <w:r w:rsidR="002555CF" w:rsidRPr="002555CF">
        <w:rPr>
          <w:rFonts w:cs="Times New Roman"/>
        </w:rPr>
        <w:t>(Durden et al., 2016b)</w:t>
      </w:r>
      <w:r>
        <w:rPr>
          <w:lang w:val="en-GB"/>
        </w:rPr>
        <w:fldChar w:fldCharType="end"/>
      </w:r>
      <w:r w:rsidRPr="000255BD">
        <w:rPr>
          <w:lang w:val="en-GB"/>
        </w:rPr>
        <w:t>.</w:t>
      </w:r>
      <w:r>
        <w:rPr>
          <w:lang w:val="en-GB"/>
        </w:rPr>
        <w:t xml:space="preserve"> </w:t>
      </w:r>
      <w:r w:rsidR="00E21B5B">
        <w:rPr>
          <w:lang w:val="en-GB"/>
        </w:rPr>
        <w:t xml:space="preserve">However, inconsistencies in the detection and the taxonomic classification of specimens among observers might impact the derived ecological metrics, such as density, diversity and composition </w:t>
      </w:r>
      <w:r w:rsidR="00E21B5B">
        <w:rPr>
          <w:lang w:val="en-GB"/>
        </w:rPr>
        <w:fldChar w:fldCharType="begin"/>
      </w:r>
      <w:r w:rsidR="00E21B5B">
        <w:rPr>
          <w:lang w:val="en-GB"/>
        </w:rPr>
        <w:instrText xml:space="preserve"> ADDIN ZOTERO_ITEM CSL_CITATION {"citationID":"9V1QI8YE","properties":{"formattedCitation":"(Durden et al., 2016a)","plainCitation":"(Durden et al., 2016a)","noteIndex":0},"citationItems":[{"id":590,"uris":["http://zotero.org/groups/512020/items/CZ32SPUC"],"uri":["http://zotero.org/groups/512020/items/CZ32SPUC"],"itemData":{"id":590,"type":"article-journal","container-title":"Marine Ecology Progress Series","DOI":"10.3354/meps11775","ISSN":"0171-8630, 1616-1599","language":"en","page":"61-70","source":"CrossRef","title":"Comparison of image annotation data generated by multiple investigators for benthic ecology","volume":"552","author":[{"family":"Durden","given":"Jm"},{"family":"Bett","given":"Bj"},{"family":"Schoening","given":"T"},{"family":"Morris","given":"Kj"},{"family":"Nattkemper","given":"Tw"},{"family":"Ruhl","given":"Ha"}],"issued":{"date-parts":[["2016",6,23]]}}}],"schema":"https://github.com/citation-style-language/schema/raw/master/csl-citation.json"} </w:instrText>
      </w:r>
      <w:r w:rsidR="00E21B5B">
        <w:rPr>
          <w:lang w:val="en-GB"/>
        </w:rPr>
        <w:fldChar w:fldCharType="separate"/>
      </w:r>
      <w:r w:rsidR="00E21B5B" w:rsidRPr="00E21B5B">
        <w:rPr>
          <w:rFonts w:cs="Times New Roman"/>
        </w:rPr>
        <w:t>(Durden et al., 2016a)</w:t>
      </w:r>
      <w:r w:rsidR="00E21B5B">
        <w:rPr>
          <w:lang w:val="en-GB"/>
        </w:rPr>
        <w:fldChar w:fldCharType="end"/>
      </w:r>
      <w:r w:rsidR="00E21B5B">
        <w:rPr>
          <w:lang w:val="en-GB"/>
        </w:rPr>
        <w:t xml:space="preserve">. </w:t>
      </w:r>
      <w:r w:rsidR="003F38E0">
        <w:rPr>
          <w:lang w:val="en-GB"/>
        </w:rPr>
        <w:t>The inter-observer agreement analysis showed</w:t>
      </w:r>
      <w:r w:rsidR="003F38E0" w:rsidRPr="000255BD">
        <w:rPr>
          <w:lang w:val="en-GB"/>
        </w:rPr>
        <w:t xml:space="preserve"> </w:t>
      </w:r>
      <w:r w:rsidR="00026429">
        <w:rPr>
          <w:lang w:val="en-GB"/>
        </w:rPr>
        <w:t>a</w:t>
      </w:r>
      <w:r w:rsidR="00636141">
        <w:rPr>
          <w:lang w:val="en-GB"/>
        </w:rPr>
        <w:t xml:space="preserve"> consistent</w:t>
      </w:r>
      <w:r w:rsidR="00026429">
        <w:rPr>
          <w:lang w:val="en-GB"/>
        </w:rPr>
        <w:t xml:space="preserve"> specimen detection </w:t>
      </w:r>
      <w:r w:rsidR="00636141">
        <w:rPr>
          <w:lang w:val="en-GB"/>
        </w:rPr>
        <w:t>success among observers (</w:t>
      </w:r>
      <w:r w:rsidR="007B6647">
        <w:rPr>
          <w:lang w:val="en-GB"/>
        </w:rPr>
        <w:t>74.4%</w:t>
      </w:r>
      <w:r w:rsidR="00636141">
        <w:rPr>
          <w:lang w:val="en-GB"/>
        </w:rPr>
        <w:t>)</w:t>
      </w:r>
      <w:r w:rsidR="00026429">
        <w:rPr>
          <w:lang w:val="en-GB"/>
        </w:rPr>
        <w:t xml:space="preserve">, whereas the classification success was as high as </w:t>
      </w:r>
      <w:r w:rsidR="00A14C51">
        <w:rPr>
          <w:lang w:val="en-GB"/>
        </w:rPr>
        <w:t>79</w:t>
      </w:r>
      <w:r w:rsidR="00026429">
        <w:rPr>
          <w:lang w:val="en-GB"/>
        </w:rPr>
        <w:t>%</w:t>
      </w:r>
      <w:r w:rsidR="004F210F">
        <w:rPr>
          <w:lang w:val="en-GB"/>
        </w:rPr>
        <w:t xml:space="preserve">. </w:t>
      </w:r>
      <w:r w:rsidR="00A14C51">
        <w:rPr>
          <w:lang w:val="en-GB"/>
        </w:rPr>
        <w:t>Q</w:t>
      </w:r>
      <w:r w:rsidR="00697B02">
        <w:rPr>
          <w:lang w:val="en-GB"/>
        </w:rPr>
        <w:t xml:space="preserve">uantification of </w:t>
      </w:r>
      <w:r w:rsidR="003B18F8">
        <w:rPr>
          <w:lang w:val="en-GB"/>
        </w:rPr>
        <w:t xml:space="preserve">the inter-investigator bias </w:t>
      </w:r>
      <w:r w:rsidR="00697B02">
        <w:rPr>
          <w:lang w:val="en-GB"/>
        </w:rPr>
        <w:t>by directly comparing observers in a randomly selected subset of the imagery,</w:t>
      </w:r>
      <w:r w:rsidR="00697B02" w:rsidRPr="00697B02">
        <w:rPr>
          <w:lang w:val="en-GB"/>
        </w:rPr>
        <w:t xml:space="preserve"> </w:t>
      </w:r>
      <w:r w:rsidR="00697B02">
        <w:rPr>
          <w:lang w:val="en-GB"/>
        </w:rPr>
        <w:t xml:space="preserve">as suggested by Durden </w:t>
      </w:r>
      <w:r w:rsidR="00697B02" w:rsidRPr="003B18F8">
        <w:rPr>
          <w:i/>
          <w:lang w:val="en-GB"/>
        </w:rPr>
        <w:t>et al.</w:t>
      </w:r>
      <w:r w:rsidR="00697B02">
        <w:rPr>
          <w:lang w:val="en-GB"/>
        </w:rPr>
        <w:t xml:space="preserve"> </w:t>
      </w:r>
      <w:r w:rsidR="00697B02">
        <w:rPr>
          <w:lang w:val="en-GB"/>
        </w:rPr>
        <w:fldChar w:fldCharType="begin"/>
      </w:r>
      <w:r w:rsidR="002555CF">
        <w:rPr>
          <w:lang w:val="en-GB"/>
        </w:rPr>
        <w:instrText xml:space="preserve"> ADDIN ZOTERO_ITEM CSL_CITATION {"citationID":"3lja9e6F","properties":{"formattedCitation":"(2016a)","plainCitation":"(2016a)","noteIndex":0},"citationItems":[{"id":590,"uris":["http://zotero.org/groups/512020/items/CZ32SPUC"],"uri":["http://zotero.org/groups/512020/items/CZ32SPUC"],"itemData":{"id":590,"type":"article-journal","container-title":"Marine Ecology Progress Series","DOI":"10.3354/meps11775","ISSN":"0171-8630, 1616-1599","language":"en","page":"61-70","source":"CrossRef","title":"Comparison of image annotation data generated by multiple investigators for benthic ecology","volume":"552","author":[{"family":"Durden","given":"Jm"},{"family":"Bett","given":"Bj"},{"family":"Schoening","given":"T"},{"family":"Morris","given":"Kj"},{"family":"Nattkemper","given":"Tw"},{"family":"Ruhl","given":"Ha"}],"issued":{"date-parts":[["2016",6,23]]}},"label":"page","suppress-author":true}],"schema":"https://github.com/citation-style-language/schema/raw/master/csl-citation.json"} </w:instrText>
      </w:r>
      <w:r w:rsidR="00697B02">
        <w:rPr>
          <w:lang w:val="en-GB"/>
        </w:rPr>
        <w:fldChar w:fldCharType="separate"/>
      </w:r>
      <w:r w:rsidR="002555CF" w:rsidRPr="002555CF">
        <w:rPr>
          <w:rFonts w:cs="Times New Roman"/>
        </w:rPr>
        <w:t>(2016a)</w:t>
      </w:r>
      <w:r w:rsidR="00697B02">
        <w:rPr>
          <w:lang w:val="en-GB"/>
        </w:rPr>
        <w:fldChar w:fldCharType="end"/>
      </w:r>
      <w:r w:rsidR="00697B02">
        <w:rPr>
          <w:lang w:val="en-GB"/>
        </w:rPr>
        <w:t xml:space="preserve"> and Howell </w:t>
      </w:r>
      <w:r w:rsidR="00697B02" w:rsidRPr="00697B02">
        <w:rPr>
          <w:i/>
          <w:lang w:val="en-GB"/>
        </w:rPr>
        <w:t>et al.</w:t>
      </w:r>
      <w:r w:rsidR="00697B02">
        <w:rPr>
          <w:lang w:val="en-GB"/>
        </w:rPr>
        <w:t xml:space="preserve"> </w:t>
      </w:r>
      <w:r w:rsidR="00697B02">
        <w:rPr>
          <w:lang w:val="en-GB"/>
        </w:rPr>
        <w:fldChar w:fldCharType="begin"/>
      </w:r>
      <w:r w:rsidR="00697B02">
        <w:rPr>
          <w:lang w:val="en-GB"/>
        </w:rPr>
        <w:instrText xml:space="preserve"> ADDIN ZOTERO_ITEM CSL_CITATION {"citationID":"brsVGLVn","properties":{"formattedCitation":"(2014)","plainCitation":"(2014)","noteIndex":0},"citationItems":[{"id":1950,"uris":["http://zotero.org/users/2924329/items/MISGSG7Q"],"uri":["http://zotero.org/users/2924329/items/MISGSG7Q"],"itemData":{"id":1950,"type":"article-journal","abstract":"New high-resolution image data obtained from the Hebrides Terrace Seamount and analysed by ourselves and Henry and Roberts (Henry, L-A., and Roberts, J. M. Reco","container-title":"ICES Journal of Marine Science","DOI":"10.1093/icesjms/fsu052","ISSN":"1054-3139","issue":"4","journalAbbreviation":"ICES J Mar Sci","language":"en","note":"publisher: Oxford Academic","page":"899-906","source":"academic.oup.com","title":"Quality assurance in the identification of deep-sea taxa from video and image analysis: response to Henry and Roberts","title-short":"Quality assurance in the identification of deep-sea taxa from video and image analysis","volume":"71","author":[{"family":"Howell","given":"Kerry L."},{"family":"Bullimore","given":"Ross D."},{"family":"Foster","given":"Nicola L."}],"issued":{"date-parts":[["2014",6,1]]}},"suppress-author":true}],"schema":"https://github.com/citation-style-language/schema/raw/master/csl-citation.json"} </w:instrText>
      </w:r>
      <w:r w:rsidR="00697B02">
        <w:rPr>
          <w:lang w:val="en-GB"/>
        </w:rPr>
        <w:fldChar w:fldCharType="separate"/>
      </w:r>
      <w:r w:rsidR="00697B02" w:rsidRPr="00697B02">
        <w:rPr>
          <w:rFonts w:cs="Times New Roman"/>
        </w:rPr>
        <w:t>(2014)</w:t>
      </w:r>
      <w:r w:rsidR="00697B02">
        <w:rPr>
          <w:lang w:val="en-GB"/>
        </w:rPr>
        <w:fldChar w:fldCharType="end"/>
      </w:r>
      <w:r w:rsidR="00697B02">
        <w:rPr>
          <w:lang w:val="en-GB"/>
        </w:rPr>
        <w:t xml:space="preserve">, improved </w:t>
      </w:r>
      <w:r w:rsidR="003F38E0">
        <w:rPr>
          <w:lang w:val="en-GB"/>
        </w:rPr>
        <w:t xml:space="preserve">the </w:t>
      </w:r>
      <w:r w:rsidR="000255BD" w:rsidRPr="000255BD">
        <w:rPr>
          <w:lang w:val="en-GB"/>
        </w:rPr>
        <w:t>annotation consistency</w:t>
      </w:r>
      <w:r w:rsidR="00E62734">
        <w:rPr>
          <w:lang w:val="en-GB"/>
        </w:rPr>
        <w:t xml:space="preserve">, </w:t>
      </w:r>
      <w:r w:rsidR="000255BD" w:rsidRPr="000255BD">
        <w:rPr>
          <w:lang w:val="en-GB"/>
        </w:rPr>
        <w:t>and</w:t>
      </w:r>
      <w:r w:rsidR="000255BD">
        <w:rPr>
          <w:lang w:val="en-GB"/>
        </w:rPr>
        <w:t xml:space="preserve"> </w:t>
      </w:r>
      <w:r w:rsidR="00E62734">
        <w:rPr>
          <w:lang w:val="en-GB"/>
        </w:rPr>
        <w:t xml:space="preserve">the </w:t>
      </w:r>
      <w:r w:rsidR="004A3F54">
        <w:rPr>
          <w:lang w:val="en-GB"/>
        </w:rPr>
        <w:t>quality</w:t>
      </w:r>
      <w:r w:rsidR="00EF2F7C">
        <w:rPr>
          <w:lang w:val="en-GB"/>
        </w:rPr>
        <w:t xml:space="preserve"> and</w:t>
      </w:r>
      <w:r w:rsidR="004A3F54">
        <w:rPr>
          <w:lang w:val="en-GB"/>
        </w:rPr>
        <w:t xml:space="preserve"> robustness of the data</w:t>
      </w:r>
      <w:r w:rsidR="00697B02">
        <w:rPr>
          <w:lang w:val="en-GB"/>
        </w:rPr>
        <w:t xml:space="preserve"> in our study</w:t>
      </w:r>
      <w:r w:rsidR="004A3F54">
        <w:rPr>
          <w:lang w:val="en-GB"/>
        </w:rPr>
        <w:t>.</w:t>
      </w:r>
    </w:p>
    <w:p w14:paraId="74D84A3A" w14:textId="114D15ED" w:rsidR="00EC172E" w:rsidRDefault="000F1982" w:rsidP="00CD5585">
      <w:pPr>
        <w:rPr>
          <w:lang w:val="en-GB"/>
        </w:rPr>
      </w:pPr>
      <w:r>
        <w:rPr>
          <w:lang w:val="en-GB"/>
        </w:rPr>
        <w:t xml:space="preserve">Besides </w:t>
      </w:r>
      <w:r w:rsidR="00EA1E34">
        <w:rPr>
          <w:lang w:val="en-GB"/>
        </w:rPr>
        <w:t xml:space="preserve">the inter-observer bias, the </w:t>
      </w:r>
      <w:r w:rsidR="00A3346A">
        <w:rPr>
          <w:lang w:val="en-GB"/>
        </w:rPr>
        <w:t xml:space="preserve">detected </w:t>
      </w:r>
      <w:r w:rsidR="001D010B">
        <w:rPr>
          <w:lang w:val="en-GB"/>
        </w:rPr>
        <w:t xml:space="preserve">megafauna density </w:t>
      </w:r>
      <w:r w:rsidR="00EA1E34">
        <w:rPr>
          <w:lang w:val="en-GB"/>
        </w:rPr>
        <w:t xml:space="preserve">and community composition </w:t>
      </w:r>
      <w:r w:rsidR="00A3346A">
        <w:rPr>
          <w:lang w:val="en-GB"/>
        </w:rPr>
        <w:t>are greatly influenced by</w:t>
      </w:r>
      <w:r w:rsidR="00EA1E34">
        <w:rPr>
          <w:lang w:val="en-GB"/>
        </w:rPr>
        <w:t xml:space="preserve"> the </w:t>
      </w:r>
      <w:r w:rsidR="00EA1E34" w:rsidRPr="00FD3202">
        <w:rPr>
          <w:lang w:val="en-GB"/>
        </w:rPr>
        <w:t>height of the camera above the seafloor</w:t>
      </w:r>
      <w:r w:rsidR="00EA1E34">
        <w:rPr>
          <w:lang w:val="en-GB"/>
        </w:rPr>
        <w:t xml:space="preserve"> (</w:t>
      </w:r>
      <w:r w:rsidR="00EA1E34" w:rsidRPr="00FD3202">
        <w:rPr>
          <w:lang w:val="en-GB"/>
        </w:rPr>
        <w:t>the altitude</w:t>
      </w:r>
      <w:r w:rsidR="00EA1E34">
        <w:rPr>
          <w:lang w:val="en-GB"/>
        </w:rPr>
        <w:t>)</w:t>
      </w:r>
      <w:r w:rsidR="00EA1E34" w:rsidRPr="00FD3202">
        <w:rPr>
          <w:lang w:val="en-GB"/>
        </w:rPr>
        <w:t xml:space="preserve"> at which the AUV images were taken</w:t>
      </w:r>
      <w:r w:rsidR="00EA1E34">
        <w:rPr>
          <w:lang w:val="en-GB"/>
        </w:rPr>
        <w:t xml:space="preserve">. </w:t>
      </w:r>
      <w:r w:rsidR="00563395">
        <w:t xml:space="preserve">Based on our analysis, it appeared that the </w:t>
      </w:r>
      <w:r w:rsidR="00D265A5">
        <w:rPr>
          <w:lang w:val="en-GB"/>
        </w:rPr>
        <w:t>AUV images taken above 8m altitude underestimate</w:t>
      </w:r>
      <w:r w:rsidR="00563395">
        <w:rPr>
          <w:lang w:val="en-GB"/>
        </w:rPr>
        <w:t>d</w:t>
      </w:r>
      <w:r w:rsidR="00D265A5">
        <w:rPr>
          <w:lang w:val="en-GB"/>
        </w:rPr>
        <w:t xml:space="preserve"> the megafauna density by almost 50% compared to images taken below 8m altitude.</w:t>
      </w:r>
      <w:r w:rsidR="003002CB">
        <w:rPr>
          <w:lang w:val="en-GB"/>
        </w:rPr>
        <w:t xml:space="preserve"> Moreover, the </w:t>
      </w:r>
      <w:r w:rsidR="00BC03A9">
        <w:rPr>
          <w:lang w:val="en-GB"/>
        </w:rPr>
        <w:t xml:space="preserve">image altitude affects the </w:t>
      </w:r>
      <w:r w:rsidR="003002CB">
        <w:rPr>
          <w:lang w:val="en-GB"/>
        </w:rPr>
        <w:t xml:space="preserve">composition of the megafauna community </w:t>
      </w:r>
      <w:r w:rsidR="00BC03A9">
        <w:rPr>
          <w:lang w:val="en-GB"/>
        </w:rPr>
        <w:t>that can be detected</w:t>
      </w:r>
      <w:r w:rsidR="003002CB">
        <w:rPr>
          <w:lang w:val="en-GB"/>
        </w:rPr>
        <w:t xml:space="preserve">. </w:t>
      </w:r>
      <w:r w:rsidR="00B63836">
        <w:rPr>
          <w:lang w:val="en-GB"/>
        </w:rPr>
        <w:t xml:space="preserve">Although the generally accepted altitude for image collection through underwater vehicles is between </w:t>
      </w:r>
      <w:r w:rsidR="0005117E">
        <w:rPr>
          <w:rFonts w:cs="Times New Roman"/>
          <w:lang w:val="en-GB"/>
        </w:rPr>
        <w:t>±</w:t>
      </w:r>
      <w:r w:rsidR="00B63836">
        <w:rPr>
          <w:lang w:val="en-GB"/>
        </w:rPr>
        <w:t xml:space="preserve">1 and 4m </w:t>
      </w:r>
      <w:r w:rsidR="00A43E6D" w:rsidRPr="00A43E6D">
        <w:rPr>
          <w:lang w:val="en-GB"/>
        </w:rPr>
        <w:fldChar w:fldCharType="begin"/>
      </w:r>
      <w:r w:rsidR="00683D6F">
        <w:rPr>
          <w:lang w:val="en-GB"/>
        </w:rPr>
        <w:instrText xml:space="preserve"> ADDIN ZOTERO_ITEM CSL_CITATION {"citationID":"cPSILpjF","properties":{"formattedCitation":"(Durden et al., 2016b)","plainCitation":"(Durden et al., 2016b)","noteIndex":0},"citationItems":[{"id":1578,"uris":["http://zotero.org/groups/512020/items/LXVT5LTK"],"uri":["http://zotero.org/groups/512020/items/LXVT5LTK"],"itemData":{"id":1578,"type":"article-journal","abstract":"JENS GREINERT3, NANCY JACOBSEN STOUT8, DANIEL O.B. JONES1, ANNE JORDT3, \nJEFFREY W. KAELI9, KEVIN KÖSER3, LINDA A. KUHNZ8, DHUGAL LINDSAY10,KIRSTY J. MORRIS1,","container-title":"Oceanography and Marine Biology","DOI":"10.1201/9781315368597-6","language":"en","page":"1-72","title":"Perspectives in Visual Imaging for Marine Biology and Ecology: From Acquisition to Understanding","title-short":"Perspectives in Visual Imaging for Marine Biology and Ecology","volume":"54","author":[{"family":"Durden","given":"Jennifer M."},{"family":"Schoening","given":"Timm"},{"family":"Althaus","given":"Franziska"},{"family":"Friedman","given":"Ariell"},{"family":"Garcia","given":"Rafael"},{"family":"Glover","given":"Adrian G."},{"family":"Greinert","given":"Jens"},{"family":"Stout","given":"Nancy Jacobsen"},{"family":"Jones","given":"Daniel O. B."},{"family":"Jordt","given":"Anne"},{"family":"Kaeli","given":"Jeffrey W."},{"family":"Köser","given":"Kevin"},{"family":"Kuhnz","given":"Linda A."},{"family":"Lindsay","given":"Dhugal"},{"family":"Morris","given":"Kirsty J."},{"family":"Nattkemper","given":"Tim W."},{"family":"Osterloff","given":"Jonas"},{"family":"Ruhl","given":"Henry A."},{"family":"Singh","given":"Hanumant"},{"family":"Bett","given":"Maggie Tran &amp; Brian J."}],"issued":{"date-parts":[["2016",11,25]]}}}],"schema":"https://github.com/citation-style-language/schema/raw/master/csl-citation.json"} </w:instrText>
      </w:r>
      <w:r w:rsidR="00A43E6D" w:rsidRPr="00A43E6D">
        <w:rPr>
          <w:lang w:val="en-GB"/>
        </w:rPr>
        <w:fldChar w:fldCharType="separate"/>
      </w:r>
      <w:r w:rsidR="00A43E6D" w:rsidRPr="00A43E6D">
        <w:rPr>
          <w:rFonts w:cs="Times New Roman"/>
        </w:rPr>
        <w:t>(Durden et al., 2016b)</w:t>
      </w:r>
      <w:r w:rsidR="00A43E6D" w:rsidRPr="00A43E6D">
        <w:rPr>
          <w:lang w:val="en-GB"/>
        </w:rPr>
        <w:fldChar w:fldCharType="end"/>
      </w:r>
      <w:r w:rsidR="00A43E6D" w:rsidRPr="00A43E6D">
        <w:rPr>
          <w:lang w:val="en-GB"/>
        </w:rPr>
        <w:t>,</w:t>
      </w:r>
      <w:r w:rsidR="00B63836">
        <w:rPr>
          <w:lang w:val="en-GB"/>
        </w:rPr>
        <w:t xml:space="preserve"> not many studies have compared images taken at different altitudes in the same study area</w:t>
      </w:r>
      <w:r w:rsidR="00B263B6">
        <w:rPr>
          <w:lang w:val="en-GB"/>
        </w:rPr>
        <w:t xml:space="preserve"> (but see </w:t>
      </w:r>
      <w:r w:rsidR="00B93285" w:rsidRPr="001D010B">
        <w:rPr>
          <w:lang w:val="en-GB"/>
        </w:rPr>
        <w:t>Schoening</w:t>
      </w:r>
      <w:r w:rsidR="00B93285" w:rsidRPr="00B263B6">
        <w:rPr>
          <w:i/>
          <w:lang w:val="en-GB"/>
        </w:rPr>
        <w:t xml:space="preserve"> et al.</w:t>
      </w:r>
      <w:r w:rsidR="00B93285">
        <w:rPr>
          <w:lang w:val="en-GB"/>
        </w:rPr>
        <w:t xml:space="preserve"> </w:t>
      </w:r>
      <w:r w:rsidR="00B93285">
        <w:rPr>
          <w:lang w:val="en-GB"/>
        </w:rPr>
        <w:fldChar w:fldCharType="begin"/>
      </w:r>
      <w:r w:rsidR="00B93285">
        <w:rPr>
          <w:lang w:val="en-GB"/>
        </w:rPr>
        <w:instrText xml:space="preserve"> ADDIN ZOTERO_ITEM CSL_CITATION {"citationID":"UlWyvTfH","properties":{"formattedCitation":"(2020)","plainCitation":"(2020)","noteIndex":0},"citationItems":[{"id":2006,"uris":["http://zotero.org/users/2924329/items/97PLG6TY"],"uri":["http://zotero.org/users/2924329/items/97PLG6TY"],"itemData":{"id":2006,"type":"article-journal","abstract":"&lt;p&gt;&lt;strong&gt;Abstract.&lt;/strong&gt; With the mining of polymetallic nodules from the deep-sea seafloor once more evoking commercial interest, decisions must be taken on how to most efficiently regulate and monitor physical and community disturbance in these remote ecosystems. Image-based approaches allow non-destructive assessment of the abundance of larger fauna to be derived from survey data, with repeat surveys of areas possible to allow time series data collection. At the time of writing, key underwater imaging platforms commonly used to map seafloor fauna abundances are autonomous underwater vehicles (AUVs), remotely operated vehicles (ROVs) and towed camera “ocean floor observation systems” (OFOSs). These systems are highly customisable, with cameras, illumination sources and deployment protocols changing rapidly, even during a survey cruise. In this study, eight image datasets were collected from a discrete area of polymetallic-nodule-rich seafloor by an AUV and several OFOSs deployed at various altitudes above the seafloor. A fauna identification catalogue was used by five annotators to estimate the abundances of 20 fauna categories from the different datasets. Results show that, for many categories of megafauna, differences in image resolution greatly influenced the estimations of fauna abundance determined by the annotators. This is an important finding for the development of future monitoring legislation for these areas. When and if commercial exploitation of these marine resources commences, robust and verifiable standards which incorporate developing technological advances in camera-based monitoring surveys should be key to developing appropriate management regulations for these regions.&lt;/p&gt;","container-title":"Biogeosciences","DOI":"https://doi.org/10.5194/bg-17-3115-2020","ISSN":"1726-4170","issue":"12","language":"English","note":"publisher: Copernicus GmbH","page":"3115-3133","source":"www.biogeosciences.net","title":"Megafauna community assessment of polymetallic-nodule fields with cameras: platform and methodology comparison","title-short":"Megafauna community assessment of polymetallic-nodule fields with cameras","volume":"17","author":[{"family":"Schoening","given":"Timm"},{"family":"Purser","given":"Autun"},{"family":"Langenkämper","given":"Daniel"},{"family":"Suck","given":"Inken"},{"family":"Taylor","given":"James"},{"family":"Cuvelier","given":"Daphne"},{"family":"Lins","given":"Lidia"},{"family":"Simon-Lledó","given":"Erik"},{"family":"Marcon","given":"Yann"},{"family":"Jones","given":"Daniel O. B."},{"family":"Nattkemper","given":"Tim"},{"family":"Köser","given":"Kevin"},{"family":"Zurowietz","given":"Martin"},{"family":"Greinert","given":"Jens"},{"family":"Gomes-Pereira","given":"Jose"}],"issued":{"date-parts":[["2020",6,19]]}},"suppress-author":true}],"schema":"https://github.com/citation-style-language/schema/raw/master/csl-citation.json"} </w:instrText>
      </w:r>
      <w:r w:rsidR="00B93285">
        <w:rPr>
          <w:lang w:val="en-GB"/>
        </w:rPr>
        <w:fldChar w:fldCharType="separate"/>
      </w:r>
      <w:r w:rsidR="00B93285" w:rsidRPr="00B93285">
        <w:rPr>
          <w:rFonts w:cs="Times New Roman"/>
        </w:rPr>
        <w:t>(2020)</w:t>
      </w:r>
      <w:r w:rsidR="00B93285">
        <w:rPr>
          <w:lang w:val="en-GB"/>
        </w:rPr>
        <w:fldChar w:fldCharType="end"/>
      </w:r>
      <w:r w:rsidR="00B93285">
        <w:rPr>
          <w:lang w:val="en-GB"/>
        </w:rPr>
        <w:t xml:space="preserve"> for AUV analysis and </w:t>
      </w:r>
      <w:r w:rsidR="00B263B6">
        <w:rPr>
          <w:lang w:val="en-GB"/>
        </w:rPr>
        <w:t xml:space="preserve">Jones </w:t>
      </w:r>
      <w:r w:rsidR="00B263B6" w:rsidRPr="00B263B6">
        <w:rPr>
          <w:i/>
          <w:lang w:val="en-GB"/>
        </w:rPr>
        <w:t>et al.</w:t>
      </w:r>
      <w:r w:rsidR="00B263B6">
        <w:rPr>
          <w:lang w:val="en-GB"/>
        </w:rPr>
        <w:t xml:space="preserve"> </w:t>
      </w:r>
      <w:r w:rsidR="00B263B6">
        <w:rPr>
          <w:lang w:val="en-GB"/>
        </w:rPr>
        <w:fldChar w:fldCharType="begin"/>
      </w:r>
      <w:r w:rsidR="00B263B6">
        <w:rPr>
          <w:lang w:val="en-GB"/>
        </w:rPr>
        <w:instrText xml:space="preserve"> ADDIN ZOTERO_ITEM CSL_CITATION {"citationID":"afaPrLH3","properties":{"formattedCitation":"(2009)","plainCitation":"(2009)","noteIndex":0},"citationItems":[{"id":1952,"uris":["http://zotero.org/users/2924329/items/9EIVFIUW"],"uri":["http://zotero.org/users/2924329/items/9EIVFIUW"],"itemData":{"id":1952,"type":"webpage","genre":"Text","language":"en","note":"DOI: info:doi/10.3723/ut.28.041\nsource: www.ingentaconnect.com\npublisher: Society for Underwater Technology\nDOI: info:doi/10.3723/ut.28.041","title":"The use of towed camera platforms in deep-water science","URL":"https://www.ingentaconnect.com/content/sut/unwt/2009/00000028/00000002/art00002#","author":[{"family":"Jones","given":"D. O. B."},{"family":"Bett","given":"B. J."},{"family":"Wynn","given":"R. B."},{"family":"Masson","given":"D. G."}],"accessed":{"date-parts":[["2020",4,17]]},"issued":{"date-parts":[["2009",3]]}},"label":"page","suppress-author":true}],"schema":"https://github.com/citation-style-language/schema/raw/master/csl-citation.json"} </w:instrText>
      </w:r>
      <w:r w:rsidR="00B263B6">
        <w:rPr>
          <w:lang w:val="en-GB"/>
        </w:rPr>
        <w:fldChar w:fldCharType="separate"/>
      </w:r>
      <w:r w:rsidR="00B263B6" w:rsidRPr="00B263B6">
        <w:rPr>
          <w:rFonts w:cs="Times New Roman"/>
        </w:rPr>
        <w:t>(2009)</w:t>
      </w:r>
      <w:r w:rsidR="00B263B6">
        <w:rPr>
          <w:lang w:val="en-GB"/>
        </w:rPr>
        <w:fldChar w:fldCharType="end"/>
      </w:r>
      <w:r w:rsidR="00B263B6">
        <w:rPr>
          <w:lang w:val="en-GB"/>
        </w:rPr>
        <w:t xml:space="preserve"> </w:t>
      </w:r>
      <w:r w:rsidR="00BC03A9">
        <w:rPr>
          <w:lang w:val="en-GB"/>
        </w:rPr>
        <w:t>for towed camera platform analysis</w:t>
      </w:r>
      <w:r w:rsidR="00B263B6">
        <w:rPr>
          <w:lang w:val="en-GB"/>
        </w:rPr>
        <w:t>)</w:t>
      </w:r>
      <w:r w:rsidR="00B63836">
        <w:rPr>
          <w:lang w:val="en-GB"/>
        </w:rPr>
        <w:t xml:space="preserve">. </w:t>
      </w:r>
      <w:r w:rsidR="00945726">
        <w:rPr>
          <w:lang w:val="en-GB"/>
        </w:rPr>
        <w:t xml:space="preserve">In line with the current study, Jones et al. </w:t>
      </w:r>
      <w:r w:rsidR="00945726">
        <w:rPr>
          <w:lang w:val="en-GB"/>
        </w:rPr>
        <w:fldChar w:fldCharType="begin"/>
      </w:r>
      <w:r w:rsidR="00945726">
        <w:rPr>
          <w:lang w:val="en-GB"/>
        </w:rPr>
        <w:instrText xml:space="preserve"> ADDIN ZOTERO_ITEM CSL_CITATION {"citationID":"QMhsoh20","properties":{"formattedCitation":"(2009)","plainCitation":"(2009)","noteIndex":0},"citationItems":[{"id":1952,"uris":["http://zotero.org/users/2924329/items/9EIVFIUW"],"uri":["http://zotero.org/users/2924329/items/9EIVFIUW"],"itemData":{"id":1952,"type":"webpage","genre":"Text","language":"en","note":"DOI: info:doi/10.3723/ut.28.041\nsource: www.ingentaconnect.com\npublisher: Society for Underwater Technology\nDOI: info:doi/10.3723/ut.28.041","title":"The use of towed camera platforms in deep-water science","URL":"https://www.ingentaconnect.com/content/sut/unwt/2009/00000028/00000002/art00002#","author":[{"family":"Jones","given":"D. O. B."},{"family":"Bett","given":"B. J."},{"family":"Wynn","given":"R. B."},{"family":"Masson","given":"D. G."}],"accessed":{"date-parts":[["2020",4,17]]},"issued":{"date-parts":[["2009",3]]}},"suppress-author":true}],"schema":"https://github.com/citation-style-language/schema/raw/master/csl-citation.json"} </w:instrText>
      </w:r>
      <w:r w:rsidR="00945726">
        <w:rPr>
          <w:lang w:val="en-GB"/>
        </w:rPr>
        <w:fldChar w:fldCharType="separate"/>
      </w:r>
      <w:r w:rsidR="00945726" w:rsidRPr="00945726">
        <w:rPr>
          <w:rFonts w:cs="Times New Roman"/>
        </w:rPr>
        <w:t>(2009)</w:t>
      </w:r>
      <w:r w:rsidR="00945726">
        <w:rPr>
          <w:lang w:val="en-GB"/>
        </w:rPr>
        <w:fldChar w:fldCharType="end"/>
      </w:r>
      <w:r w:rsidR="00945726">
        <w:rPr>
          <w:lang w:val="en-GB"/>
        </w:rPr>
        <w:t xml:space="preserve"> observed the altitude to affect </w:t>
      </w:r>
      <w:r w:rsidR="00BC03A9">
        <w:rPr>
          <w:lang w:val="en-GB"/>
        </w:rPr>
        <w:t>measures of the benthic community density</w:t>
      </w:r>
      <w:r w:rsidR="00945726" w:rsidRPr="00945726">
        <w:rPr>
          <w:lang w:val="en-GB"/>
        </w:rPr>
        <w:t xml:space="preserve"> </w:t>
      </w:r>
      <w:r w:rsidR="00BC03A9">
        <w:rPr>
          <w:lang w:val="en-GB"/>
        </w:rPr>
        <w:t xml:space="preserve">and </w:t>
      </w:r>
      <w:r w:rsidR="00945726" w:rsidRPr="00945726">
        <w:rPr>
          <w:lang w:val="en-GB"/>
        </w:rPr>
        <w:t>diversity</w:t>
      </w:r>
      <w:r w:rsidR="00945726">
        <w:rPr>
          <w:lang w:val="en-GB"/>
        </w:rPr>
        <w:t>, resulting from a decreased biological resolution with increasing altitude.</w:t>
      </w:r>
      <w:r w:rsidR="00945726">
        <w:rPr>
          <w:rFonts w:ascii="Arial" w:hAnsi="Arial" w:cs="Arial"/>
          <w:sz w:val="26"/>
          <w:szCs w:val="26"/>
        </w:rPr>
        <w:t xml:space="preserve"> </w:t>
      </w:r>
      <w:r w:rsidR="00D238FA">
        <w:rPr>
          <w:lang w:val="en-GB"/>
        </w:rPr>
        <w:t>They conclude</w:t>
      </w:r>
      <w:r w:rsidR="00805D64">
        <w:rPr>
          <w:lang w:val="en-GB"/>
        </w:rPr>
        <w:t>d</w:t>
      </w:r>
      <w:r w:rsidR="00D238FA">
        <w:rPr>
          <w:lang w:val="en-GB"/>
        </w:rPr>
        <w:t xml:space="preserve"> that t</w:t>
      </w:r>
      <w:r w:rsidR="00B63836" w:rsidRPr="00B63836">
        <w:rPr>
          <w:lang w:val="en-GB"/>
        </w:rPr>
        <w:t>he optimal altitude</w:t>
      </w:r>
      <w:r w:rsidR="00B63836">
        <w:rPr>
          <w:lang w:val="en-GB"/>
        </w:rPr>
        <w:t xml:space="preserve"> </w:t>
      </w:r>
      <w:r w:rsidR="00B63836" w:rsidRPr="00B63836">
        <w:rPr>
          <w:lang w:val="en-GB"/>
        </w:rPr>
        <w:t>depends on the minimum size of fauna needing to</w:t>
      </w:r>
      <w:r w:rsidR="00B63836">
        <w:rPr>
          <w:lang w:val="en-GB"/>
        </w:rPr>
        <w:t xml:space="preserve"> </w:t>
      </w:r>
      <w:r w:rsidR="00B63836" w:rsidRPr="00B63836">
        <w:rPr>
          <w:lang w:val="en-GB"/>
        </w:rPr>
        <w:t>be resolved and the minimum operational altitude</w:t>
      </w:r>
      <w:r w:rsidR="00B63836">
        <w:rPr>
          <w:lang w:val="en-GB"/>
        </w:rPr>
        <w:t xml:space="preserve"> </w:t>
      </w:r>
      <w:r w:rsidR="00B63836" w:rsidRPr="00B63836">
        <w:rPr>
          <w:lang w:val="en-GB"/>
        </w:rPr>
        <w:t>of the vehicle</w:t>
      </w:r>
      <w:r w:rsidR="00D238FA">
        <w:rPr>
          <w:lang w:val="en-GB"/>
        </w:rPr>
        <w:t>. With increasing altitude</w:t>
      </w:r>
      <w:r w:rsidR="00BC03A9">
        <w:rPr>
          <w:lang w:val="en-GB"/>
        </w:rPr>
        <w:t>,</w:t>
      </w:r>
      <w:r w:rsidR="00D238FA">
        <w:rPr>
          <w:lang w:val="en-GB"/>
        </w:rPr>
        <w:t xml:space="preserve"> faunal number</w:t>
      </w:r>
      <w:r w:rsidR="00945726">
        <w:rPr>
          <w:lang w:val="en-GB"/>
        </w:rPr>
        <w:t>s</w:t>
      </w:r>
      <w:r w:rsidR="00D238FA">
        <w:rPr>
          <w:lang w:val="en-GB"/>
        </w:rPr>
        <w:t xml:space="preserve"> reduced as a result of the limitations of the camera system: a fast dissipation of </w:t>
      </w:r>
      <w:r w:rsidR="00D238FA">
        <w:rPr>
          <w:lang w:val="en-GB"/>
        </w:rPr>
        <w:lastRenderedPageBreak/>
        <w:t>light in water, a reduced light intensity</w:t>
      </w:r>
      <w:r w:rsidR="00945726">
        <w:rPr>
          <w:lang w:val="en-GB"/>
        </w:rPr>
        <w:t xml:space="preserve"> by the absorption of seawater and scattering by suspended particulate matter, and decreased film grains per area of seabed</w:t>
      </w:r>
      <w:r w:rsidR="00BC03A9">
        <w:rPr>
          <w:lang w:val="en-GB"/>
        </w:rPr>
        <w:t xml:space="preserve"> (equivalent to pixels in digital images)</w:t>
      </w:r>
      <w:r w:rsidR="00945726">
        <w:rPr>
          <w:lang w:val="en-GB"/>
        </w:rPr>
        <w:t xml:space="preserve"> and hence lower biological resolution of the images</w:t>
      </w:r>
      <w:r w:rsidR="00B63836">
        <w:rPr>
          <w:lang w:val="en-GB"/>
        </w:rPr>
        <w:t xml:space="preserve"> </w:t>
      </w:r>
      <w:r w:rsidR="00B63836">
        <w:rPr>
          <w:lang w:val="en-GB"/>
        </w:rPr>
        <w:fldChar w:fldCharType="begin"/>
      </w:r>
      <w:r w:rsidR="00B63836">
        <w:rPr>
          <w:lang w:val="en-GB"/>
        </w:rPr>
        <w:instrText xml:space="preserve"> ADDIN ZOTERO_ITEM CSL_CITATION {"citationID":"WRYfuohL","properties":{"formattedCitation":"(Jones et al., 2009)","plainCitation":"(Jones et al., 2009)","noteIndex":0},"citationItems":[{"id":1952,"uris":["http://zotero.org/users/2924329/items/9EIVFIUW"],"uri":["http://zotero.org/users/2924329/items/9EIVFIUW"],"itemData":{"id":1952,"type":"webpage","genre":"Text","language":"en","note":"DOI: info:doi/10.3723/ut.28.041\nsource: www.ingentaconnect.com\npublisher: Society for Underwater Technology\nDOI: info:doi/10.3723/ut.28.041","title":"The use of towed camera platforms in deep-water science","URL":"https://www.ingentaconnect.com/content/sut/unwt/2009/00000028/00000002/art00002#","author":[{"family":"Jones","given":"D. O. B."},{"family":"Bett","given":"B. J."},{"family":"Wynn","given":"R. B."},{"family":"Masson","given":"D. G."}],"accessed":{"date-parts":[["2020",4,17]]},"issued":{"date-parts":[["2009",3]]}}}],"schema":"https://github.com/citation-style-language/schema/raw/master/csl-citation.json"} </w:instrText>
      </w:r>
      <w:r w:rsidR="00B63836">
        <w:rPr>
          <w:lang w:val="en-GB"/>
        </w:rPr>
        <w:fldChar w:fldCharType="separate"/>
      </w:r>
      <w:r w:rsidR="00B63836" w:rsidRPr="00B63836">
        <w:rPr>
          <w:rFonts w:cs="Times New Roman"/>
        </w:rPr>
        <w:t>(Jones et al., 2009)</w:t>
      </w:r>
      <w:r w:rsidR="00B63836">
        <w:rPr>
          <w:lang w:val="en-GB"/>
        </w:rPr>
        <w:fldChar w:fldCharType="end"/>
      </w:r>
      <w:r w:rsidR="00370823">
        <w:rPr>
          <w:lang w:val="en-GB"/>
        </w:rPr>
        <w:t>.</w:t>
      </w:r>
      <w:r w:rsidR="00B263B6">
        <w:rPr>
          <w:lang w:val="en-GB"/>
        </w:rPr>
        <w:t xml:space="preserve"> </w:t>
      </w:r>
      <w:r w:rsidR="00A3346A">
        <w:rPr>
          <w:lang w:val="en-GB"/>
        </w:rPr>
        <w:t>According</w:t>
      </w:r>
      <w:r w:rsidR="00B263B6">
        <w:rPr>
          <w:lang w:val="en-GB"/>
        </w:rPr>
        <w:t xml:space="preserve"> to Schoening </w:t>
      </w:r>
      <w:r w:rsidR="00B263B6" w:rsidRPr="00B263B6">
        <w:rPr>
          <w:i/>
          <w:lang w:val="en-GB"/>
        </w:rPr>
        <w:t>et al.</w:t>
      </w:r>
      <w:r w:rsidR="00B263B6">
        <w:rPr>
          <w:lang w:val="en-GB"/>
        </w:rPr>
        <w:t xml:space="preserve"> </w:t>
      </w:r>
      <w:r w:rsidR="00B263B6">
        <w:rPr>
          <w:lang w:val="en-GB"/>
        </w:rPr>
        <w:fldChar w:fldCharType="begin"/>
      </w:r>
      <w:r w:rsidR="00B93285">
        <w:rPr>
          <w:lang w:val="en-GB"/>
        </w:rPr>
        <w:instrText xml:space="preserve"> ADDIN ZOTERO_ITEM CSL_CITATION {"citationID":"QdF7oR06","properties":{"formattedCitation":"(2020)","plainCitation":"(2020)","noteIndex":0},"citationItems":[{"id":2006,"uris":["http://zotero.org/users/2924329/items/97PLG6TY"],"uri":["http://zotero.org/users/2924329/items/97PLG6TY"],"itemData":{"id":2006,"type":"article-journal","abstract":"&lt;p&gt;&lt;strong&gt;Abstract.&lt;/strong&gt; With the mining of polymetallic nodules from the deep-sea seafloor once more evoking commercial interest, decisions must be taken on how to most efficiently regulate and monitor physical and community disturbance in these remote ecosystems. Image-based approaches allow non-destructive assessment of the abundance of larger fauna to be derived from survey data, with repeat surveys of areas possible to allow time series data collection. At the time of writing, key underwater imaging platforms commonly used to map seafloor fauna abundances are autonomous underwater vehicles (AUVs), remotely operated vehicles (ROVs) and towed camera “ocean floor observation systems” (OFOSs). These systems are highly customisable, with cameras, illumination sources and deployment protocols changing rapidly, even during a survey cruise. In this study, eight image datasets were collected from a discrete area of polymetallic-nodule-rich seafloor by an AUV and several OFOSs deployed at various altitudes above the seafloor. A fauna identification catalogue was used by five annotators to estimate the abundances of 20 fauna categories from the different datasets. Results show that, for many categories of megafauna, differences in image resolution greatly influenced the estimations of fauna abundance determined by the annotators. This is an important finding for the development of future monitoring legislation for these areas. When and if commercial exploitation of these marine resources commences, robust and verifiable standards which incorporate developing technological advances in camera-based monitoring surveys should be key to developing appropriate management regulations for these regions.&lt;/p&gt;","container-title":"Biogeosciences","DOI":"https://doi.org/10.5194/bg-17-3115-2020","ISSN":"1726-4170","issue":"12","language":"English","note":"publisher: Copernicus GmbH","page":"3115-3133","source":"www.biogeosciences.net","title":"Megafauna community assessment of polymetallic-nodule fields with cameras: platform and methodology comparison","title-short":"Megafauna community assessment of polymetallic-nodule fields with cameras","volume":"17","author":[{"family":"Schoening","given":"Timm"},{"family":"Purser","given":"Autun"},{"family":"Langenkämper","given":"Daniel"},{"family":"Suck","given":"Inken"},{"family":"Taylor","given":"James"},{"family":"Cuvelier","given":"Daphne"},{"family":"Lins","given":"Lidia"},{"family":"Simon-Lledó","given":"Erik"},{"family":"Marcon","given":"Yann"},{"family":"Jones","given":"Daniel O. B."},{"family":"Nattkemper","given":"Tim"},{"family":"Köser","given":"Kevin"},{"family":"Zurowietz","given":"Martin"},{"family":"Greinert","given":"Jens"},{"family":"Gomes-Pereira","given":"Jose"}],"issued":{"date-parts":[["2020",6,19]]}},"suppress-author":true}],"schema":"https://github.com/citation-style-language/schema/raw/master/csl-citation.json"} </w:instrText>
      </w:r>
      <w:r w:rsidR="00B263B6">
        <w:rPr>
          <w:lang w:val="en-GB"/>
        </w:rPr>
        <w:fldChar w:fldCharType="separate"/>
      </w:r>
      <w:r w:rsidR="00B93285" w:rsidRPr="00B93285">
        <w:rPr>
          <w:rFonts w:cs="Times New Roman"/>
        </w:rPr>
        <w:t>(2020)</w:t>
      </w:r>
      <w:r w:rsidR="00B263B6">
        <w:rPr>
          <w:lang w:val="en-GB"/>
        </w:rPr>
        <w:fldChar w:fldCharType="end"/>
      </w:r>
      <w:r w:rsidR="00B263B6">
        <w:rPr>
          <w:lang w:val="en-GB"/>
        </w:rPr>
        <w:t>, t</w:t>
      </w:r>
      <w:r w:rsidR="00B263B6" w:rsidRPr="00B263B6">
        <w:rPr>
          <w:lang w:val="en-GB"/>
        </w:rPr>
        <w:t>he lowest altitude above seabed that can be reached using a given platform will always provide more data and higher</w:t>
      </w:r>
      <w:r w:rsidR="00B263B6">
        <w:rPr>
          <w:lang w:val="en-GB"/>
        </w:rPr>
        <w:t xml:space="preserve"> </w:t>
      </w:r>
      <w:r w:rsidR="00B263B6" w:rsidRPr="00B263B6">
        <w:rPr>
          <w:lang w:val="en-GB"/>
        </w:rPr>
        <w:t>taxonomical resolution in the faunal identification</w:t>
      </w:r>
      <w:r w:rsidR="00177045">
        <w:rPr>
          <w:lang w:val="en-GB"/>
        </w:rPr>
        <w:t>.</w:t>
      </w:r>
      <w:r w:rsidR="007C7193">
        <w:rPr>
          <w:lang w:val="en-GB"/>
        </w:rPr>
        <w:t xml:space="preserve"> </w:t>
      </w:r>
      <w:r w:rsidR="00EA1E34">
        <w:rPr>
          <w:lang w:val="en-GB"/>
        </w:rPr>
        <w:t>Since t</w:t>
      </w:r>
      <w:r w:rsidR="003002CB">
        <w:rPr>
          <w:lang w:val="en-GB"/>
        </w:rPr>
        <w:t xml:space="preserve">he data collected from images above 8m altitude is not as well suited to </w:t>
      </w:r>
      <w:r w:rsidR="003A4344">
        <w:rPr>
          <w:lang w:val="en-GB"/>
        </w:rPr>
        <w:t>infer</w:t>
      </w:r>
      <w:r w:rsidR="003002CB">
        <w:rPr>
          <w:lang w:val="en-GB"/>
        </w:rPr>
        <w:t xml:space="preserve"> patterns in the megafauna </w:t>
      </w:r>
      <w:r w:rsidR="003A4344">
        <w:rPr>
          <w:lang w:val="en-GB"/>
        </w:rPr>
        <w:t xml:space="preserve">community compared to </w:t>
      </w:r>
      <w:r w:rsidR="003002CB">
        <w:rPr>
          <w:lang w:val="en-GB"/>
        </w:rPr>
        <w:t>images below 8m altitude</w:t>
      </w:r>
      <w:r w:rsidR="00EA1E34">
        <w:rPr>
          <w:lang w:val="en-GB"/>
        </w:rPr>
        <w:t xml:space="preserve">, </w:t>
      </w:r>
      <w:r w:rsidR="003A4344">
        <w:rPr>
          <w:lang w:val="en-GB"/>
        </w:rPr>
        <w:t>focus</w:t>
      </w:r>
      <w:r w:rsidR="00367D17" w:rsidRPr="00FD3202">
        <w:rPr>
          <w:lang w:val="en-GB"/>
        </w:rPr>
        <w:t xml:space="preserve"> </w:t>
      </w:r>
      <w:r w:rsidR="003A4344">
        <w:rPr>
          <w:lang w:val="en-GB"/>
        </w:rPr>
        <w:t xml:space="preserve">was put </w:t>
      </w:r>
      <w:r w:rsidR="00367D17" w:rsidRPr="00FD3202">
        <w:rPr>
          <w:lang w:val="en-GB"/>
        </w:rPr>
        <w:t>on the data r</w:t>
      </w:r>
      <w:r w:rsidR="00EC172E">
        <w:rPr>
          <w:lang w:val="en-GB"/>
        </w:rPr>
        <w:t>etrieved below 8m altitude only.</w:t>
      </w:r>
    </w:p>
    <w:p w14:paraId="6EB3EDFF" w14:textId="46F9A50C" w:rsidR="00CD5585" w:rsidRPr="00C106E2" w:rsidRDefault="00CD5585" w:rsidP="006601C6">
      <w:pPr>
        <w:pStyle w:val="Kop2"/>
      </w:pPr>
      <w:r w:rsidRPr="00C106E2">
        <w:t>Megafaunal dens</w:t>
      </w:r>
      <w:r w:rsidR="001D010B">
        <w:t>ity</w:t>
      </w:r>
    </w:p>
    <w:p w14:paraId="42F09E30" w14:textId="223986D3" w:rsidR="00E61D5E" w:rsidRDefault="00C7265C" w:rsidP="00BF57A6">
      <w:pPr>
        <w:rPr>
          <w:lang w:val="en-GB"/>
        </w:rPr>
      </w:pPr>
      <w:r w:rsidRPr="00C9415E">
        <w:rPr>
          <w:lang w:val="en-GB"/>
        </w:rPr>
        <w:t xml:space="preserve">Megafaunal densities surveyed in this study (&lt;8m data) </w:t>
      </w:r>
      <w:r w:rsidR="001B40AB">
        <w:rPr>
          <w:lang w:val="en-GB"/>
        </w:rPr>
        <w:t xml:space="preserve">were similar to the densities found in the eastern CCFZ (license areas of BGR and GSR, and APEI3) </w:t>
      </w:r>
      <w:r w:rsidR="001B40AB">
        <w:rPr>
          <w:lang w:val="en-GB"/>
        </w:rPr>
        <w:fldChar w:fldCharType="begin"/>
      </w:r>
      <w:r w:rsidR="001B40AB">
        <w:rPr>
          <w:lang w:val="en-GB"/>
        </w:rPr>
        <w:instrText xml:space="preserve"> ADDIN ZOTERO_ITEM CSL_CITATION {"citationID":"XP8JouV8","properties":{"formattedCitation":"(Cuvelier et al., 2020)","plainCitation":"(Cuvelier et al., 2020)","noteIndex":0},"citationItems":[{"id":2129,"uris":["http://zotero.org/users/2924329/items/TQ3HB6YM"],"uri":["http://zotero.org/users/2924329/items/TQ3HB6YM"],"itemData":{"id":2129,"type":"article-journal","abstract":"&lt;p&gt;&lt;strong&gt;Abstract.&lt;/strong&gt; Seamounts are abundant and prominent features on the deep-sea floor and intersperse with the nodule fields of the Clarion-Clipperton Fracture Zone (CCZ). There is a particular interest in characterising the fauna inhabiting seamounts in the CCZ because they are the only other ecosystem in the region to provide hard substrata besides the abundant nodules on the soft-sediment abyssal plains. It has been hypothesised that seamounts could provide refuge for organisms during deep-sea mining actions or that they could play a role in the (re-)colonisation of the disturbed nodule fields. This hypothesis is tested by analysing video transects in both ecosystems, assessing megafauna composition and abundance.&lt;/p&gt; &lt;p&gt;Nine video transects (ROV dives) from two different license areas and one Area of Particular Environmental Interest in the eastern CCZ were analysed. Four of these transects were carried out as exploratory dives on four different seamounts in order to gain first insights into megafauna composition. The five other dives were carried out in the neighbouring nodule fields in the same areas. Variation in community composition observed among and along the video transects was high, with little morphospecies overlap along intra-ecosystem transects. Despite the observation of considerable faunal variations within each ecosystem, differences between seamounts and nodule fields prevailed, showing significantly different species associations characterising them, thus calling into question their use as a possible refuge area.&lt;/p&gt;","container-title":"Biogeosciences","DOI":"https://doi.org/10.5194/bg-17-2657-2020","ISSN":"1726-4170","issue":"9","language":"English","note":"publisher: Copernicus GmbH","page":"2657-2680","source":"bg.copernicus.org","title":"Are seamounts refuge areas for fauna from polymetallic nodule fields?","volume":"17","author":[{"family":"Cuvelier","given":"Daphne"},{"family":"Ribeiro","given":"Pedro A."},{"family":"Ramalho","given":"Sofia P."},{"family":"Kersken","given":"Daniel"},{"family":"Martinez Arbizu","given":"Pedro"},{"family":"Colaço","given":"Ana"}],"issued":{"date-parts":[["2020",5,15]]}}}],"schema":"https://github.com/citation-style-language/schema/raw/master/csl-citation.json"} </w:instrText>
      </w:r>
      <w:r w:rsidR="001B40AB">
        <w:rPr>
          <w:lang w:val="en-GB"/>
        </w:rPr>
        <w:fldChar w:fldCharType="separate"/>
      </w:r>
      <w:r w:rsidR="001B40AB" w:rsidRPr="001B40AB">
        <w:rPr>
          <w:rFonts w:cs="Times New Roman"/>
        </w:rPr>
        <w:t>(Cuvelier et al., 2020)</w:t>
      </w:r>
      <w:r w:rsidR="001B40AB">
        <w:rPr>
          <w:lang w:val="en-GB"/>
        </w:rPr>
        <w:fldChar w:fldCharType="end"/>
      </w:r>
      <w:r w:rsidR="001B40AB">
        <w:rPr>
          <w:lang w:val="en-GB"/>
        </w:rPr>
        <w:t xml:space="preserve"> and in the </w:t>
      </w:r>
      <w:r w:rsidR="001B40AB" w:rsidRPr="001B40AB">
        <w:rPr>
          <w:lang w:val="en-GB"/>
        </w:rPr>
        <w:t>exclusive economic zone of Kiribati</w:t>
      </w:r>
      <w:r w:rsidR="001B40AB">
        <w:rPr>
          <w:lang w:val="en-GB"/>
        </w:rPr>
        <w:t xml:space="preserve"> </w:t>
      </w:r>
      <w:r w:rsidR="002F61EE">
        <w:rPr>
          <w:lang w:val="en-GB"/>
        </w:rPr>
        <w:fldChar w:fldCharType="begin"/>
      </w:r>
      <w:r w:rsidR="002F61EE">
        <w:rPr>
          <w:lang w:val="en-GB"/>
        </w:rPr>
        <w:instrText xml:space="preserve"> ADDIN ZOTERO_ITEM CSL_CITATION {"citationID":"cyE3LeWP","properties":{"formattedCitation":"(Simon-Lled\\uc0\\u243{} et al., 2019c)","plainCitation":"(Simon-Lledó et al., 2019c)","noteIndex":0},"citationItems":[{"id":1700,"uris":["http://zotero.org/groups/512020/items/XM5FKBB4"],"uri":["http://zotero.org/groups/512020/items/XM5FKBB4"],"itemData":{"id":1700,"type":"article-journal","abstract":"We report on preliminary observations of the abyssal megafauna communities in the exclusive economic zone of Kiribati, a huge abyssal area with few previous studies. These observations also provide useful context for marine minerals exploration within the EEZ and for the neighbouring Clarion Clipperton Zone (CCZ), where deep-sea mining operations are planned. Seafloor images collected during seabed mining exploration were used to characterise megafaunal communities (fauna &gt; 1 cm) in three abyssal plain areas in the eastern Kiribati EEZ (study area extending from 1-5°N and 173-156°W). Additionally, hydrographic features in each of the survey locations were inferred by reference to near-seabed current flows modelled using open-sourced oceanographic data. The images showed a dominance of foraminiferal organisms. Metazoan communities were high in morphospecies richness but had low density. These general patterns were comparable to abyssal megabenthic communities in the CCZ. There was evidence of spatial variation between the assemblages in Kiribati, but there was a relatively large pool of shared morphospecies across the entire study area. Low metazoan density constrained detailed assessment of spatial variation and diversity at local scales. This finding is instructive of the levels of sampling effort required to determine spatial patterns in low density abyssal communities. The results of this study are preliminary observations that will be useful to guide future biological survey design and marine spatial planning strategies.","container-title":"Frontiers in Marine Science","DOI":"10.3389/fmars.2019.00605","ISSN":"2296-7745","journalAbbreviation":"Front. Mar. Sci.","language":"English","source":"Frontiers","title":"Preliminary Observations of the Abyssal Megafauna of Kiribati","URL":"https://www.frontiersin.org/articles/10.3389/fmars.2019.00605/full","volume":"6","author":[{"family":"Simon-Lledó","given":"Erik"},{"family":"Thompson","given":"Samuel"},{"family":"Yool","given":"Andrew"},{"family":"Flynn","given":"Adrian"},{"family":"Pomee","given":"Christina"},{"family":"Parianos","given":"John"},{"family":"Jones","given":"Daniel O. B."}],"accessed":{"date-parts":[["2019",10,31]]},"issued":{"date-parts":[["2019"]]}}}],"schema":"https://github.com/citation-style-language/schema/raw/master/csl-citation.json"} </w:instrText>
      </w:r>
      <w:r w:rsidR="002F61EE">
        <w:rPr>
          <w:lang w:val="en-GB"/>
        </w:rPr>
        <w:fldChar w:fldCharType="separate"/>
      </w:r>
      <w:r w:rsidR="002F61EE" w:rsidRPr="002F61EE">
        <w:rPr>
          <w:rFonts w:cs="Times New Roman"/>
          <w:szCs w:val="24"/>
        </w:rPr>
        <w:t>(Simon-Lledó et al., 2019c)</w:t>
      </w:r>
      <w:r w:rsidR="002F61EE">
        <w:rPr>
          <w:lang w:val="en-GB"/>
        </w:rPr>
        <w:fldChar w:fldCharType="end"/>
      </w:r>
      <w:r w:rsidR="002F61EE">
        <w:rPr>
          <w:lang w:val="en-GB"/>
        </w:rPr>
        <w:t xml:space="preserve"> However, megafaunal densities </w:t>
      </w:r>
      <w:r w:rsidRPr="00C9415E">
        <w:rPr>
          <w:lang w:val="en-GB"/>
        </w:rPr>
        <w:t xml:space="preserve">were </w:t>
      </w:r>
      <w:r w:rsidR="00BC03A9">
        <w:rPr>
          <w:lang w:val="en-GB"/>
        </w:rPr>
        <w:t>less than</w:t>
      </w:r>
      <w:r w:rsidRPr="00C9415E">
        <w:rPr>
          <w:lang w:val="en-GB"/>
        </w:rPr>
        <w:t xml:space="preserve"> half of </w:t>
      </w:r>
      <w:r>
        <w:rPr>
          <w:lang w:val="en-GB"/>
        </w:rPr>
        <w:t>those</w:t>
      </w:r>
      <w:r w:rsidRPr="00C9415E">
        <w:rPr>
          <w:lang w:val="en-GB"/>
        </w:rPr>
        <w:t xml:space="preserve"> found at the APEI6</w:t>
      </w:r>
      <w:r>
        <w:rPr>
          <w:lang w:val="en-GB"/>
        </w:rPr>
        <w:t xml:space="preserve"> seabed</w:t>
      </w:r>
      <w:r w:rsidRPr="00C9415E">
        <w:rPr>
          <w:lang w:val="en-GB"/>
        </w:rPr>
        <w:t xml:space="preserve"> </w:t>
      </w:r>
      <w:r>
        <w:rPr>
          <w:lang w:val="en-GB"/>
        </w:rPr>
        <w:fldChar w:fldCharType="begin"/>
      </w:r>
      <w:r>
        <w:rPr>
          <w:lang w:val="en-GB"/>
        </w:rPr>
        <w:instrText xml:space="preserve"> ADDIN ZOTERO_ITEM CSL_CITATION {"citationID":"G7IoIcJU","properties":{"formattedCitation":"(Simon-Lled\\uc0\\u243{} et al., 2019b)","plainCitation":"(Simon-Lledó et al., 2019b)","noteIndex":0},"citationItems":[{"id":648,"uris":["http://zotero.org/groups/512020/items/S8WR4Q5J"],"uri":["http://zotero.org/groups/512020/items/S8WR4Q5J"],"itemData":{"id":648,"type":"article-journal","abstract":"The potential for imminent polymetallic nodule mining in the Clarion Clipperton Fracture Zone (CCZ) has attracted considerable scientific and public attention. This concern stems from both the extremely large seafloor areas that may be impacted by mining, and the very limited knowledge of the fauna and ecology of this region. The environmental factors regulating seafloor ecology are still very poorly understood. In this study, we focus on megafaunal ecology in the proposed conservation zone ‘Area of Particular Environmental Interest 6′ (study area centred 17°16′N, 122°55′W). We employ bathymetric data to objectively define three landscape types in the area (a level bottom Flat, an elevated Ridge, a depressed Trough; water depth 3950–4250 m) that are characteristic of the wider CCZ. We use direct seabed sampling to characterise the sedimentary environment in each landscape, detecting no statistically significant differences in particle size distributions or organic matter content. Additional seafloor characteristics and data on both the metazoan and xenophyophore components of the megafauna were derived by extensive photographic survey from an autonomous underwater vehicle. Image data revealed that there were statistically significant differences in seafloor cover by nodules and in the occurrence of other hard substrata habitat between landscapes. Statistically significant differences in megafauna standing stock, functional structuring, diversity, and faunal composition were detected between landscapes. The Flat and Ridge areas exhibited a significantly higher standing stock and a distinct assemblage composition compared to the Trough. Geomorphological variations, presumably regulating local bottom water flows and the occurrence of nodule and xenophyophore test substrata, between study areas may be the mechanism driving these assemblage differences. We also used these data to assess the influence of sampling unit size on the estimation of ecological parameters. We discuss these results in the contexts of regional benthic ecology and the appropriate management of potential mining activities in the CCZ and elsewhere in the deep ocean.","container-title":"Progress in Oceanography","DOI":"10.1016/j.pocean.2018.11.003","ISSN":"0079-6611","journalAbbreviation":"Progress in Oceanography","page":"119-133","source":"ScienceDirect","title":"Megafaunal variation in the abyssal landscape of the Clarion Clipperton Zone","volume":"170","author":[{"family":"Simon-Lledó","given":"Erik"},{"family":"Bett","given":"Brian J."},{"family":"Huvenne","given":"Veerle A. I."},{"family":"Schoening","given":"Timm"},{"family":"Benoist","given":"Noelie M. A."},{"family":"Jeffreys","given":"Rachel M."},{"family":"Durden","given":"Jennifer M."},{"family":"Jones","given":"Daniel O. B."}],"issued":{"date-parts":[["2019",1,1]]}}}],"schema":"https://github.com/citation-style-language/schema/raw/master/csl-citation.json"} </w:instrText>
      </w:r>
      <w:r>
        <w:rPr>
          <w:lang w:val="en-GB"/>
        </w:rPr>
        <w:fldChar w:fldCharType="separate"/>
      </w:r>
      <w:r w:rsidRPr="00C7265C">
        <w:rPr>
          <w:rFonts w:cs="Times New Roman"/>
          <w:szCs w:val="24"/>
        </w:rPr>
        <w:t>(Simon-Lledó et al., 2019b)</w:t>
      </w:r>
      <w:r>
        <w:rPr>
          <w:lang w:val="en-GB"/>
        </w:rPr>
        <w:fldChar w:fldCharType="end"/>
      </w:r>
      <w:r w:rsidRPr="00C9415E">
        <w:rPr>
          <w:lang w:val="en-GB"/>
        </w:rPr>
        <w:t xml:space="preserve"> and about a </w:t>
      </w:r>
      <w:r w:rsidR="00493BD1">
        <w:rPr>
          <w:lang w:val="en-GB"/>
        </w:rPr>
        <w:t>fifth</w:t>
      </w:r>
      <w:r w:rsidRPr="00C9415E">
        <w:rPr>
          <w:lang w:val="en-GB"/>
        </w:rPr>
        <w:t xml:space="preserve"> of what was found at the UK-1 area</w:t>
      </w:r>
      <w:r>
        <w:rPr>
          <w:lang w:val="en-GB"/>
        </w:rPr>
        <w:t xml:space="preserve">, in the eastern CCZ </w:t>
      </w:r>
      <w:r>
        <w:rPr>
          <w:lang w:val="en-GB"/>
        </w:rPr>
        <w:fldChar w:fldCharType="begin"/>
      </w:r>
      <w:r>
        <w:rPr>
          <w:lang w:val="en-GB"/>
        </w:rPr>
        <w:instrText xml:space="preserve"> ADDIN ZOTERO_ITEM CSL_CITATION {"citationID":"9nwVl1NT","properties":{"formattedCitation":"(Amon et al., 2016)","plainCitation":"(Amon et al., 2016)","noteIndex":0},"citationItems":[{"id":734,"uris":["http://zotero.org/groups/512020/items/HVVC9STZ"],"uri":["http://zotero.org/groups/512020/items/HVVC9STZ"],"itemData":{"id":734,"type":"article-journal","call-number":"EP-A","container-title":"Scientific Reports","DOI":"10.1038/srep30492","ISSN":"2045-2322","page":"30492","source":"CrossRef","title":"Insights into the abundance and diversity of abyssal megafauna in a polymetallic-nodule region in the eastern Clarion-Clipperton Zone","volume":"6","author":[{"family":"Amon","given":"Diva J."},{"family":"Ziegler","given":"Amanda F."},{"family":"Dahlgren","given":"Thomas G."},{"family":"Glover","given":"Adrian G."},{"family":"Goineau","given":"Aurélie"},{"family":"Gooday","given":"Andrew J."},{"family":"Wiklund","given":"Helena"},{"family":"Smith","given":"Craig R."}],"issued":{"date-parts":[["2016",7,29]]}}}],"schema":"https://github.com/citation-style-language/schema/raw/master/csl-citation.json"} </w:instrText>
      </w:r>
      <w:r>
        <w:rPr>
          <w:lang w:val="en-GB"/>
        </w:rPr>
        <w:fldChar w:fldCharType="separate"/>
      </w:r>
      <w:r w:rsidRPr="00C7265C">
        <w:rPr>
          <w:rFonts w:cs="Times New Roman"/>
        </w:rPr>
        <w:t>(Amon et al., 2016)</w:t>
      </w:r>
      <w:r>
        <w:rPr>
          <w:lang w:val="en-GB"/>
        </w:rPr>
        <w:fldChar w:fldCharType="end"/>
      </w:r>
      <w:r>
        <w:rPr>
          <w:lang w:val="en-GB"/>
        </w:rPr>
        <w:t xml:space="preserve"> (Table 2)</w:t>
      </w:r>
      <w:r w:rsidRPr="00C9415E">
        <w:rPr>
          <w:lang w:val="en-GB"/>
        </w:rPr>
        <w:t>. A recent study conducted at the TOML D area</w:t>
      </w:r>
      <w:r w:rsidR="00214DD2">
        <w:rPr>
          <w:lang w:val="en-GB"/>
        </w:rPr>
        <w:t>, next to the GSR site</w:t>
      </w:r>
      <w:r w:rsidRPr="00C9415E">
        <w:rPr>
          <w:lang w:val="en-GB"/>
        </w:rPr>
        <w:t xml:space="preserve">, also reported megafaunal density values that </w:t>
      </w:r>
      <w:r w:rsidR="007C7193">
        <w:rPr>
          <w:lang w:val="en-GB"/>
        </w:rPr>
        <w:t xml:space="preserve">were </w:t>
      </w:r>
      <w:r w:rsidRPr="00C9415E">
        <w:rPr>
          <w:lang w:val="en-GB"/>
        </w:rPr>
        <w:t xml:space="preserve">double those encountered in this study </w:t>
      </w:r>
      <w:r>
        <w:rPr>
          <w:lang w:val="en-GB"/>
        </w:rPr>
        <w:fldChar w:fldCharType="begin"/>
      </w:r>
      <w:r w:rsidR="00374BE8">
        <w:rPr>
          <w:lang w:val="en-GB"/>
        </w:rPr>
        <w:instrText xml:space="preserve"> ADDIN ZOTERO_ITEM CSL_CITATION {"citationID":"DvqgUImy","properties":{"formattedCitation":"(Simon-Lled\\uc0\\u243{} et al., 2020)","plainCitation":"(Simon-Lledó et al., 2020)","noteIndex":0},"citationItems":[{"id":2132,"uris":["http://zotero.org/users/2924329/items/25B3FVKL"],"uri":["http://zotero.org/users/2924329/items/25B3FVKL"],"itemData":{"id":2132,"type":"article-journal","abstract":"The abyssal seafloor of the Clarion Clipperton Zone (CCZ) in the central Pacific has the largest known deposits of polymetallic nodules and associated benthic faunal communities with high biodiversity. The environmental factors that structure these communities, both at regional and local scales, are not well understood. In this study, seabed image surveys were used to assess distribution patterns in invertebrate and fish megafauna (&gt;1 cm) at multiple scales in relation to key environmental factors: food supply to the seabed varying at the regional scale (hundreds of km), seabed geomorphological variations varying at the broad local scale (tens of km), and seabed nodule cover varying at the fine local scale (tens of meters). We found significant differences in megafaunal density and community composition between all study areas. Variations in faunal density did not appear to match with regional productivity gradients, although faunal density generally decreased with increasing water depth (from E to W). In contrast, geomorphology and particularly nodule cover appeared to exert strong control on local faunal abundance and community composition, but not in species richness. Local variations in faunal density and beta-diversity, particularly those driven by nodule presence (within study areas), were of comparable magnitude to those observed at a regional level (between study areas). However, regional comparisons of megabenthic assemblages showed clear shifts in dominance between taxonomic groups (perceivable even at Phylum levels) across the mid-eastern CCZ seabed, suggesting a higher regional heterogeneity than was previously thought.","container-title":"Progress in Oceanography","DOI":"10.1016/j.pocean.2020.102405","ISSN":"0079-6611","journalAbbreviation":"Progress in Oceanography","language":"en","page":"102405","source":"ScienceDirect","title":"Multi-scale variations in invertebrate and fish megafauna in the mid-eastern Clarion Clipperton Zone","volume":"187","author":[{"family":"Simon-Lledó","given":"Erik"},{"family":"Pomee","given":"Christina"},{"family":"Ahokava","given":"Akesa"},{"family":"Drazen","given":"Jeffrey C."},{"family":"Leitner","given":"Astrid B."},{"family":"Flynn","given":"Adrian"},{"family":"Parianos","given":"John"},{"family":"Jones","given":"Daniel O. B."}],"issued":{"date-parts":[["2020",8,1]]}}}],"schema":"https://github.com/citation-style-language/schema/raw/master/csl-citation.json"} </w:instrText>
      </w:r>
      <w:r>
        <w:rPr>
          <w:lang w:val="en-GB"/>
        </w:rPr>
        <w:fldChar w:fldCharType="separate"/>
      </w:r>
      <w:r w:rsidR="00374BE8" w:rsidRPr="00374BE8">
        <w:rPr>
          <w:rFonts w:cs="Times New Roman"/>
          <w:szCs w:val="24"/>
        </w:rPr>
        <w:t>(Simon-Lledó et al., 2020)</w:t>
      </w:r>
      <w:r>
        <w:rPr>
          <w:lang w:val="en-GB"/>
        </w:rPr>
        <w:fldChar w:fldCharType="end"/>
      </w:r>
      <w:r w:rsidRPr="00C9415E">
        <w:rPr>
          <w:lang w:val="en-GB"/>
        </w:rPr>
        <w:t xml:space="preserve">. All these studies were conducted </w:t>
      </w:r>
      <w:r>
        <w:rPr>
          <w:lang w:val="en-GB"/>
        </w:rPr>
        <w:t>upon</w:t>
      </w:r>
      <w:r w:rsidRPr="00C9415E">
        <w:rPr>
          <w:lang w:val="en-GB"/>
        </w:rPr>
        <w:t xml:space="preserve"> imagery collected at lower altitudes a</w:t>
      </w:r>
      <w:r w:rsidR="003F0F7A">
        <w:rPr>
          <w:lang w:val="en-GB"/>
        </w:rPr>
        <w:t>bove the seabed (e.g., 2 to 3.5</w:t>
      </w:r>
      <w:r w:rsidRPr="00C9415E">
        <w:rPr>
          <w:lang w:val="en-GB"/>
        </w:rPr>
        <w:t>m) comp</w:t>
      </w:r>
      <w:r w:rsidR="003F0F7A">
        <w:rPr>
          <w:lang w:val="en-GB"/>
        </w:rPr>
        <w:t>ared to the 6</w:t>
      </w:r>
      <w:r w:rsidRPr="00C9415E">
        <w:rPr>
          <w:lang w:val="en-GB"/>
        </w:rPr>
        <w:t>m average altitude at which the &lt;8m images were collected here.</w:t>
      </w:r>
    </w:p>
    <w:p w14:paraId="512916AE" w14:textId="77777777" w:rsidR="00E61D5E" w:rsidRDefault="00E61D5E" w:rsidP="00CD5585">
      <w:pPr>
        <w:rPr>
          <w:lang w:val="en-GB"/>
        </w:rPr>
        <w:sectPr w:rsidR="00E61D5E" w:rsidSect="00DF4A4D">
          <w:footerReference w:type="default" r:id="rId22"/>
          <w:pgSz w:w="11906" w:h="16838"/>
          <w:pgMar w:top="1417" w:right="1417" w:bottom="1417" w:left="1417" w:header="708" w:footer="708" w:gutter="0"/>
          <w:lnNumType w:countBy="1" w:restart="continuous"/>
          <w:cols w:space="708"/>
          <w:docGrid w:linePitch="360"/>
        </w:sectPr>
      </w:pPr>
    </w:p>
    <w:tbl>
      <w:tblPr>
        <w:tblW w:w="5000" w:type="pct"/>
        <w:tblLook w:val="04A0" w:firstRow="1" w:lastRow="0" w:firstColumn="1" w:lastColumn="0" w:noHBand="0" w:noVBand="1"/>
      </w:tblPr>
      <w:tblGrid>
        <w:gridCol w:w="1511"/>
        <w:gridCol w:w="1567"/>
        <w:gridCol w:w="538"/>
        <w:gridCol w:w="711"/>
        <w:gridCol w:w="933"/>
        <w:gridCol w:w="1897"/>
        <w:gridCol w:w="1377"/>
        <w:gridCol w:w="760"/>
        <w:gridCol w:w="509"/>
        <w:gridCol w:w="476"/>
        <w:gridCol w:w="488"/>
        <w:gridCol w:w="253"/>
        <w:gridCol w:w="624"/>
        <w:gridCol w:w="550"/>
        <w:gridCol w:w="624"/>
        <w:gridCol w:w="253"/>
        <w:gridCol w:w="933"/>
      </w:tblGrid>
      <w:tr w:rsidR="004F22D5" w:rsidRPr="004F22D5" w14:paraId="4CEB1C07" w14:textId="77777777" w:rsidTr="00D12F84">
        <w:trPr>
          <w:trHeight w:val="792"/>
        </w:trPr>
        <w:tc>
          <w:tcPr>
            <w:tcW w:w="539" w:type="pct"/>
            <w:tcBorders>
              <w:top w:val="single" w:sz="4" w:space="0" w:color="auto"/>
              <w:left w:val="nil"/>
              <w:bottom w:val="nil"/>
              <w:right w:val="nil"/>
            </w:tcBorders>
            <w:shd w:val="clear" w:color="000000" w:fill="FFFFFF"/>
            <w:noWrap/>
            <w:vAlign w:val="center"/>
            <w:hideMark/>
          </w:tcPr>
          <w:p w14:paraId="2C3FF104"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lastRenderedPageBreak/>
              <w:t> </w:t>
            </w:r>
          </w:p>
        </w:tc>
        <w:tc>
          <w:tcPr>
            <w:tcW w:w="559" w:type="pct"/>
            <w:tcBorders>
              <w:top w:val="single" w:sz="4" w:space="0" w:color="auto"/>
              <w:left w:val="nil"/>
              <w:bottom w:val="nil"/>
              <w:right w:val="nil"/>
            </w:tcBorders>
            <w:shd w:val="clear" w:color="000000" w:fill="FFFFFF"/>
            <w:noWrap/>
            <w:vAlign w:val="center"/>
            <w:hideMark/>
          </w:tcPr>
          <w:p w14:paraId="2C0E02FE"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 </w:t>
            </w:r>
          </w:p>
        </w:tc>
        <w:tc>
          <w:tcPr>
            <w:tcW w:w="192" w:type="pct"/>
            <w:tcBorders>
              <w:top w:val="single" w:sz="4" w:space="0" w:color="auto"/>
              <w:left w:val="nil"/>
              <w:bottom w:val="nil"/>
              <w:right w:val="nil"/>
            </w:tcBorders>
            <w:shd w:val="clear" w:color="000000" w:fill="FFFFFF"/>
            <w:vAlign w:val="center"/>
            <w:hideMark/>
          </w:tcPr>
          <w:p w14:paraId="30958A43"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 </w:t>
            </w:r>
          </w:p>
        </w:tc>
        <w:tc>
          <w:tcPr>
            <w:tcW w:w="254" w:type="pct"/>
            <w:tcBorders>
              <w:top w:val="single" w:sz="4" w:space="0" w:color="auto"/>
              <w:left w:val="nil"/>
              <w:bottom w:val="nil"/>
              <w:right w:val="nil"/>
            </w:tcBorders>
            <w:shd w:val="clear" w:color="000000" w:fill="FFFFFF"/>
            <w:vAlign w:val="center"/>
            <w:hideMark/>
          </w:tcPr>
          <w:p w14:paraId="73E60AD2"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 </w:t>
            </w:r>
          </w:p>
        </w:tc>
        <w:tc>
          <w:tcPr>
            <w:tcW w:w="333" w:type="pct"/>
            <w:tcBorders>
              <w:top w:val="single" w:sz="4" w:space="0" w:color="auto"/>
              <w:left w:val="nil"/>
              <w:bottom w:val="nil"/>
              <w:right w:val="nil"/>
            </w:tcBorders>
            <w:shd w:val="clear" w:color="000000" w:fill="FFFFFF"/>
            <w:noWrap/>
            <w:vAlign w:val="center"/>
            <w:hideMark/>
          </w:tcPr>
          <w:p w14:paraId="5B3A1C5D"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 </w:t>
            </w:r>
          </w:p>
        </w:tc>
        <w:tc>
          <w:tcPr>
            <w:tcW w:w="677" w:type="pct"/>
            <w:tcBorders>
              <w:top w:val="single" w:sz="4" w:space="0" w:color="auto"/>
              <w:left w:val="nil"/>
              <w:bottom w:val="nil"/>
              <w:right w:val="nil"/>
            </w:tcBorders>
            <w:shd w:val="clear" w:color="000000" w:fill="FFFFFF"/>
            <w:noWrap/>
            <w:vAlign w:val="center"/>
            <w:hideMark/>
          </w:tcPr>
          <w:p w14:paraId="5F5F0236"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 </w:t>
            </w:r>
          </w:p>
        </w:tc>
        <w:tc>
          <w:tcPr>
            <w:tcW w:w="492" w:type="pct"/>
            <w:tcBorders>
              <w:top w:val="single" w:sz="4" w:space="0" w:color="auto"/>
              <w:left w:val="nil"/>
              <w:bottom w:val="nil"/>
              <w:right w:val="nil"/>
            </w:tcBorders>
            <w:shd w:val="clear" w:color="000000" w:fill="FFFFFF"/>
            <w:noWrap/>
            <w:vAlign w:val="center"/>
            <w:hideMark/>
          </w:tcPr>
          <w:p w14:paraId="5AE4B712"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 </w:t>
            </w:r>
          </w:p>
        </w:tc>
        <w:tc>
          <w:tcPr>
            <w:tcW w:w="271" w:type="pct"/>
            <w:tcBorders>
              <w:top w:val="single" w:sz="4" w:space="0" w:color="auto"/>
              <w:left w:val="nil"/>
              <w:bottom w:val="nil"/>
              <w:right w:val="nil"/>
            </w:tcBorders>
            <w:shd w:val="clear" w:color="000000" w:fill="FFFFFF"/>
            <w:noWrap/>
            <w:vAlign w:val="center"/>
            <w:hideMark/>
          </w:tcPr>
          <w:p w14:paraId="13500522"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 </w:t>
            </w:r>
          </w:p>
        </w:tc>
        <w:tc>
          <w:tcPr>
            <w:tcW w:w="526" w:type="pct"/>
            <w:gridSpan w:val="3"/>
            <w:tcBorders>
              <w:top w:val="single" w:sz="4" w:space="0" w:color="auto"/>
              <w:left w:val="nil"/>
              <w:bottom w:val="single" w:sz="4" w:space="0" w:color="auto"/>
              <w:right w:val="nil"/>
            </w:tcBorders>
            <w:shd w:val="clear" w:color="000000" w:fill="FFFFFF"/>
            <w:noWrap/>
            <w:vAlign w:val="center"/>
            <w:hideMark/>
          </w:tcPr>
          <w:p w14:paraId="7FE1A9C9"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Altitude (m)</w:t>
            </w:r>
          </w:p>
        </w:tc>
        <w:tc>
          <w:tcPr>
            <w:tcW w:w="90" w:type="pct"/>
            <w:tcBorders>
              <w:top w:val="single" w:sz="4" w:space="0" w:color="auto"/>
              <w:left w:val="nil"/>
              <w:bottom w:val="nil"/>
              <w:right w:val="nil"/>
            </w:tcBorders>
            <w:shd w:val="clear" w:color="000000" w:fill="FFFFFF"/>
            <w:noWrap/>
            <w:vAlign w:val="bottom"/>
            <w:hideMark/>
          </w:tcPr>
          <w:p w14:paraId="0F3B8C51"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 </w:t>
            </w:r>
          </w:p>
        </w:tc>
        <w:tc>
          <w:tcPr>
            <w:tcW w:w="642" w:type="pct"/>
            <w:gridSpan w:val="3"/>
            <w:tcBorders>
              <w:top w:val="single" w:sz="4" w:space="0" w:color="auto"/>
              <w:left w:val="nil"/>
              <w:bottom w:val="single" w:sz="4" w:space="0" w:color="auto"/>
              <w:right w:val="nil"/>
            </w:tcBorders>
            <w:shd w:val="clear" w:color="000000" w:fill="FFFFFF"/>
            <w:vAlign w:val="center"/>
            <w:hideMark/>
          </w:tcPr>
          <w:p w14:paraId="7A82C27C"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Megafauna density (ind.ha-1)</w:t>
            </w:r>
          </w:p>
        </w:tc>
        <w:tc>
          <w:tcPr>
            <w:tcW w:w="90" w:type="pct"/>
            <w:tcBorders>
              <w:top w:val="single" w:sz="4" w:space="0" w:color="auto"/>
              <w:left w:val="nil"/>
              <w:bottom w:val="nil"/>
              <w:right w:val="nil"/>
            </w:tcBorders>
            <w:shd w:val="clear" w:color="000000" w:fill="FFFFFF"/>
            <w:noWrap/>
            <w:vAlign w:val="bottom"/>
            <w:hideMark/>
          </w:tcPr>
          <w:p w14:paraId="056BFEB2"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 </w:t>
            </w:r>
          </w:p>
        </w:tc>
        <w:tc>
          <w:tcPr>
            <w:tcW w:w="333" w:type="pct"/>
            <w:tcBorders>
              <w:top w:val="single" w:sz="4" w:space="0" w:color="auto"/>
              <w:left w:val="nil"/>
              <w:bottom w:val="single" w:sz="4" w:space="0" w:color="auto"/>
              <w:right w:val="nil"/>
            </w:tcBorders>
            <w:shd w:val="clear" w:color="000000" w:fill="FFFFFF"/>
            <w:vAlign w:val="center"/>
            <w:hideMark/>
          </w:tcPr>
          <w:p w14:paraId="1B1698A8"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Total megafauna morphotype richness</w:t>
            </w:r>
          </w:p>
        </w:tc>
      </w:tr>
      <w:tr w:rsidR="00D12F84" w:rsidRPr="004F22D5" w14:paraId="36291F43" w14:textId="77777777" w:rsidTr="00D12F84">
        <w:trPr>
          <w:trHeight w:val="312"/>
        </w:trPr>
        <w:tc>
          <w:tcPr>
            <w:tcW w:w="539" w:type="pct"/>
            <w:tcBorders>
              <w:top w:val="nil"/>
              <w:left w:val="nil"/>
              <w:bottom w:val="single" w:sz="4" w:space="0" w:color="auto"/>
              <w:right w:val="nil"/>
            </w:tcBorders>
            <w:shd w:val="clear" w:color="000000" w:fill="FFFFFF"/>
            <w:noWrap/>
            <w:vAlign w:val="center"/>
            <w:hideMark/>
          </w:tcPr>
          <w:p w14:paraId="729F1ED1"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Reference</w:t>
            </w:r>
          </w:p>
        </w:tc>
        <w:tc>
          <w:tcPr>
            <w:tcW w:w="559" w:type="pct"/>
            <w:tcBorders>
              <w:top w:val="nil"/>
              <w:left w:val="nil"/>
              <w:bottom w:val="single" w:sz="4" w:space="0" w:color="auto"/>
              <w:right w:val="nil"/>
            </w:tcBorders>
            <w:shd w:val="clear" w:color="000000" w:fill="FFFFFF"/>
            <w:noWrap/>
            <w:vAlign w:val="center"/>
            <w:hideMark/>
          </w:tcPr>
          <w:p w14:paraId="5D6E35CE"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Imagery platform used</w:t>
            </w:r>
          </w:p>
        </w:tc>
        <w:tc>
          <w:tcPr>
            <w:tcW w:w="192" w:type="pct"/>
            <w:tcBorders>
              <w:top w:val="nil"/>
              <w:left w:val="nil"/>
              <w:bottom w:val="single" w:sz="4" w:space="0" w:color="auto"/>
              <w:right w:val="nil"/>
            </w:tcBorders>
            <w:shd w:val="clear" w:color="000000" w:fill="FFFFFF"/>
            <w:vAlign w:val="center"/>
            <w:hideMark/>
          </w:tcPr>
          <w:p w14:paraId="6812FFAB"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incl. Xeno</w:t>
            </w:r>
          </w:p>
        </w:tc>
        <w:tc>
          <w:tcPr>
            <w:tcW w:w="254" w:type="pct"/>
            <w:tcBorders>
              <w:top w:val="nil"/>
              <w:left w:val="nil"/>
              <w:bottom w:val="single" w:sz="4" w:space="0" w:color="auto"/>
              <w:right w:val="nil"/>
            </w:tcBorders>
            <w:shd w:val="clear" w:color="000000" w:fill="FFFFFF"/>
            <w:vAlign w:val="center"/>
            <w:hideMark/>
          </w:tcPr>
          <w:p w14:paraId="3BE7292D"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Nodules</w:t>
            </w:r>
          </w:p>
        </w:tc>
        <w:tc>
          <w:tcPr>
            <w:tcW w:w="333" w:type="pct"/>
            <w:tcBorders>
              <w:top w:val="nil"/>
              <w:left w:val="nil"/>
              <w:bottom w:val="single" w:sz="4" w:space="0" w:color="auto"/>
              <w:right w:val="nil"/>
            </w:tcBorders>
            <w:shd w:val="clear" w:color="000000" w:fill="FFFFFF"/>
            <w:noWrap/>
            <w:vAlign w:val="center"/>
            <w:hideMark/>
          </w:tcPr>
          <w:p w14:paraId="2E2365F6"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Depth (m)</w:t>
            </w:r>
          </w:p>
        </w:tc>
        <w:tc>
          <w:tcPr>
            <w:tcW w:w="677" w:type="pct"/>
            <w:tcBorders>
              <w:top w:val="nil"/>
              <w:left w:val="nil"/>
              <w:bottom w:val="single" w:sz="4" w:space="0" w:color="auto"/>
              <w:right w:val="nil"/>
            </w:tcBorders>
            <w:shd w:val="clear" w:color="000000" w:fill="FFFFFF"/>
            <w:noWrap/>
            <w:vAlign w:val="center"/>
            <w:hideMark/>
          </w:tcPr>
          <w:p w14:paraId="1F0B5434"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Area</w:t>
            </w:r>
          </w:p>
        </w:tc>
        <w:tc>
          <w:tcPr>
            <w:tcW w:w="492" w:type="pct"/>
            <w:tcBorders>
              <w:top w:val="nil"/>
              <w:left w:val="nil"/>
              <w:bottom w:val="single" w:sz="4" w:space="0" w:color="auto"/>
              <w:right w:val="nil"/>
            </w:tcBorders>
            <w:shd w:val="clear" w:color="000000" w:fill="FFFFFF"/>
            <w:noWrap/>
            <w:vAlign w:val="center"/>
            <w:hideMark/>
          </w:tcPr>
          <w:p w14:paraId="10AA0D75"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Area surveyed (m</w:t>
            </w:r>
            <w:r w:rsidRPr="004F22D5">
              <w:rPr>
                <w:rFonts w:eastAsia="Times New Roman" w:cs="Times New Roman"/>
                <w:color w:val="000000"/>
                <w:kern w:val="0"/>
                <w:sz w:val="20"/>
                <w:szCs w:val="20"/>
                <w:vertAlign w:val="superscript"/>
                <w14:ligatures w14:val="none"/>
              </w:rPr>
              <w:t>2</w:t>
            </w:r>
            <w:r w:rsidRPr="004F22D5">
              <w:rPr>
                <w:rFonts w:eastAsia="Times New Roman" w:cs="Times New Roman"/>
                <w:color w:val="000000"/>
                <w:kern w:val="0"/>
                <w:sz w:val="20"/>
                <w:szCs w:val="20"/>
                <w14:ligatures w14:val="none"/>
              </w:rPr>
              <w:t>)</w:t>
            </w:r>
          </w:p>
        </w:tc>
        <w:tc>
          <w:tcPr>
            <w:tcW w:w="271" w:type="pct"/>
            <w:tcBorders>
              <w:top w:val="nil"/>
              <w:left w:val="nil"/>
              <w:bottom w:val="single" w:sz="4" w:space="0" w:color="auto"/>
              <w:right w:val="nil"/>
            </w:tcBorders>
            <w:shd w:val="clear" w:color="000000" w:fill="FFFFFF"/>
            <w:noWrap/>
            <w:vAlign w:val="center"/>
            <w:hideMark/>
          </w:tcPr>
          <w:p w14:paraId="66D30EAE"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#pictures</w:t>
            </w:r>
          </w:p>
        </w:tc>
        <w:tc>
          <w:tcPr>
            <w:tcW w:w="182" w:type="pct"/>
            <w:tcBorders>
              <w:top w:val="nil"/>
              <w:left w:val="nil"/>
              <w:bottom w:val="single" w:sz="4" w:space="0" w:color="auto"/>
              <w:right w:val="nil"/>
            </w:tcBorders>
            <w:shd w:val="clear" w:color="000000" w:fill="FFFFFF"/>
            <w:noWrap/>
            <w:vAlign w:val="center"/>
            <w:hideMark/>
          </w:tcPr>
          <w:p w14:paraId="49E7067F"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Avg.</w:t>
            </w:r>
          </w:p>
        </w:tc>
        <w:tc>
          <w:tcPr>
            <w:tcW w:w="170" w:type="pct"/>
            <w:tcBorders>
              <w:top w:val="nil"/>
              <w:left w:val="nil"/>
              <w:bottom w:val="single" w:sz="4" w:space="0" w:color="auto"/>
              <w:right w:val="nil"/>
            </w:tcBorders>
            <w:shd w:val="clear" w:color="000000" w:fill="FFFFFF"/>
            <w:noWrap/>
            <w:vAlign w:val="center"/>
            <w:hideMark/>
          </w:tcPr>
          <w:p w14:paraId="3EF11572"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Min</w:t>
            </w:r>
          </w:p>
        </w:tc>
        <w:tc>
          <w:tcPr>
            <w:tcW w:w="174" w:type="pct"/>
            <w:tcBorders>
              <w:top w:val="nil"/>
              <w:left w:val="nil"/>
              <w:bottom w:val="single" w:sz="4" w:space="0" w:color="auto"/>
              <w:right w:val="nil"/>
            </w:tcBorders>
            <w:shd w:val="clear" w:color="000000" w:fill="FFFFFF"/>
            <w:noWrap/>
            <w:vAlign w:val="center"/>
            <w:hideMark/>
          </w:tcPr>
          <w:p w14:paraId="41D0920D"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Max</w:t>
            </w:r>
          </w:p>
        </w:tc>
        <w:tc>
          <w:tcPr>
            <w:tcW w:w="90" w:type="pct"/>
            <w:tcBorders>
              <w:top w:val="nil"/>
              <w:left w:val="nil"/>
              <w:bottom w:val="single" w:sz="4" w:space="0" w:color="auto"/>
              <w:right w:val="nil"/>
            </w:tcBorders>
            <w:shd w:val="clear" w:color="000000" w:fill="FFFFFF"/>
            <w:noWrap/>
            <w:vAlign w:val="bottom"/>
            <w:hideMark/>
          </w:tcPr>
          <w:p w14:paraId="797FDC2E"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 </w:t>
            </w:r>
          </w:p>
        </w:tc>
        <w:tc>
          <w:tcPr>
            <w:tcW w:w="223" w:type="pct"/>
            <w:tcBorders>
              <w:top w:val="nil"/>
              <w:left w:val="nil"/>
              <w:bottom w:val="single" w:sz="4" w:space="0" w:color="auto"/>
              <w:right w:val="nil"/>
            </w:tcBorders>
            <w:shd w:val="clear" w:color="000000" w:fill="FFFFFF"/>
            <w:noWrap/>
            <w:vAlign w:val="center"/>
            <w:hideMark/>
          </w:tcPr>
          <w:p w14:paraId="392EBA49"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Avg.</w:t>
            </w:r>
          </w:p>
        </w:tc>
        <w:tc>
          <w:tcPr>
            <w:tcW w:w="196" w:type="pct"/>
            <w:tcBorders>
              <w:top w:val="nil"/>
              <w:left w:val="nil"/>
              <w:bottom w:val="single" w:sz="4" w:space="0" w:color="auto"/>
              <w:right w:val="nil"/>
            </w:tcBorders>
            <w:shd w:val="clear" w:color="000000" w:fill="FFFFFF"/>
            <w:noWrap/>
            <w:vAlign w:val="center"/>
            <w:hideMark/>
          </w:tcPr>
          <w:p w14:paraId="50AD59CF"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Min</w:t>
            </w:r>
          </w:p>
        </w:tc>
        <w:tc>
          <w:tcPr>
            <w:tcW w:w="223" w:type="pct"/>
            <w:tcBorders>
              <w:top w:val="nil"/>
              <w:left w:val="nil"/>
              <w:bottom w:val="single" w:sz="4" w:space="0" w:color="auto"/>
              <w:right w:val="nil"/>
            </w:tcBorders>
            <w:shd w:val="clear" w:color="000000" w:fill="FFFFFF"/>
            <w:noWrap/>
            <w:vAlign w:val="center"/>
            <w:hideMark/>
          </w:tcPr>
          <w:p w14:paraId="255B4B7E"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Max</w:t>
            </w:r>
          </w:p>
        </w:tc>
        <w:tc>
          <w:tcPr>
            <w:tcW w:w="90" w:type="pct"/>
            <w:tcBorders>
              <w:top w:val="nil"/>
              <w:left w:val="nil"/>
              <w:bottom w:val="single" w:sz="4" w:space="0" w:color="auto"/>
              <w:right w:val="nil"/>
            </w:tcBorders>
            <w:shd w:val="clear" w:color="000000" w:fill="FFFFFF"/>
            <w:noWrap/>
            <w:vAlign w:val="bottom"/>
            <w:hideMark/>
          </w:tcPr>
          <w:p w14:paraId="3A6BECD4"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 </w:t>
            </w:r>
          </w:p>
        </w:tc>
        <w:tc>
          <w:tcPr>
            <w:tcW w:w="333" w:type="pct"/>
            <w:tcBorders>
              <w:top w:val="nil"/>
              <w:left w:val="nil"/>
              <w:bottom w:val="single" w:sz="4" w:space="0" w:color="auto"/>
              <w:right w:val="nil"/>
            </w:tcBorders>
            <w:shd w:val="clear" w:color="000000" w:fill="FFFFFF"/>
            <w:noWrap/>
            <w:vAlign w:val="center"/>
            <w:hideMark/>
          </w:tcPr>
          <w:p w14:paraId="59694280"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 </w:t>
            </w:r>
          </w:p>
        </w:tc>
      </w:tr>
      <w:tr w:rsidR="00D12F84" w:rsidRPr="004F22D5" w14:paraId="7442EF59" w14:textId="77777777" w:rsidTr="00D12F84">
        <w:trPr>
          <w:trHeight w:val="288"/>
        </w:trPr>
        <w:tc>
          <w:tcPr>
            <w:tcW w:w="539" w:type="pct"/>
            <w:vMerge w:val="restart"/>
            <w:tcBorders>
              <w:top w:val="nil"/>
              <w:left w:val="nil"/>
              <w:bottom w:val="nil"/>
              <w:right w:val="nil"/>
            </w:tcBorders>
            <w:shd w:val="clear" w:color="000000" w:fill="FFFFFF"/>
            <w:noWrap/>
            <w:vAlign w:val="center"/>
            <w:hideMark/>
          </w:tcPr>
          <w:p w14:paraId="62A1235B"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Current study</w:t>
            </w:r>
          </w:p>
        </w:tc>
        <w:tc>
          <w:tcPr>
            <w:tcW w:w="559" w:type="pct"/>
            <w:vMerge w:val="restart"/>
            <w:tcBorders>
              <w:top w:val="nil"/>
              <w:left w:val="nil"/>
              <w:bottom w:val="nil"/>
              <w:right w:val="nil"/>
            </w:tcBorders>
            <w:shd w:val="clear" w:color="000000" w:fill="FFFFFF"/>
            <w:noWrap/>
            <w:vAlign w:val="center"/>
            <w:hideMark/>
          </w:tcPr>
          <w:p w14:paraId="5AD647FA"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AUV REMUS 6000</w:t>
            </w:r>
          </w:p>
        </w:tc>
        <w:tc>
          <w:tcPr>
            <w:tcW w:w="192" w:type="pct"/>
            <w:tcBorders>
              <w:top w:val="nil"/>
              <w:left w:val="nil"/>
              <w:bottom w:val="nil"/>
              <w:right w:val="nil"/>
            </w:tcBorders>
            <w:shd w:val="clear" w:color="000000" w:fill="FFFFFF"/>
            <w:vAlign w:val="center"/>
            <w:hideMark/>
          </w:tcPr>
          <w:p w14:paraId="69942D91"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yes</w:t>
            </w:r>
          </w:p>
        </w:tc>
        <w:tc>
          <w:tcPr>
            <w:tcW w:w="254" w:type="pct"/>
            <w:tcBorders>
              <w:top w:val="nil"/>
              <w:left w:val="nil"/>
              <w:bottom w:val="nil"/>
              <w:right w:val="nil"/>
            </w:tcBorders>
            <w:shd w:val="clear" w:color="000000" w:fill="FFFFFF"/>
            <w:vAlign w:val="center"/>
            <w:hideMark/>
          </w:tcPr>
          <w:p w14:paraId="74A4F528"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yes</w:t>
            </w:r>
          </w:p>
        </w:tc>
        <w:tc>
          <w:tcPr>
            <w:tcW w:w="333" w:type="pct"/>
            <w:vMerge w:val="restart"/>
            <w:tcBorders>
              <w:top w:val="nil"/>
              <w:left w:val="nil"/>
              <w:bottom w:val="nil"/>
              <w:right w:val="nil"/>
            </w:tcBorders>
            <w:shd w:val="clear" w:color="000000" w:fill="FFFFFF"/>
            <w:noWrap/>
            <w:vAlign w:val="center"/>
            <w:hideMark/>
          </w:tcPr>
          <w:p w14:paraId="775DE56E"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4,524</w:t>
            </w:r>
          </w:p>
        </w:tc>
        <w:tc>
          <w:tcPr>
            <w:tcW w:w="677" w:type="pct"/>
            <w:vMerge w:val="restart"/>
            <w:tcBorders>
              <w:top w:val="nil"/>
              <w:left w:val="nil"/>
              <w:bottom w:val="nil"/>
              <w:right w:val="nil"/>
            </w:tcBorders>
            <w:shd w:val="clear" w:color="000000" w:fill="FFFFFF"/>
            <w:noWrap/>
            <w:vAlign w:val="center"/>
            <w:hideMark/>
          </w:tcPr>
          <w:p w14:paraId="6837AE5C"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GSR, CCFZ</w:t>
            </w:r>
          </w:p>
        </w:tc>
        <w:tc>
          <w:tcPr>
            <w:tcW w:w="492" w:type="pct"/>
            <w:vMerge w:val="restart"/>
            <w:tcBorders>
              <w:top w:val="nil"/>
              <w:left w:val="nil"/>
              <w:bottom w:val="nil"/>
              <w:right w:val="nil"/>
            </w:tcBorders>
            <w:shd w:val="clear" w:color="auto" w:fill="auto"/>
            <w:noWrap/>
            <w:vAlign w:val="center"/>
            <w:hideMark/>
          </w:tcPr>
          <w:p w14:paraId="3B28F3F0" w14:textId="77777777" w:rsidR="004F22D5" w:rsidRPr="004F22D5" w:rsidRDefault="004F22D5" w:rsidP="004F22D5">
            <w:pPr>
              <w:spacing w:after="0" w:line="240" w:lineRule="auto"/>
              <w:jc w:val="center"/>
              <w:rPr>
                <w:rFonts w:eastAsia="Times New Roman" w:cs="Times New Roman"/>
                <w:color w:val="000000"/>
                <w:kern w:val="0"/>
                <w14:ligatures w14:val="none"/>
              </w:rPr>
            </w:pPr>
            <w:r w:rsidRPr="004F22D5">
              <w:rPr>
                <w:rFonts w:eastAsia="Times New Roman" w:cs="Times New Roman"/>
                <w:color w:val="000000"/>
                <w:kern w:val="0"/>
                <w14:ligatures w14:val="none"/>
              </w:rPr>
              <w:t>22,205</w:t>
            </w:r>
          </w:p>
        </w:tc>
        <w:tc>
          <w:tcPr>
            <w:tcW w:w="271" w:type="pct"/>
            <w:vMerge w:val="restart"/>
            <w:tcBorders>
              <w:top w:val="nil"/>
              <w:left w:val="nil"/>
              <w:bottom w:val="nil"/>
              <w:right w:val="nil"/>
            </w:tcBorders>
            <w:shd w:val="clear" w:color="000000" w:fill="FFFFFF"/>
            <w:noWrap/>
            <w:vAlign w:val="center"/>
            <w:hideMark/>
          </w:tcPr>
          <w:p w14:paraId="2D2302F9"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1,000</w:t>
            </w:r>
          </w:p>
        </w:tc>
        <w:tc>
          <w:tcPr>
            <w:tcW w:w="182" w:type="pct"/>
            <w:vMerge w:val="restart"/>
            <w:tcBorders>
              <w:top w:val="nil"/>
              <w:left w:val="nil"/>
              <w:bottom w:val="nil"/>
              <w:right w:val="nil"/>
            </w:tcBorders>
            <w:shd w:val="clear" w:color="000000" w:fill="FFFFFF"/>
            <w:noWrap/>
            <w:vAlign w:val="center"/>
            <w:hideMark/>
          </w:tcPr>
          <w:p w14:paraId="3335DA8E"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8.09</w:t>
            </w:r>
          </w:p>
        </w:tc>
        <w:tc>
          <w:tcPr>
            <w:tcW w:w="170" w:type="pct"/>
            <w:vMerge w:val="restart"/>
            <w:tcBorders>
              <w:top w:val="nil"/>
              <w:left w:val="nil"/>
              <w:bottom w:val="nil"/>
              <w:right w:val="nil"/>
            </w:tcBorders>
            <w:shd w:val="clear" w:color="000000" w:fill="FFFFFF"/>
            <w:noWrap/>
            <w:vAlign w:val="center"/>
            <w:hideMark/>
          </w:tcPr>
          <w:p w14:paraId="340E5A18"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4.52</w:t>
            </w:r>
          </w:p>
        </w:tc>
        <w:tc>
          <w:tcPr>
            <w:tcW w:w="174" w:type="pct"/>
            <w:vMerge w:val="restart"/>
            <w:tcBorders>
              <w:top w:val="nil"/>
              <w:left w:val="nil"/>
              <w:bottom w:val="nil"/>
              <w:right w:val="nil"/>
            </w:tcBorders>
            <w:shd w:val="clear" w:color="000000" w:fill="FFFFFF"/>
            <w:noWrap/>
            <w:vAlign w:val="center"/>
            <w:hideMark/>
          </w:tcPr>
          <w:p w14:paraId="25A322C3"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17.7</w:t>
            </w:r>
          </w:p>
        </w:tc>
        <w:tc>
          <w:tcPr>
            <w:tcW w:w="90" w:type="pct"/>
            <w:tcBorders>
              <w:top w:val="nil"/>
              <w:left w:val="nil"/>
              <w:bottom w:val="nil"/>
              <w:right w:val="nil"/>
            </w:tcBorders>
            <w:shd w:val="clear" w:color="000000" w:fill="FFFFFF"/>
            <w:noWrap/>
            <w:vAlign w:val="bottom"/>
            <w:hideMark/>
          </w:tcPr>
          <w:p w14:paraId="7E7956B9"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 </w:t>
            </w:r>
          </w:p>
        </w:tc>
        <w:tc>
          <w:tcPr>
            <w:tcW w:w="223" w:type="pct"/>
            <w:tcBorders>
              <w:top w:val="nil"/>
              <w:left w:val="nil"/>
              <w:bottom w:val="nil"/>
              <w:right w:val="nil"/>
            </w:tcBorders>
            <w:shd w:val="clear" w:color="000000" w:fill="FFFFFF"/>
            <w:noWrap/>
            <w:vAlign w:val="center"/>
            <w:hideMark/>
          </w:tcPr>
          <w:p w14:paraId="1000E6C7"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7,235</w:t>
            </w:r>
          </w:p>
        </w:tc>
        <w:tc>
          <w:tcPr>
            <w:tcW w:w="196" w:type="pct"/>
            <w:tcBorders>
              <w:top w:val="nil"/>
              <w:left w:val="nil"/>
              <w:bottom w:val="nil"/>
              <w:right w:val="nil"/>
            </w:tcBorders>
            <w:shd w:val="clear" w:color="000000" w:fill="FFFFFF"/>
            <w:noWrap/>
            <w:vAlign w:val="center"/>
            <w:hideMark/>
          </w:tcPr>
          <w:p w14:paraId="0DA2259B"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1,074</w:t>
            </w:r>
          </w:p>
        </w:tc>
        <w:tc>
          <w:tcPr>
            <w:tcW w:w="223" w:type="pct"/>
            <w:tcBorders>
              <w:top w:val="nil"/>
              <w:left w:val="nil"/>
              <w:bottom w:val="nil"/>
              <w:right w:val="nil"/>
            </w:tcBorders>
            <w:shd w:val="clear" w:color="000000" w:fill="FFFFFF"/>
            <w:noWrap/>
            <w:vAlign w:val="center"/>
            <w:hideMark/>
          </w:tcPr>
          <w:p w14:paraId="20895F76"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24,704</w:t>
            </w:r>
          </w:p>
        </w:tc>
        <w:tc>
          <w:tcPr>
            <w:tcW w:w="90" w:type="pct"/>
            <w:tcBorders>
              <w:top w:val="nil"/>
              <w:left w:val="nil"/>
              <w:bottom w:val="nil"/>
              <w:right w:val="nil"/>
            </w:tcBorders>
            <w:shd w:val="clear" w:color="000000" w:fill="FFFFFF"/>
            <w:noWrap/>
            <w:vAlign w:val="bottom"/>
            <w:hideMark/>
          </w:tcPr>
          <w:p w14:paraId="511FF587"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 </w:t>
            </w:r>
          </w:p>
        </w:tc>
        <w:tc>
          <w:tcPr>
            <w:tcW w:w="333" w:type="pct"/>
            <w:tcBorders>
              <w:top w:val="nil"/>
              <w:left w:val="nil"/>
              <w:bottom w:val="nil"/>
              <w:right w:val="nil"/>
            </w:tcBorders>
            <w:shd w:val="clear" w:color="000000" w:fill="FFFFFF"/>
            <w:vAlign w:val="center"/>
            <w:hideMark/>
          </w:tcPr>
          <w:p w14:paraId="521B16B5"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43</w:t>
            </w:r>
          </w:p>
        </w:tc>
      </w:tr>
      <w:tr w:rsidR="00D12F84" w:rsidRPr="004F22D5" w14:paraId="230A8CAD" w14:textId="77777777" w:rsidTr="00D12F84">
        <w:trPr>
          <w:trHeight w:val="288"/>
        </w:trPr>
        <w:tc>
          <w:tcPr>
            <w:tcW w:w="539" w:type="pct"/>
            <w:vMerge/>
            <w:tcBorders>
              <w:top w:val="nil"/>
              <w:left w:val="nil"/>
              <w:bottom w:val="nil"/>
              <w:right w:val="nil"/>
            </w:tcBorders>
            <w:vAlign w:val="center"/>
            <w:hideMark/>
          </w:tcPr>
          <w:p w14:paraId="46E5221E"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p>
        </w:tc>
        <w:tc>
          <w:tcPr>
            <w:tcW w:w="559" w:type="pct"/>
            <w:vMerge/>
            <w:tcBorders>
              <w:top w:val="nil"/>
              <w:left w:val="nil"/>
              <w:bottom w:val="nil"/>
              <w:right w:val="nil"/>
            </w:tcBorders>
            <w:vAlign w:val="center"/>
            <w:hideMark/>
          </w:tcPr>
          <w:p w14:paraId="5F5AAB3E"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p>
        </w:tc>
        <w:tc>
          <w:tcPr>
            <w:tcW w:w="192" w:type="pct"/>
            <w:tcBorders>
              <w:top w:val="nil"/>
              <w:left w:val="nil"/>
              <w:bottom w:val="nil"/>
              <w:right w:val="nil"/>
            </w:tcBorders>
            <w:shd w:val="clear" w:color="000000" w:fill="FFFFFF"/>
            <w:vAlign w:val="center"/>
            <w:hideMark/>
          </w:tcPr>
          <w:p w14:paraId="34685B44"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no</w:t>
            </w:r>
          </w:p>
        </w:tc>
        <w:tc>
          <w:tcPr>
            <w:tcW w:w="254" w:type="pct"/>
            <w:tcBorders>
              <w:top w:val="nil"/>
              <w:left w:val="nil"/>
              <w:bottom w:val="nil"/>
              <w:right w:val="nil"/>
            </w:tcBorders>
            <w:shd w:val="clear" w:color="000000" w:fill="FFFFFF"/>
            <w:vAlign w:val="center"/>
            <w:hideMark/>
          </w:tcPr>
          <w:p w14:paraId="22820F34"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yes</w:t>
            </w:r>
          </w:p>
        </w:tc>
        <w:tc>
          <w:tcPr>
            <w:tcW w:w="333" w:type="pct"/>
            <w:vMerge/>
            <w:tcBorders>
              <w:top w:val="nil"/>
              <w:left w:val="nil"/>
              <w:bottom w:val="nil"/>
              <w:right w:val="nil"/>
            </w:tcBorders>
            <w:vAlign w:val="center"/>
            <w:hideMark/>
          </w:tcPr>
          <w:p w14:paraId="728E0D03"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p>
        </w:tc>
        <w:tc>
          <w:tcPr>
            <w:tcW w:w="677" w:type="pct"/>
            <w:vMerge/>
            <w:tcBorders>
              <w:top w:val="nil"/>
              <w:left w:val="nil"/>
              <w:bottom w:val="nil"/>
              <w:right w:val="nil"/>
            </w:tcBorders>
            <w:vAlign w:val="center"/>
            <w:hideMark/>
          </w:tcPr>
          <w:p w14:paraId="4E962519"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p>
        </w:tc>
        <w:tc>
          <w:tcPr>
            <w:tcW w:w="492" w:type="pct"/>
            <w:vMerge/>
            <w:tcBorders>
              <w:top w:val="nil"/>
              <w:left w:val="nil"/>
              <w:bottom w:val="nil"/>
              <w:right w:val="nil"/>
            </w:tcBorders>
            <w:vAlign w:val="center"/>
            <w:hideMark/>
          </w:tcPr>
          <w:p w14:paraId="711A1768" w14:textId="77777777" w:rsidR="004F22D5" w:rsidRPr="004F22D5" w:rsidRDefault="004F22D5" w:rsidP="004F22D5">
            <w:pPr>
              <w:spacing w:after="0" w:line="240" w:lineRule="auto"/>
              <w:jc w:val="left"/>
              <w:rPr>
                <w:rFonts w:eastAsia="Times New Roman" w:cs="Times New Roman"/>
                <w:color w:val="000000"/>
                <w:kern w:val="0"/>
                <w14:ligatures w14:val="none"/>
              </w:rPr>
            </w:pPr>
          </w:p>
        </w:tc>
        <w:tc>
          <w:tcPr>
            <w:tcW w:w="271" w:type="pct"/>
            <w:vMerge/>
            <w:tcBorders>
              <w:top w:val="nil"/>
              <w:left w:val="nil"/>
              <w:bottom w:val="nil"/>
              <w:right w:val="nil"/>
            </w:tcBorders>
            <w:vAlign w:val="center"/>
            <w:hideMark/>
          </w:tcPr>
          <w:p w14:paraId="1100DD21"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p>
        </w:tc>
        <w:tc>
          <w:tcPr>
            <w:tcW w:w="182" w:type="pct"/>
            <w:vMerge/>
            <w:tcBorders>
              <w:top w:val="nil"/>
              <w:left w:val="nil"/>
              <w:bottom w:val="nil"/>
              <w:right w:val="nil"/>
            </w:tcBorders>
            <w:vAlign w:val="center"/>
            <w:hideMark/>
          </w:tcPr>
          <w:p w14:paraId="693007A3"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p>
        </w:tc>
        <w:tc>
          <w:tcPr>
            <w:tcW w:w="170" w:type="pct"/>
            <w:vMerge/>
            <w:tcBorders>
              <w:top w:val="nil"/>
              <w:left w:val="nil"/>
              <w:bottom w:val="nil"/>
              <w:right w:val="nil"/>
            </w:tcBorders>
            <w:vAlign w:val="center"/>
            <w:hideMark/>
          </w:tcPr>
          <w:p w14:paraId="72A1F172"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p>
        </w:tc>
        <w:tc>
          <w:tcPr>
            <w:tcW w:w="174" w:type="pct"/>
            <w:vMerge/>
            <w:tcBorders>
              <w:top w:val="nil"/>
              <w:left w:val="nil"/>
              <w:bottom w:val="nil"/>
              <w:right w:val="nil"/>
            </w:tcBorders>
            <w:vAlign w:val="center"/>
            <w:hideMark/>
          </w:tcPr>
          <w:p w14:paraId="49B89E92"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p>
        </w:tc>
        <w:tc>
          <w:tcPr>
            <w:tcW w:w="90" w:type="pct"/>
            <w:tcBorders>
              <w:top w:val="nil"/>
              <w:left w:val="nil"/>
              <w:bottom w:val="nil"/>
              <w:right w:val="nil"/>
            </w:tcBorders>
            <w:shd w:val="clear" w:color="000000" w:fill="FFFFFF"/>
            <w:noWrap/>
            <w:vAlign w:val="center"/>
            <w:hideMark/>
          </w:tcPr>
          <w:p w14:paraId="4AA82021"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 </w:t>
            </w:r>
          </w:p>
        </w:tc>
        <w:tc>
          <w:tcPr>
            <w:tcW w:w="223" w:type="pct"/>
            <w:tcBorders>
              <w:top w:val="nil"/>
              <w:left w:val="nil"/>
              <w:bottom w:val="nil"/>
              <w:right w:val="nil"/>
            </w:tcBorders>
            <w:shd w:val="clear" w:color="000000" w:fill="FFFFFF"/>
            <w:noWrap/>
            <w:vAlign w:val="center"/>
            <w:hideMark/>
          </w:tcPr>
          <w:p w14:paraId="2EE56AB4"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1,277</w:t>
            </w:r>
          </w:p>
        </w:tc>
        <w:tc>
          <w:tcPr>
            <w:tcW w:w="196" w:type="pct"/>
            <w:tcBorders>
              <w:top w:val="nil"/>
              <w:left w:val="nil"/>
              <w:bottom w:val="nil"/>
              <w:right w:val="nil"/>
            </w:tcBorders>
            <w:shd w:val="clear" w:color="000000" w:fill="FFFFFF"/>
            <w:noWrap/>
            <w:vAlign w:val="center"/>
            <w:hideMark/>
          </w:tcPr>
          <w:p w14:paraId="323B57A1"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610</w:t>
            </w:r>
          </w:p>
        </w:tc>
        <w:tc>
          <w:tcPr>
            <w:tcW w:w="223" w:type="pct"/>
            <w:tcBorders>
              <w:top w:val="nil"/>
              <w:left w:val="nil"/>
              <w:bottom w:val="nil"/>
              <w:right w:val="nil"/>
            </w:tcBorders>
            <w:shd w:val="clear" w:color="000000" w:fill="FFFFFF"/>
            <w:noWrap/>
            <w:vAlign w:val="center"/>
            <w:hideMark/>
          </w:tcPr>
          <w:p w14:paraId="299D85F8"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2,063</w:t>
            </w:r>
          </w:p>
        </w:tc>
        <w:tc>
          <w:tcPr>
            <w:tcW w:w="90" w:type="pct"/>
            <w:tcBorders>
              <w:top w:val="nil"/>
              <w:left w:val="nil"/>
              <w:bottom w:val="nil"/>
              <w:right w:val="nil"/>
            </w:tcBorders>
            <w:shd w:val="clear" w:color="000000" w:fill="FFFFFF"/>
            <w:noWrap/>
            <w:vAlign w:val="center"/>
            <w:hideMark/>
          </w:tcPr>
          <w:p w14:paraId="1B2943B4"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 </w:t>
            </w:r>
          </w:p>
        </w:tc>
        <w:tc>
          <w:tcPr>
            <w:tcW w:w="333" w:type="pct"/>
            <w:tcBorders>
              <w:top w:val="nil"/>
              <w:left w:val="nil"/>
              <w:bottom w:val="nil"/>
              <w:right w:val="nil"/>
            </w:tcBorders>
            <w:shd w:val="clear" w:color="000000" w:fill="FFFFFF"/>
            <w:vAlign w:val="center"/>
            <w:hideMark/>
          </w:tcPr>
          <w:p w14:paraId="1917043E"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41</w:t>
            </w:r>
          </w:p>
        </w:tc>
      </w:tr>
      <w:tr w:rsidR="00D12F84" w:rsidRPr="004F22D5" w14:paraId="28EE4C66" w14:textId="77777777" w:rsidTr="00D12F84">
        <w:trPr>
          <w:trHeight w:val="288"/>
        </w:trPr>
        <w:tc>
          <w:tcPr>
            <w:tcW w:w="539" w:type="pct"/>
            <w:vMerge w:val="restart"/>
            <w:tcBorders>
              <w:top w:val="nil"/>
              <w:left w:val="nil"/>
              <w:bottom w:val="nil"/>
              <w:right w:val="nil"/>
            </w:tcBorders>
            <w:shd w:val="clear" w:color="000000" w:fill="F2F2F2"/>
            <w:noWrap/>
            <w:vAlign w:val="center"/>
            <w:hideMark/>
          </w:tcPr>
          <w:p w14:paraId="66C38DA1"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Current study (&lt; 8 m)</w:t>
            </w:r>
          </w:p>
        </w:tc>
        <w:tc>
          <w:tcPr>
            <w:tcW w:w="559" w:type="pct"/>
            <w:vMerge w:val="restart"/>
            <w:tcBorders>
              <w:top w:val="nil"/>
              <w:left w:val="nil"/>
              <w:bottom w:val="nil"/>
              <w:right w:val="nil"/>
            </w:tcBorders>
            <w:shd w:val="clear" w:color="000000" w:fill="F2F2F2"/>
            <w:noWrap/>
            <w:vAlign w:val="center"/>
            <w:hideMark/>
          </w:tcPr>
          <w:p w14:paraId="771D4FF2"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AUV REMUS 6000</w:t>
            </w:r>
          </w:p>
        </w:tc>
        <w:tc>
          <w:tcPr>
            <w:tcW w:w="192" w:type="pct"/>
            <w:tcBorders>
              <w:top w:val="nil"/>
              <w:left w:val="nil"/>
              <w:bottom w:val="nil"/>
              <w:right w:val="nil"/>
            </w:tcBorders>
            <w:shd w:val="clear" w:color="000000" w:fill="F2F2F2"/>
            <w:vAlign w:val="center"/>
            <w:hideMark/>
          </w:tcPr>
          <w:p w14:paraId="3A90FDC9"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yes</w:t>
            </w:r>
          </w:p>
        </w:tc>
        <w:tc>
          <w:tcPr>
            <w:tcW w:w="254" w:type="pct"/>
            <w:tcBorders>
              <w:top w:val="nil"/>
              <w:left w:val="nil"/>
              <w:bottom w:val="nil"/>
              <w:right w:val="nil"/>
            </w:tcBorders>
            <w:shd w:val="clear" w:color="000000" w:fill="F2F2F2"/>
            <w:vAlign w:val="center"/>
            <w:hideMark/>
          </w:tcPr>
          <w:p w14:paraId="6764E00F"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yes</w:t>
            </w:r>
          </w:p>
        </w:tc>
        <w:tc>
          <w:tcPr>
            <w:tcW w:w="333" w:type="pct"/>
            <w:vMerge w:val="restart"/>
            <w:tcBorders>
              <w:top w:val="nil"/>
              <w:left w:val="nil"/>
              <w:bottom w:val="nil"/>
              <w:right w:val="nil"/>
            </w:tcBorders>
            <w:shd w:val="clear" w:color="000000" w:fill="F2F2F2"/>
            <w:noWrap/>
            <w:vAlign w:val="center"/>
            <w:hideMark/>
          </w:tcPr>
          <w:p w14:paraId="23F489B3"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4,524</w:t>
            </w:r>
          </w:p>
        </w:tc>
        <w:tc>
          <w:tcPr>
            <w:tcW w:w="677" w:type="pct"/>
            <w:vMerge w:val="restart"/>
            <w:tcBorders>
              <w:top w:val="nil"/>
              <w:left w:val="nil"/>
              <w:bottom w:val="nil"/>
              <w:right w:val="nil"/>
            </w:tcBorders>
            <w:shd w:val="clear" w:color="000000" w:fill="F2F2F2"/>
            <w:noWrap/>
            <w:vAlign w:val="center"/>
            <w:hideMark/>
          </w:tcPr>
          <w:p w14:paraId="7753613B"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GSR, CCFZ</w:t>
            </w:r>
          </w:p>
        </w:tc>
        <w:tc>
          <w:tcPr>
            <w:tcW w:w="492" w:type="pct"/>
            <w:vMerge w:val="restart"/>
            <w:tcBorders>
              <w:top w:val="nil"/>
              <w:left w:val="nil"/>
              <w:bottom w:val="nil"/>
              <w:right w:val="nil"/>
            </w:tcBorders>
            <w:shd w:val="clear" w:color="000000" w:fill="F2F2F2"/>
            <w:noWrap/>
            <w:vAlign w:val="center"/>
            <w:hideMark/>
          </w:tcPr>
          <w:p w14:paraId="54C60008"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5,829</w:t>
            </w:r>
          </w:p>
        </w:tc>
        <w:tc>
          <w:tcPr>
            <w:tcW w:w="271" w:type="pct"/>
            <w:vMerge w:val="restart"/>
            <w:tcBorders>
              <w:top w:val="nil"/>
              <w:left w:val="nil"/>
              <w:bottom w:val="nil"/>
              <w:right w:val="nil"/>
            </w:tcBorders>
            <w:shd w:val="clear" w:color="000000" w:fill="F2F2F2"/>
            <w:noWrap/>
            <w:vAlign w:val="center"/>
            <w:hideMark/>
          </w:tcPr>
          <w:p w14:paraId="4AFC0673"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500</w:t>
            </w:r>
          </w:p>
        </w:tc>
        <w:tc>
          <w:tcPr>
            <w:tcW w:w="182" w:type="pct"/>
            <w:vMerge w:val="restart"/>
            <w:tcBorders>
              <w:top w:val="nil"/>
              <w:left w:val="nil"/>
              <w:bottom w:val="nil"/>
              <w:right w:val="nil"/>
            </w:tcBorders>
            <w:shd w:val="clear" w:color="000000" w:fill="F2F2F2"/>
            <w:noWrap/>
            <w:vAlign w:val="center"/>
            <w:hideMark/>
          </w:tcPr>
          <w:p w14:paraId="419057EC"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5.99</w:t>
            </w:r>
          </w:p>
        </w:tc>
        <w:tc>
          <w:tcPr>
            <w:tcW w:w="170" w:type="pct"/>
            <w:vMerge w:val="restart"/>
            <w:tcBorders>
              <w:top w:val="nil"/>
              <w:left w:val="nil"/>
              <w:bottom w:val="nil"/>
              <w:right w:val="nil"/>
            </w:tcBorders>
            <w:shd w:val="clear" w:color="000000" w:fill="F2F2F2"/>
            <w:noWrap/>
            <w:vAlign w:val="center"/>
            <w:hideMark/>
          </w:tcPr>
          <w:p w14:paraId="5989D306"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4.52</w:t>
            </w:r>
          </w:p>
        </w:tc>
        <w:tc>
          <w:tcPr>
            <w:tcW w:w="174" w:type="pct"/>
            <w:vMerge w:val="restart"/>
            <w:tcBorders>
              <w:top w:val="nil"/>
              <w:left w:val="nil"/>
              <w:bottom w:val="nil"/>
              <w:right w:val="nil"/>
            </w:tcBorders>
            <w:shd w:val="clear" w:color="000000" w:fill="F2F2F2"/>
            <w:noWrap/>
            <w:vAlign w:val="center"/>
            <w:hideMark/>
          </w:tcPr>
          <w:p w14:paraId="1771624D"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7.98</w:t>
            </w:r>
          </w:p>
        </w:tc>
        <w:tc>
          <w:tcPr>
            <w:tcW w:w="90" w:type="pct"/>
            <w:tcBorders>
              <w:top w:val="nil"/>
              <w:left w:val="nil"/>
              <w:bottom w:val="nil"/>
              <w:right w:val="nil"/>
            </w:tcBorders>
            <w:shd w:val="clear" w:color="000000" w:fill="F2F2F2"/>
            <w:noWrap/>
            <w:vAlign w:val="bottom"/>
            <w:hideMark/>
          </w:tcPr>
          <w:p w14:paraId="73D4E4A2" w14:textId="77777777" w:rsidR="004F22D5" w:rsidRPr="004F22D5" w:rsidRDefault="004F22D5" w:rsidP="004F22D5">
            <w:pPr>
              <w:spacing w:after="0" w:line="240" w:lineRule="auto"/>
              <w:jc w:val="left"/>
              <w:rPr>
                <w:rFonts w:ascii="Calibri" w:eastAsia="Times New Roman" w:hAnsi="Calibri" w:cs="Calibri"/>
                <w:color w:val="000000"/>
                <w:kern w:val="0"/>
                <w14:ligatures w14:val="none"/>
              </w:rPr>
            </w:pPr>
            <w:r w:rsidRPr="004F22D5">
              <w:rPr>
                <w:rFonts w:ascii="Calibri" w:eastAsia="Times New Roman" w:hAnsi="Calibri" w:cs="Calibri"/>
                <w:color w:val="000000"/>
                <w:kern w:val="0"/>
                <w14:ligatures w14:val="none"/>
              </w:rPr>
              <w:t> </w:t>
            </w:r>
          </w:p>
        </w:tc>
        <w:tc>
          <w:tcPr>
            <w:tcW w:w="223" w:type="pct"/>
            <w:tcBorders>
              <w:top w:val="nil"/>
              <w:left w:val="nil"/>
              <w:bottom w:val="nil"/>
              <w:right w:val="nil"/>
            </w:tcBorders>
            <w:shd w:val="clear" w:color="000000" w:fill="F2F2F2"/>
            <w:noWrap/>
            <w:vAlign w:val="center"/>
            <w:hideMark/>
          </w:tcPr>
          <w:p w14:paraId="495411B0"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12,905</w:t>
            </w:r>
          </w:p>
        </w:tc>
        <w:tc>
          <w:tcPr>
            <w:tcW w:w="196" w:type="pct"/>
            <w:tcBorders>
              <w:top w:val="nil"/>
              <w:left w:val="nil"/>
              <w:bottom w:val="nil"/>
              <w:right w:val="nil"/>
            </w:tcBorders>
            <w:shd w:val="clear" w:color="000000" w:fill="F2F2F2"/>
            <w:noWrap/>
            <w:vAlign w:val="center"/>
            <w:hideMark/>
          </w:tcPr>
          <w:p w14:paraId="39376A13"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4,589</w:t>
            </w:r>
          </w:p>
        </w:tc>
        <w:tc>
          <w:tcPr>
            <w:tcW w:w="223" w:type="pct"/>
            <w:tcBorders>
              <w:top w:val="nil"/>
              <w:left w:val="nil"/>
              <w:bottom w:val="nil"/>
              <w:right w:val="nil"/>
            </w:tcBorders>
            <w:shd w:val="clear" w:color="000000" w:fill="F2F2F2"/>
            <w:noWrap/>
            <w:vAlign w:val="center"/>
            <w:hideMark/>
          </w:tcPr>
          <w:p w14:paraId="1DED2C47"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24,704</w:t>
            </w:r>
          </w:p>
        </w:tc>
        <w:tc>
          <w:tcPr>
            <w:tcW w:w="90" w:type="pct"/>
            <w:tcBorders>
              <w:top w:val="nil"/>
              <w:left w:val="nil"/>
              <w:bottom w:val="nil"/>
              <w:right w:val="nil"/>
            </w:tcBorders>
            <w:shd w:val="clear" w:color="000000" w:fill="F2F2F2"/>
            <w:noWrap/>
            <w:vAlign w:val="bottom"/>
            <w:hideMark/>
          </w:tcPr>
          <w:p w14:paraId="2EC85D4F" w14:textId="77777777" w:rsidR="004F22D5" w:rsidRPr="004F22D5" w:rsidRDefault="004F22D5" w:rsidP="004F22D5">
            <w:pPr>
              <w:spacing w:after="0" w:line="240" w:lineRule="auto"/>
              <w:jc w:val="left"/>
              <w:rPr>
                <w:rFonts w:ascii="Calibri" w:eastAsia="Times New Roman" w:hAnsi="Calibri" w:cs="Calibri"/>
                <w:color w:val="000000"/>
                <w:kern w:val="0"/>
                <w14:ligatures w14:val="none"/>
              </w:rPr>
            </w:pPr>
            <w:r w:rsidRPr="004F22D5">
              <w:rPr>
                <w:rFonts w:ascii="Calibri" w:eastAsia="Times New Roman" w:hAnsi="Calibri" w:cs="Calibri"/>
                <w:color w:val="000000"/>
                <w:kern w:val="0"/>
                <w14:ligatures w14:val="none"/>
              </w:rPr>
              <w:t> </w:t>
            </w:r>
          </w:p>
        </w:tc>
        <w:tc>
          <w:tcPr>
            <w:tcW w:w="333" w:type="pct"/>
            <w:tcBorders>
              <w:top w:val="nil"/>
              <w:left w:val="nil"/>
              <w:bottom w:val="nil"/>
              <w:right w:val="nil"/>
            </w:tcBorders>
            <w:shd w:val="clear" w:color="000000" w:fill="F2F2F2"/>
            <w:vAlign w:val="center"/>
            <w:hideMark/>
          </w:tcPr>
          <w:p w14:paraId="57B07E68"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32</w:t>
            </w:r>
          </w:p>
        </w:tc>
      </w:tr>
      <w:tr w:rsidR="00D12F84" w:rsidRPr="004F22D5" w14:paraId="0A481EC5" w14:textId="77777777" w:rsidTr="00D12F84">
        <w:trPr>
          <w:trHeight w:val="288"/>
        </w:trPr>
        <w:tc>
          <w:tcPr>
            <w:tcW w:w="539" w:type="pct"/>
            <w:vMerge/>
            <w:tcBorders>
              <w:top w:val="nil"/>
              <w:left w:val="nil"/>
              <w:bottom w:val="nil"/>
              <w:right w:val="nil"/>
            </w:tcBorders>
            <w:vAlign w:val="center"/>
            <w:hideMark/>
          </w:tcPr>
          <w:p w14:paraId="58F5BF1E"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p>
        </w:tc>
        <w:tc>
          <w:tcPr>
            <w:tcW w:w="559" w:type="pct"/>
            <w:vMerge/>
            <w:tcBorders>
              <w:top w:val="nil"/>
              <w:left w:val="nil"/>
              <w:bottom w:val="nil"/>
              <w:right w:val="nil"/>
            </w:tcBorders>
            <w:vAlign w:val="center"/>
            <w:hideMark/>
          </w:tcPr>
          <w:p w14:paraId="66B1C879"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p>
        </w:tc>
        <w:tc>
          <w:tcPr>
            <w:tcW w:w="192" w:type="pct"/>
            <w:tcBorders>
              <w:top w:val="nil"/>
              <w:left w:val="nil"/>
              <w:bottom w:val="nil"/>
              <w:right w:val="nil"/>
            </w:tcBorders>
            <w:shd w:val="clear" w:color="000000" w:fill="F2F2F2"/>
            <w:vAlign w:val="center"/>
            <w:hideMark/>
          </w:tcPr>
          <w:p w14:paraId="4D64BD59"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no</w:t>
            </w:r>
          </w:p>
        </w:tc>
        <w:tc>
          <w:tcPr>
            <w:tcW w:w="254" w:type="pct"/>
            <w:tcBorders>
              <w:top w:val="nil"/>
              <w:left w:val="nil"/>
              <w:bottom w:val="nil"/>
              <w:right w:val="nil"/>
            </w:tcBorders>
            <w:shd w:val="clear" w:color="000000" w:fill="F2F2F2"/>
            <w:vAlign w:val="center"/>
            <w:hideMark/>
          </w:tcPr>
          <w:p w14:paraId="2CC0CEAF"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yes</w:t>
            </w:r>
          </w:p>
        </w:tc>
        <w:tc>
          <w:tcPr>
            <w:tcW w:w="333" w:type="pct"/>
            <w:vMerge/>
            <w:tcBorders>
              <w:top w:val="nil"/>
              <w:left w:val="nil"/>
              <w:bottom w:val="nil"/>
              <w:right w:val="nil"/>
            </w:tcBorders>
            <w:vAlign w:val="center"/>
            <w:hideMark/>
          </w:tcPr>
          <w:p w14:paraId="7BC5D0C2"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p>
        </w:tc>
        <w:tc>
          <w:tcPr>
            <w:tcW w:w="677" w:type="pct"/>
            <w:vMerge/>
            <w:tcBorders>
              <w:top w:val="nil"/>
              <w:left w:val="nil"/>
              <w:bottom w:val="nil"/>
              <w:right w:val="nil"/>
            </w:tcBorders>
            <w:vAlign w:val="center"/>
            <w:hideMark/>
          </w:tcPr>
          <w:p w14:paraId="6EE6A3BA"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p>
        </w:tc>
        <w:tc>
          <w:tcPr>
            <w:tcW w:w="492" w:type="pct"/>
            <w:vMerge/>
            <w:tcBorders>
              <w:top w:val="nil"/>
              <w:left w:val="nil"/>
              <w:bottom w:val="nil"/>
              <w:right w:val="nil"/>
            </w:tcBorders>
            <w:vAlign w:val="center"/>
            <w:hideMark/>
          </w:tcPr>
          <w:p w14:paraId="2123FD26"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p>
        </w:tc>
        <w:tc>
          <w:tcPr>
            <w:tcW w:w="271" w:type="pct"/>
            <w:vMerge/>
            <w:tcBorders>
              <w:top w:val="nil"/>
              <w:left w:val="nil"/>
              <w:bottom w:val="nil"/>
              <w:right w:val="nil"/>
            </w:tcBorders>
            <w:vAlign w:val="center"/>
            <w:hideMark/>
          </w:tcPr>
          <w:p w14:paraId="7CB367E7"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p>
        </w:tc>
        <w:tc>
          <w:tcPr>
            <w:tcW w:w="182" w:type="pct"/>
            <w:vMerge/>
            <w:tcBorders>
              <w:top w:val="nil"/>
              <w:left w:val="nil"/>
              <w:bottom w:val="nil"/>
              <w:right w:val="nil"/>
            </w:tcBorders>
            <w:vAlign w:val="center"/>
            <w:hideMark/>
          </w:tcPr>
          <w:p w14:paraId="09A6059A"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p>
        </w:tc>
        <w:tc>
          <w:tcPr>
            <w:tcW w:w="170" w:type="pct"/>
            <w:vMerge/>
            <w:tcBorders>
              <w:top w:val="nil"/>
              <w:left w:val="nil"/>
              <w:bottom w:val="nil"/>
              <w:right w:val="nil"/>
            </w:tcBorders>
            <w:vAlign w:val="center"/>
            <w:hideMark/>
          </w:tcPr>
          <w:p w14:paraId="4131A203"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p>
        </w:tc>
        <w:tc>
          <w:tcPr>
            <w:tcW w:w="174" w:type="pct"/>
            <w:vMerge/>
            <w:tcBorders>
              <w:top w:val="nil"/>
              <w:left w:val="nil"/>
              <w:bottom w:val="nil"/>
              <w:right w:val="nil"/>
            </w:tcBorders>
            <w:vAlign w:val="center"/>
            <w:hideMark/>
          </w:tcPr>
          <w:p w14:paraId="2821285B"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p>
        </w:tc>
        <w:tc>
          <w:tcPr>
            <w:tcW w:w="90" w:type="pct"/>
            <w:tcBorders>
              <w:top w:val="nil"/>
              <w:left w:val="nil"/>
              <w:bottom w:val="nil"/>
              <w:right w:val="nil"/>
            </w:tcBorders>
            <w:shd w:val="clear" w:color="000000" w:fill="F2F2F2"/>
            <w:noWrap/>
            <w:vAlign w:val="bottom"/>
            <w:hideMark/>
          </w:tcPr>
          <w:p w14:paraId="1B15E7AE" w14:textId="77777777" w:rsidR="004F22D5" w:rsidRPr="004F22D5" w:rsidRDefault="004F22D5" w:rsidP="004F22D5">
            <w:pPr>
              <w:spacing w:after="0" w:line="240" w:lineRule="auto"/>
              <w:jc w:val="left"/>
              <w:rPr>
                <w:rFonts w:ascii="Calibri" w:eastAsia="Times New Roman" w:hAnsi="Calibri" w:cs="Calibri"/>
                <w:color w:val="000000"/>
                <w:kern w:val="0"/>
                <w14:ligatures w14:val="none"/>
              </w:rPr>
            </w:pPr>
            <w:r w:rsidRPr="004F22D5">
              <w:rPr>
                <w:rFonts w:ascii="Calibri" w:eastAsia="Times New Roman" w:hAnsi="Calibri" w:cs="Calibri"/>
                <w:color w:val="000000"/>
                <w:kern w:val="0"/>
                <w14:ligatures w14:val="none"/>
              </w:rPr>
              <w:t> </w:t>
            </w:r>
          </w:p>
        </w:tc>
        <w:tc>
          <w:tcPr>
            <w:tcW w:w="223" w:type="pct"/>
            <w:tcBorders>
              <w:top w:val="nil"/>
              <w:left w:val="nil"/>
              <w:bottom w:val="nil"/>
              <w:right w:val="nil"/>
            </w:tcBorders>
            <w:shd w:val="clear" w:color="000000" w:fill="F2F2F2"/>
            <w:noWrap/>
            <w:vAlign w:val="center"/>
            <w:hideMark/>
          </w:tcPr>
          <w:p w14:paraId="3265AFAA"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1,676</w:t>
            </w:r>
          </w:p>
        </w:tc>
        <w:tc>
          <w:tcPr>
            <w:tcW w:w="196" w:type="pct"/>
            <w:tcBorders>
              <w:top w:val="nil"/>
              <w:left w:val="nil"/>
              <w:bottom w:val="nil"/>
              <w:right w:val="nil"/>
            </w:tcBorders>
            <w:shd w:val="clear" w:color="000000" w:fill="F2F2F2"/>
            <w:noWrap/>
            <w:vAlign w:val="center"/>
            <w:hideMark/>
          </w:tcPr>
          <w:p w14:paraId="0210E21B"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1,374</w:t>
            </w:r>
          </w:p>
        </w:tc>
        <w:tc>
          <w:tcPr>
            <w:tcW w:w="223" w:type="pct"/>
            <w:tcBorders>
              <w:top w:val="nil"/>
              <w:left w:val="nil"/>
              <w:bottom w:val="nil"/>
              <w:right w:val="nil"/>
            </w:tcBorders>
            <w:shd w:val="clear" w:color="000000" w:fill="F2F2F2"/>
            <w:noWrap/>
            <w:vAlign w:val="center"/>
            <w:hideMark/>
          </w:tcPr>
          <w:p w14:paraId="5CBED503"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2,063</w:t>
            </w:r>
          </w:p>
        </w:tc>
        <w:tc>
          <w:tcPr>
            <w:tcW w:w="90" w:type="pct"/>
            <w:tcBorders>
              <w:top w:val="nil"/>
              <w:left w:val="nil"/>
              <w:bottom w:val="nil"/>
              <w:right w:val="nil"/>
            </w:tcBorders>
            <w:shd w:val="clear" w:color="000000" w:fill="F2F2F2"/>
            <w:noWrap/>
            <w:vAlign w:val="bottom"/>
            <w:hideMark/>
          </w:tcPr>
          <w:p w14:paraId="1FFEBE91" w14:textId="77777777" w:rsidR="004F22D5" w:rsidRPr="004F22D5" w:rsidRDefault="004F22D5" w:rsidP="004F22D5">
            <w:pPr>
              <w:spacing w:after="0" w:line="240" w:lineRule="auto"/>
              <w:jc w:val="left"/>
              <w:rPr>
                <w:rFonts w:ascii="Calibri" w:eastAsia="Times New Roman" w:hAnsi="Calibri" w:cs="Calibri"/>
                <w:color w:val="000000"/>
                <w:kern w:val="0"/>
                <w14:ligatures w14:val="none"/>
              </w:rPr>
            </w:pPr>
            <w:r w:rsidRPr="004F22D5">
              <w:rPr>
                <w:rFonts w:ascii="Calibri" w:eastAsia="Times New Roman" w:hAnsi="Calibri" w:cs="Calibri"/>
                <w:color w:val="000000"/>
                <w:kern w:val="0"/>
                <w14:ligatures w14:val="none"/>
              </w:rPr>
              <w:t> </w:t>
            </w:r>
          </w:p>
        </w:tc>
        <w:tc>
          <w:tcPr>
            <w:tcW w:w="333" w:type="pct"/>
            <w:tcBorders>
              <w:top w:val="nil"/>
              <w:left w:val="nil"/>
              <w:bottom w:val="nil"/>
              <w:right w:val="nil"/>
            </w:tcBorders>
            <w:shd w:val="clear" w:color="000000" w:fill="F2F2F2"/>
            <w:vAlign w:val="center"/>
            <w:hideMark/>
          </w:tcPr>
          <w:p w14:paraId="0AE18F6E"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30</w:t>
            </w:r>
          </w:p>
        </w:tc>
      </w:tr>
      <w:tr w:rsidR="00D12F84" w:rsidRPr="004F22D5" w14:paraId="14320CF8" w14:textId="77777777" w:rsidTr="00D12F84">
        <w:trPr>
          <w:trHeight w:val="528"/>
        </w:trPr>
        <w:tc>
          <w:tcPr>
            <w:tcW w:w="539" w:type="pct"/>
            <w:tcBorders>
              <w:top w:val="nil"/>
              <w:left w:val="nil"/>
              <w:bottom w:val="nil"/>
              <w:right w:val="nil"/>
            </w:tcBorders>
            <w:shd w:val="clear" w:color="000000" w:fill="FFFFFF"/>
            <w:vAlign w:val="center"/>
            <w:hideMark/>
          </w:tcPr>
          <w:p w14:paraId="0BD11AB3"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Tkatchenko &amp; Radziejewska (1998)</w:t>
            </w:r>
          </w:p>
        </w:tc>
        <w:tc>
          <w:tcPr>
            <w:tcW w:w="559" w:type="pct"/>
            <w:tcBorders>
              <w:top w:val="nil"/>
              <w:left w:val="nil"/>
              <w:bottom w:val="nil"/>
              <w:right w:val="nil"/>
            </w:tcBorders>
            <w:shd w:val="clear" w:color="000000" w:fill="FFFFFF"/>
            <w:vAlign w:val="center"/>
            <w:hideMark/>
          </w:tcPr>
          <w:p w14:paraId="6FFA022B"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Towed video camera system</w:t>
            </w:r>
          </w:p>
        </w:tc>
        <w:tc>
          <w:tcPr>
            <w:tcW w:w="192" w:type="pct"/>
            <w:tcBorders>
              <w:top w:val="nil"/>
              <w:left w:val="nil"/>
              <w:bottom w:val="nil"/>
              <w:right w:val="nil"/>
            </w:tcBorders>
            <w:shd w:val="clear" w:color="000000" w:fill="FFFFFF"/>
            <w:vAlign w:val="center"/>
            <w:hideMark/>
          </w:tcPr>
          <w:p w14:paraId="65320DDA"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w:t>
            </w:r>
          </w:p>
        </w:tc>
        <w:tc>
          <w:tcPr>
            <w:tcW w:w="254" w:type="pct"/>
            <w:tcBorders>
              <w:top w:val="nil"/>
              <w:left w:val="nil"/>
              <w:bottom w:val="nil"/>
              <w:right w:val="nil"/>
            </w:tcBorders>
            <w:shd w:val="clear" w:color="000000" w:fill="FFFFFF"/>
            <w:vAlign w:val="center"/>
            <w:hideMark/>
          </w:tcPr>
          <w:p w14:paraId="4C4A4321"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no</w:t>
            </w:r>
          </w:p>
        </w:tc>
        <w:tc>
          <w:tcPr>
            <w:tcW w:w="333" w:type="pct"/>
            <w:tcBorders>
              <w:top w:val="nil"/>
              <w:left w:val="nil"/>
              <w:bottom w:val="nil"/>
              <w:right w:val="nil"/>
            </w:tcBorders>
            <w:shd w:val="clear" w:color="000000" w:fill="FFFFFF"/>
            <w:noWrap/>
            <w:vAlign w:val="center"/>
            <w:hideMark/>
          </w:tcPr>
          <w:p w14:paraId="57FE2825"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4,430</w:t>
            </w:r>
          </w:p>
        </w:tc>
        <w:tc>
          <w:tcPr>
            <w:tcW w:w="677" w:type="pct"/>
            <w:tcBorders>
              <w:top w:val="nil"/>
              <w:left w:val="nil"/>
              <w:bottom w:val="nil"/>
              <w:right w:val="nil"/>
            </w:tcBorders>
            <w:shd w:val="clear" w:color="000000" w:fill="FFFFFF"/>
            <w:noWrap/>
            <w:vAlign w:val="center"/>
            <w:hideMark/>
          </w:tcPr>
          <w:p w14:paraId="4C570781"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IOM, CCFZ</w:t>
            </w:r>
          </w:p>
        </w:tc>
        <w:tc>
          <w:tcPr>
            <w:tcW w:w="492" w:type="pct"/>
            <w:tcBorders>
              <w:top w:val="nil"/>
              <w:left w:val="nil"/>
              <w:bottom w:val="nil"/>
              <w:right w:val="nil"/>
            </w:tcBorders>
            <w:shd w:val="clear" w:color="000000" w:fill="FFFFFF"/>
            <w:noWrap/>
            <w:vAlign w:val="center"/>
            <w:hideMark/>
          </w:tcPr>
          <w:p w14:paraId="41C7C790"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c>
          <w:tcPr>
            <w:tcW w:w="271" w:type="pct"/>
            <w:tcBorders>
              <w:top w:val="nil"/>
              <w:left w:val="nil"/>
              <w:bottom w:val="nil"/>
              <w:right w:val="nil"/>
            </w:tcBorders>
            <w:shd w:val="clear" w:color="000000" w:fill="FFFFFF"/>
            <w:noWrap/>
            <w:vAlign w:val="center"/>
            <w:hideMark/>
          </w:tcPr>
          <w:p w14:paraId="283FC824"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c>
          <w:tcPr>
            <w:tcW w:w="182" w:type="pct"/>
            <w:tcBorders>
              <w:top w:val="nil"/>
              <w:left w:val="nil"/>
              <w:bottom w:val="nil"/>
              <w:right w:val="nil"/>
            </w:tcBorders>
            <w:shd w:val="clear" w:color="000000" w:fill="FFFFFF"/>
            <w:noWrap/>
            <w:vAlign w:val="center"/>
            <w:hideMark/>
          </w:tcPr>
          <w:p w14:paraId="31EDC4FA"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3.3</w:t>
            </w:r>
          </w:p>
        </w:tc>
        <w:tc>
          <w:tcPr>
            <w:tcW w:w="170" w:type="pct"/>
            <w:tcBorders>
              <w:top w:val="nil"/>
              <w:left w:val="nil"/>
              <w:bottom w:val="nil"/>
              <w:right w:val="nil"/>
            </w:tcBorders>
            <w:shd w:val="clear" w:color="000000" w:fill="FFFFFF"/>
            <w:noWrap/>
            <w:vAlign w:val="center"/>
            <w:hideMark/>
          </w:tcPr>
          <w:p w14:paraId="09AA71A2"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c>
          <w:tcPr>
            <w:tcW w:w="174" w:type="pct"/>
            <w:tcBorders>
              <w:top w:val="nil"/>
              <w:left w:val="nil"/>
              <w:bottom w:val="nil"/>
              <w:right w:val="nil"/>
            </w:tcBorders>
            <w:shd w:val="clear" w:color="000000" w:fill="FFFFFF"/>
            <w:noWrap/>
            <w:vAlign w:val="center"/>
            <w:hideMark/>
          </w:tcPr>
          <w:p w14:paraId="6AD5F9EA"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c>
          <w:tcPr>
            <w:tcW w:w="90" w:type="pct"/>
            <w:tcBorders>
              <w:top w:val="nil"/>
              <w:left w:val="nil"/>
              <w:bottom w:val="nil"/>
              <w:right w:val="nil"/>
            </w:tcBorders>
            <w:shd w:val="clear" w:color="000000" w:fill="FFFFFF"/>
            <w:noWrap/>
            <w:vAlign w:val="bottom"/>
            <w:hideMark/>
          </w:tcPr>
          <w:p w14:paraId="2DE16A57" w14:textId="77777777" w:rsidR="004F22D5" w:rsidRPr="004F22D5" w:rsidRDefault="004F22D5" w:rsidP="004F22D5">
            <w:pPr>
              <w:spacing w:after="0" w:line="240" w:lineRule="auto"/>
              <w:jc w:val="left"/>
              <w:rPr>
                <w:rFonts w:ascii="Calibri" w:eastAsia="Times New Roman" w:hAnsi="Calibri" w:cs="Calibri"/>
                <w:color w:val="000000"/>
                <w:kern w:val="0"/>
                <w14:ligatures w14:val="none"/>
              </w:rPr>
            </w:pPr>
            <w:r w:rsidRPr="004F22D5">
              <w:rPr>
                <w:rFonts w:ascii="Calibri" w:eastAsia="Times New Roman" w:hAnsi="Calibri" w:cs="Calibri"/>
                <w:color w:val="000000"/>
                <w:kern w:val="0"/>
                <w14:ligatures w14:val="none"/>
              </w:rPr>
              <w:t> </w:t>
            </w:r>
          </w:p>
        </w:tc>
        <w:tc>
          <w:tcPr>
            <w:tcW w:w="223" w:type="pct"/>
            <w:tcBorders>
              <w:top w:val="nil"/>
              <w:left w:val="nil"/>
              <w:bottom w:val="nil"/>
              <w:right w:val="nil"/>
            </w:tcBorders>
            <w:shd w:val="clear" w:color="000000" w:fill="FFFFFF"/>
            <w:noWrap/>
            <w:vAlign w:val="center"/>
            <w:hideMark/>
          </w:tcPr>
          <w:p w14:paraId="3BB94779"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261</w:t>
            </w:r>
          </w:p>
        </w:tc>
        <w:tc>
          <w:tcPr>
            <w:tcW w:w="196" w:type="pct"/>
            <w:tcBorders>
              <w:top w:val="nil"/>
              <w:left w:val="nil"/>
              <w:bottom w:val="nil"/>
              <w:right w:val="nil"/>
            </w:tcBorders>
            <w:shd w:val="clear" w:color="000000" w:fill="FFFFFF"/>
            <w:noWrap/>
            <w:vAlign w:val="center"/>
            <w:hideMark/>
          </w:tcPr>
          <w:p w14:paraId="4DF7CBD1"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c>
          <w:tcPr>
            <w:tcW w:w="223" w:type="pct"/>
            <w:tcBorders>
              <w:top w:val="nil"/>
              <w:left w:val="nil"/>
              <w:bottom w:val="nil"/>
              <w:right w:val="nil"/>
            </w:tcBorders>
            <w:shd w:val="clear" w:color="000000" w:fill="FFFFFF"/>
            <w:noWrap/>
            <w:vAlign w:val="center"/>
            <w:hideMark/>
          </w:tcPr>
          <w:p w14:paraId="3652E91E"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c>
          <w:tcPr>
            <w:tcW w:w="90" w:type="pct"/>
            <w:tcBorders>
              <w:top w:val="nil"/>
              <w:left w:val="nil"/>
              <w:bottom w:val="nil"/>
              <w:right w:val="nil"/>
            </w:tcBorders>
            <w:shd w:val="clear" w:color="000000" w:fill="FFFFFF"/>
            <w:noWrap/>
            <w:vAlign w:val="bottom"/>
            <w:hideMark/>
          </w:tcPr>
          <w:p w14:paraId="25C5F5B9" w14:textId="77777777" w:rsidR="004F22D5" w:rsidRPr="004F22D5" w:rsidRDefault="004F22D5" w:rsidP="004F22D5">
            <w:pPr>
              <w:spacing w:after="0" w:line="240" w:lineRule="auto"/>
              <w:jc w:val="left"/>
              <w:rPr>
                <w:rFonts w:ascii="Calibri" w:eastAsia="Times New Roman" w:hAnsi="Calibri" w:cs="Calibri"/>
                <w:color w:val="000000"/>
                <w:kern w:val="0"/>
                <w14:ligatures w14:val="none"/>
              </w:rPr>
            </w:pPr>
            <w:r w:rsidRPr="004F22D5">
              <w:rPr>
                <w:rFonts w:ascii="Calibri" w:eastAsia="Times New Roman" w:hAnsi="Calibri" w:cs="Calibri"/>
                <w:color w:val="000000"/>
                <w:kern w:val="0"/>
                <w14:ligatures w14:val="none"/>
              </w:rPr>
              <w:t> </w:t>
            </w:r>
          </w:p>
        </w:tc>
        <w:tc>
          <w:tcPr>
            <w:tcW w:w="333" w:type="pct"/>
            <w:tcBorders>
              <w:top w:val="nil"/>
              <w:left w:val="nil"/>
              <w:bottom w:val="nil"/>
              <w:right w:val="nil"/>
            </w:tcBorders>
            <w:shd w:val="clear" w:color="000000" w:fill="FFFFFF"/>
            <w:vAlign w:val="center"/>
            <w:hideMark/>
          </w:tcPr>
          <w:p w14:paraId="36707B2C"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r>
      <w:tr w:rsidR="00D12F84" w:rsidRPr="004F22D5" w14:paraId="1D20DF4D" w14:textId="77777777" w:rsidTr="00D12F84">
        <w:trPr>
          <w:trHeight w:val="288"/>
        </w:trPr>
        <w:tc>
          <w:tcPr>
            <w:tcW w:w="539" w:type="pct"/>
            <w:tcBorders>
              <w:top w:val="nil"/>
              <w:left w:val="nil"/>
              <w:bottom w:val="nil"/>
              <w:right w:val="nil"/>
            </w:tcBorders>
            <w:shd w:val="clear" w:color="000000" w:fill="F2F2F2"/>
            <w:vAlign w:val="center"/>
            <w:hideMark/>
          </w:tcPr>
          <w:p w14:paraId="5F285298"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Morgan et al. (1993)</w:t>
            </w:r>
          </w:p>
        </w:tc>
        <w:tc>
          <w:tcPr>
            <w:tcW w:w="559" w:type="pct"/>
            <w:tcBorders>
              <w:top w:val="nil"/>
              <w:left w:val="nil"/>
              <w:bottom w:val="nil"/>
              <w:right w:val="nil"/>
            </w:tcBorders>
            <w:shd w:val="clear" w:color="000000" w:fill="F2F2F2"/>
            <w:vAlign w:val="center"/>
            <w:hideMark/>
          </w:tcPr>
          <w:p w14:paraId="28F57C85"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Towed camera system</w:t>
            </w:r>
          </w:p>
        </w:tc>
        <w:tc>
          <w:tcPr>
            <w:tcW w:w="192" w:type="pct"/>
            <w:tcBorders>
              <w:top w:val="nil"/>
              <w:left w:val="nil"/>
              <w:bottom w:val="nil"/>
              <w:right w:val="nil"/>
            </w:tcBorders>
            <w:shd w:val="clear" w:color="000000" w:fill="F2F2F2"/>
            <w:vAlign w:val="center"/>
            <w:hideMark/>
          </w:tcPr>
          <w:p w14:paraId="6CB6B1FC"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yes?</w:t>
            </w:r>
          </w:p>
        </w:tc>
        <w:tc>
          <w:tcPr>
            <w:tcW w:w="254" w:type="pct"/>
            <w:tcBorders>
              <w:top w:val="nil"/>
              <w:left w:val="nil"/>
              <w:bottom w:val="nil"/>
              <w:right w:val="nil"/>
            </w:tcBorders>
            <w:shd w:val="clear" w:color="000000" w:fill="F2F2F2"/>
            <w:vAlign w:val="center"/>
            <w:hideMark/>
          </w:tcPr>
          <w:p w14:paraId="37D70F2D"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yes</w:t>
            </w:r>
          </w:p>
        </w:tc>
        <w:tc>
          <w:tcPr>
            <w:tcW w:w="333" w:type="pct"/>
            <w:tcBorders>
              <w:top w:val="nil"/>
              <w:left w:val="nil"/>
              <w:bottom w:val="nil"/>
              <w:right w:val="nil"/>
            </w:tcBorders>
            <w:shd w:val="clear" w:color="000000" w:fill="F2F2F2"/>
            <w:noWrap/>
            <w:vAlign w:val="center"/>
            <w:hideMark/>
          </w:tcPr>
          <w:p w14:paraId="506E0A49"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4,500-5,200</w:t>
            </w:r>
          </w:p>
        </w:tc>
        <w:tc>
          <w:tcPr>
            <w:tcW w:w="677" w:type="pct"/>
            <w:tcBorders>
              <w:top w:val="nil"/>
              <w:left w:val="nil"/>
              <w:bottom w:val="nil"/>
              <w:right w:val="nil"/>
            </w:tcBorders>
            <w:shd w:val="clear" w:color="000000" w:fill="F2F2F2"/>
            <w:noWrap/>
            <w:vAlign w:val="center"/>
            <w:hideMark/>
          </w:tcPr>
          <w:p w14:paraId="288D83AA"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CCFZ (regional study)</w:t>
            </w:r>
          </w:p>
        </w:tc>
        <w:tc>
          <w:tcPr>
            <w:tcW w:w="492" w:type="pct"/>
            <w:tcBorders>
              <w:top w:val="nil"/>
              <w:left w:val="nil"/>
              <w:bottom w:val="nil"/>
              <w:right w:val="nil"/>
            </w:tcBorders>
            <w:shd w:val="clear" w:color="000000" w:fill="F2F2F2"/>
            <w:noWrap/>
            <w:vAlign w:val="center"/>
            <w:hideMark/>
          </w:tcPr>
          <w:p w14:paraId="5800CEDF"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66,709</w:t>
            </w:r>
          </w:p>
        </w:tc>
        <w:tc>
          <w:tcPr>
            <w:tcW w:w="271" w:type="pct"/>
            <w:tcBorders>
              <w:top w:val="nil"/>
              <w:left w:val="nil"/>
              <w:bottom w:val="nil"/>
              <w:right w:val="nil"/>
            </w:tcBorders>
            <w:shd w:val="clear" w:color="000000" w:fill="F2F2F2"/>
            <w:noWrap/>
            <w:vAlign w:val="center"/>
            <w:hideMark/>
          </w:tcPr>
          <w:p w14:paraId="320D311B"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9,546</w:t>
            </w:r>
          </w:p>
        </w:tc>
        <w:tc>
          <w:tcPr>
            <w:tcW w:w="182" w:type="pct"/>
            <w:tcBorders>
              <w:top w:val="nil"/>
              <w:left w:val="nil"/>
              <w:bottom w:val="nil"/>
              <w:right w:val="nil"/>
            </w:tcBorders>
            <w:shd w:val="clear" w:color="000000" w:fill="F2F2F2"/>
            <w:noWrap/>
            <w:vAlign w:val="center"/>
            <w:hideMark/>
          </w:tcPr>
          <w:p w14:paraId="3F21A875"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c>
          <w:tcPr>
            <w:tcW w:w="170" w:type="pct"/>
            <w:tcBorders>
              <w:top w:val="nil"/>
              <w:left w:val="nil"/>
              <w:bottom w:val="nil"/>
              <w:right w:val="nil"/>
            </w:tcBorders>
            <w:shd w:val="clear" w:color="000000" w:fill="F2F2F2"/>
            <w:noWrap/>
            <w:vAlign w:val="center"/>
            <w:hideMark/>
          </w:tcPr>
          <w:p w14:paraId="09486D92"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c>
          <w:tcPr>
            <w:tcW w:w="174" w:type="pct"/>
            <w:tcBorders>
              <w:top w:val="nil"/>
              <w:left w:val="nil"/>
              <w:bottom w:val="nil"/>
              <w:right w:val="nil"/>
            </w:tcBorders>
            <w:shd w:val="clear" w:color="000000" w:fill="F2F2F2"/>
            <w:noWrap/>
            <w:vAlign w:val="center"/>
            <w:hideMark/>
          </w:tcPr>
          <w:p w14:paraId="3AA01E15"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5</w:t>
            </w:r>
          </w:p>
        </w:tc>
        <w:tc>
          <w:tcPr>
            <w:tcW w:w="90" w:type="pct"/>
            <w:tcBorders>
              <w:top w:val="nil"/>
              <w:left w:val="nil"/>
              <w:bottom w:val="nil"/>
              <w:right w:val="nil"/>
            </w:tcBorders>
            <w:shd w:val="clear" w:color="000000" w:fill="F2F2F2"/>
            <w:noWrap/>
            <w:vAlign w:val="bottom"/>
            <w:hideMark/>
          </w:tcPr>
          <w:p w14:paraId="2BAECD45" w14:textId="77777777" w:rsidR="004F22D5" w:rsidRPr="004F22D5" w:rsidRDefault="004F22D5" w:rsidP="004F22D5">
            <w:pPr>
              <w:spacing w:after="0" w:line="240" w:lineRule="auto"/>
              <w:jc w:val="left"/>
              <w:rPr>
                <w:rFonts w:ascii="Calibri" w:eastAsia="Times New Roman" w:hAnsi="Calibri" w:cs="Calibri"/>
                <w:color w:val="000000"/>
                <w:kern w:val="0"/>
                <w14:ligatures w14:val="none"/>
              </w:rPr>
            </w:pPr>
            <w:r w:rsidRPr="004F22D5">
              <w:rPr>
                <w:rFonts w:ascii="Calibri" w:eastAsia="Times New Roman" w:hAnsi="Calibri" w:cs="Calibri"/>
                <w:color w:val="000000"/>
                <w:kern w:val="0"/>
                <w14:ligatures w14:val="none"/>
              </w:rPr>
              <w:t> </w:t>
            </w:r>
          </w:p>
        </w:tc>
        <w:tc>
          <w:tcPr>
            <w:tcW w:w="223" w:type="pct"/>
            <w:tcBorders>
              <w:top w:val="nil"/>
              <w:left w:val="nil"/>
              <w:bottom w:val="nil"/>
              <w:right w:val="nil"/>
            </w:tcBorders>
            <w:shd w:val="clear" w:color="000000" w:fill="F2F2F2"/>
            <w:noWrap/>
            <w:vAlign w:val="center"/>
            <w:hideMark/>
          </w:tcPr>
          <w:p w14:paraId="6C058809"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c>
          <w:tcPr>
            <w:tcW w:w="196" w:type="pct"/>
            <w:tcBorders>
              <w:top w:val="nil"/>
              <w:left w:val="nil"/>
              <w:bottom w:val="nil"/>
              <w:right w:val="nil"/>
            </w:tcBorders>
            <w:shd w:val="clear" w:color="000000" w:fill="F2F2F2"/>
            <w:noWrap/>
            <w:vAlign w:val="center"/>
            <w:hideMark/>
          </w:tcPr>
          <w:p w14:paraId="2B40B569"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270</w:t>
            </w:r>
          </w:p>
        </w:tc>
        <w:tc>
          <w:tcPr>
            <w:tcW w:w="223" w:type="pct"/>
            <w:tcBorders>
              <w:top w:val="nil"/>
              <w:left w:val="nil"/>
              <w:bottom w:val="nil"/>
              <w:right w:val="nil"/>
            </w:tcBorders>
            <w:shd w:val="clear" w:color="000000" w:fill="F2F2F2"/>
            <w:noWrap/>
            <w:vAlign w:val="center"/>
            <w:hideMark/>
          </w:tcPr>
          <w:p w14:paraId="6C7C4599"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1,140</w:t>
            </w:r>
          </w:p>
        </w:tc>
        <w:tc>
          <w:tcPr>
            <w:tcW w:w="90" w:type="pct"/>
            <w:tcBorders>
              <w:top w:val="nil"/>
              <w:left w:val="nil"/>
              <w:bottom w:val="nil"/>
              <w:right w:val="nil"/>
            </w:tcBorders>
            <w:shd w:val="clear" w:color="000000" w:fill="F2F2F2"/>
            <w:noWrap/>
            <w:vAlign w:val="bottom"/>
            <w:hideMark/>
          </w:tcPr>
          <w:p w14:paraId="7686F138" w14:textId="77777777" w:rsidR="004F22D5" w:rsidRPr="004F22D5" w:rsidRDefault="004F22D5" w:rsidP="004F22D5">
            <w:pPr>
              <w:spacing w:after="0" w:line="240" w:lineRule="auto"/>
              <w:jc w:val="left"/>
              <w:rPr>
                <w:rFonts w:ascii="Calibri" w:eastAsia="Times New Roman" w:hAnsi="Calibri" w:cs="Calibri"/>
                <w:color w:val="000000"/>
                <w:kern w:val="0"/>
                <w14:ligatures w14:val="none"/>
              </w:rPr>
            </w:pPr>
            <w:r w:rsidRPr="004F22D5">
              <w:rPr>
                <w:rFonts w:ascii="Calibri" w:eastAsia="Times New Roman" w:hAnsi="Calibri" w:cs="Calibri"/>
                <w:color w:val="000000"/>
                <w:kern w:val="0"/>
                <w14:ligatures w14:val="none"/>
              </w:rPr>
              <w:t> </w:t>
            </w:r>
          </w:p>
        </w:tc>
        <w:tc>
          <w:tcPr>
            <w:tcW w:w="333" w:type="pct"/>
            <w:tcBorders>
              <w:top w:val="nil"/>
              <w:left w:val="nil"/>
              <w:bottom w:val="nil"/>
              <w:right w:val="nil"/>
            </w:tcBorders>
            <w:shd w:val="clear" w:color="000000" w:fill="F2F2F2"/>
            <w:vAlign w:val="center"/>
            <w:hideMark/>
          </w:tcPr>
          <w:p w14:paraId="31E0EE40"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r>
      <w:tr w:rsidR="00D12F84" w:rsidRPr="004F22D5" w14:paraId="03833AC6" w14:textId="77777777" w:rsidTr="00D12F84">
        <w:trPr>
          <w:trHeight w:val="792"/>
        </w:trPr>
        <w:tc>
          <w:tcPr>
            <w:tcW w:w="539" w:type="pct"/>
            <w:tcBorders>
              <w:top w:val="nil"/>
              <w:left w:val="nil"/>
              <w:bottom w:val="nil"/>
              <w:right w:val="nil"/>
            </w:tcBorders>
            <w:shd w:val="clear" w:color="000000" w:fill="FFFFFF"/>
            <w:vAlign w:val="center"/>
            <w:hideMark/>
          </w:tcPr>
          <w:p w14:paraId="11233C7B"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Tilot (2006)</w:t>
            </w:r>
          </w:p>
        </w:tc>
        <w:tc>
          <w:tcPr>
            <w:tcW w:w="559" w:type="pct"/>
            <w:tcBorders>
              <w:top w:val="nil"/>
              <w:left w:val="nil"/>
              <w:bottom w:val="nil"/>
              <w:right w:val="nil"/>
            </w:tcBorders>
            <w:shd w:val="clear" w:color="000000" w:fill="FFFFFF"/>
            <w:vAlign w:val="center"/>
            <w:hideMark/>
          </w:tcPr>
          <w:p w14:paraId="0FD3F44F"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Towed camera systems &amp; remotely controlled devices</w:t>
            </w:r>
          </w:p>
        </w:tc>
        <w:tc>
          <w:tcPr>
            <w:tcW w:w="192" w:type="pct"/>
            <w:tcBorders>
              <w:top w:val="nil"/>
              <w:left w:val="nil"/>
              <w:bottom w:val="nil"/>
              <w:right w:val="nil"/>
            </w:tcBorders>
            <w:shd w:val="clear" w:color="000000" w:fill="FFFFFF"/>
            <w:vAlign w:val="center"/>
            <w:hideMark/>
          </w:tcPr>
          <w:p w14:paraId="515021F6"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yes</w:t>
            </w:r>
          </w:p>
        </w:tc>
        <w:tc>
          <w:tcPr>
            <w:tcW w:w="254" w:type="pct"/>
            <w:tcBorders>
              <w:top w:val="nil"/>
              <w:left w:val="nil"/>
              <w:bottom w:val="nil"/>
              <w:right w:val="nil"/>
            </w:tcBorders>
            <w:shd w:val="clear" w:color="000000" w:fill="FFFFFF"/>
            <w:vAlign w:val="center"/>
            <w:hideMark/>
          </w:tcPr>
          <w:p w14:paraId="0A33BB1A"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yes</w:t>
            </w:r>
          </w:p>
        </w:tc>
        <w:tc>
          <w:tcPr>
            <w:tcW w:w="333" w:type="pct"/>
            <w:tcBorders>
              <w:top w:val="nil"/>
              <w:left w:val="nil"/>
              <w:bottom w:val="nil"/>
              <w:right w:val="nil"/>
            </w:tcBorders>
            <w:shd w:val="clear" w:color="000000" w:fill="FFFFFF"/>
            <w:noWrap/>
            <w:vAlign w:val="center"/>
            <w:hideMark/>
          </w:tcPr>
          <w:p w14:paraId="7D9D9B06"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4,950</w:t>
            </w:r>
          </w:p>
        </w:tc>
        <w:tc>
          <w:tcPr>
            <w:tcW w:w="677" w:type="pct"/>
            <w:tcBorders>
              <w:top w:val="nil"/>
              <w:left w:val="nil"/>
              <w:bottom w:val="nil"/>
              <w:right w:val="nil"/>
            </w:tcBorders>
            <w:shd w:val="clear" w:color="000000" w:fill="FFFFFF"/>
            <w:noWrap/>
            <w:vAlign w:val="center"/>
            <w:hideMark/>
          </w:tcPr>
          <w:p w14:paraId="2251396E"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NIXO45_IFREMER, CCFZ</w:t>
            </w:r>
          </w:p>
        </w:tc>
        <w:tc>
          <w:tcPr>
            <w:tcW w:w="492" w:type="pct"/>
            <w:tcBorders>
              <w:top w:val="nil"/>
              <w:left w:val="nil"/>
              <w:bottom w:val="nil"/>
              <w:right w:val="nil"/>
            </w:tcBorders>
            <w:shd w:val="clear" w:color="000000" w:fill="FFFFFF"/>
            <w:noWrap/>
            <w:vAlign w:val="center"/>
            <w:hideMark/>
          </w:tcPr>
          <w:p w14:paraId="2114FB5E"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c>
          <w:tcPr>
            <w:tcW w:w="271" w:type="pct"/>
            <w:tcBorders>
              <w:top w:val="nil"/>
              <w:left w:val="nil"/>
              <w:bottom w:val="nil"/>
              <w:right w:val="nil"/>
            </w:tcBorders>
            <w:shd w:val="clear" w:color="000000" w:fill="FFFFFF"/>
            <w:noWrap/>
            <w:vAlign w:val="center"/>
            <w:hideMark/>
          </w:tcPr>
          <w:p w14:paraId="3CFC06C9"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c>
          <w:tcPr>
            <w:tcW w:w="182" w:type="pct"/>
            <w:tcBorders>
              <w:top w:val="nil"/>
              <w:left w:val="nil"/>
              <w:bottom w:val="nil"/>
              <w:right w:val="nil"/>
            </w:tcBorders>
            <w:shd w:val="clear" w:color="000000" w:fill="FFFFFF"/>
            <w:noWrap/>
            <w:vAlign w:val="center"/>
            <w:hideMark/>
          </w:tcPr>
          <w:p w14:paraId="2B9D2B5B"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5</w:t>
            </w:r>
          </w:p>
        </w:tc>
        <w:tc>
          <w:tcPr>
            <w:tcW w:w="170" w:type="pct"/>
            <w:tcBorders>
              <w:top w:val="nil"/>
              <w:left w:val="nil"/>
              <w:bottom w:val="nil"/>
              <w:right w:val="nil"/>
            </w:tcBorders>
            <w:shd w:val="clear" w:color="000000" w:fill="FFFFFF"/>
            <w:noWrap/>
            <w:vAlign w:val="center"/>
            <w:hideMark/>
          </w:tcPr>
          <w:p w14:paraId="47950FD6"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c>
          <w:tcPr>
            <w:tcW w:w="174" w:type="pct"/>
            <w:tcBorders>
              <w:top w:val="nil"/>
              <w:left w:val="nil"/>
              <w:bottom w:val="nil"/>
              <w:right w:val="nil"/>
            </w:tcBorders>
            <w:shd w:val="clear" w:color="000000" w:fill="FFFFFF"/>
            <w:noWrap/>
            <w:vAlign w:val="center"/>
            <w:hideMark/>
          </w:tcPr>
          <w:p w14:paraId="3C8D4D0C"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c>
          <w:tcPr>
            <w:tcW w:w="90" w:type="pct"/>
            <w:tcBorders>
              <w:top w:val="nil"/>
              <w:left w:val="nil"/>
              <w:bottom w:val="nil"/>
              <w:right w:val="nil"/>
            </w:tcBorders>
            <w:shd w:val="clear" w:color="000000" w:fill="FFFFFF"/>
            <w:noWrap/>
            <w:vAlign w:val="bottom"/>
            <w:hideMark/>
          </w:tcPr>
          <w:p w14:paraId="13D1AA11" w14:textId="77777777" w:rsidR="004F22D5" w:rsidRPr="004F22D5" w:rsidRDefault="004F22D5" w:rsidP="004F22D5">
            <w:pPr>
              <w:spacing w:after="0" w:line="240" w:lineRule="auto"/>
              <w:jc w:val="left"/>
              <w:rPr>
                <w:rFonts w:ascii="Calibri" w:eastAsia="Times New Roman" w:hAnsi="Calibri" w:cs="Calibri"/>
                <w:color w:val="000000"/>
                <w:kern w:val="0"/>
                <w14:ligatures w14:val="none"/>
              </w:rPr>
            </w:pPr>
            <w:r w:rsidRPr="004F22D5">
              <w:rPr>
                <w:rFonts w:ascii="Calibri" w:eastAsia="Times New Roman" w:hAnsi="Calibri" w:cs="Calibri"/>
                <w:color w:val="000000"/>
                <w:kern w:val="0"/>
                <w14:ligatures w14:val="none"/>
              </w:rPr>
              <w:t> </w:t>
            </w:r>
          </w:p>
        </w:tc>
        <w:tc>
          <w:tcPr>
            <w:tcW w:w="223" w:type="pct"/>
            <w:tcBorders>
              <w:top w:val="nil"/>
              <w:left w:val="nil"/>
              <w:bottom w:val="nil"/>
              <w:right w:val="nil"/>
            </w:tcBorders>
            <w:shd w:val="clear" w:color="000000" w:fill="FFFFFF"/>
            <w:noWrap/>
            <w:vAlign w:val="center"/>
            <w:hideMark/>
          </w:tcPr>
          <w:p w14:paraId="6D760672"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553</w:t>
            </w:r>
          </w:p>
        </w:tc>
        <w:tc>
          <w:tcPr>
            <w:tcW w:w="196" w:type="pct"/>
            <w:tcBorders>
              <w:top w:val="nil"/>
              <w:left w:val="nil"/>
              <w:bottom w:val="nil"/>
              <w:right w:val="nil"/>
            </w:tcBorders>
            <w:shd w:val="clear" w:color="000000" w:fill="FFFFFF"/>
            <w:noWrap/>
            <w:vAlign w:val="center"/>
            <w:hideMark/>
          </w:tcPr>
          <w:p w14:paraId="63E22D10"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c>
          <w:tcPr>
            <w:tcW w:w="223" w:type="pct"/>
            <w:tcBorders>
              <w:top w:val="nil"/>
              <w:left w:val="nil"/>
              <w:bottom w:val="nil"/>
              <w:right w:val="nil"/>
            </w:tcBorders>
            <w:shd w:val="clear" w:color="000000" w:fill="FFFFFF"/>
            <w:noWrap/>
            <w:vAlign w:val="center"/>
            <w:hideMark/>
          </w:tcPr>
          <w:p w14:paraId="76E79D25"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c>
          <w:tcPr>
            <w:tcW w:w="90" w:type="pct"/>
            <w:tcBorders>
              <w:top w:val="nil"/>
              <w:left w:val="nil"/>
              <w:bottom w:val="nil"/>
              <w:right w:val="nil"/>
            </w:tcBorders>
            <w:shd w:val="clear" w:color="000000" w:fill="FFFFFF"/>
            <w:noWrap/>
            <w:vAlign w:val="bottom"/>
            <w:hideMark/>
          </w:tcPr>
          <w:p w14:paraId="2E848895" w14:textId="77777777" w:rsidR="004F22D5" w:rsidRPr="004F22D5" w:rsidRDefault="004F22D5" w:rsidP="004F22D5">
            <w:pPr>
              <w:spacing w:after="0" w:line="240" w:lineRule="auto"/>
              <w:jc w:val="left"/>
              <w:rPr>
                <w:rFonts w:ascii="Calibri" w:eastAsia="Times New Roman" w:hAnsi="Calibri" w:cs="Calibri"/>
                <w:color w:val="000000"/>
                <w:kern w:val="0"/>
                <w14:ligatures w14:val="none"/>
              </w:rPr>
            </w:pPr>
            <w:r w:rsidRPr="004F22D5">
              <w:rPr>
                <w:rFonts w:ascii="Calibri" w:eastAsia="Times New Roman" w:hAnsi="Calibri" w:cs="Calibri"/>
                <w:color w:val="000000"/>
                <w:kern w:val="0"/>
                <w14:ligatures w14:val="none"/>
              </w:rPr>
              <w:t> </w:t>
            </w:r>
          </w:p>
        </w:tc>
        <w:tc>
          <w:tcPr>
            <w:tcW w:w="333" w:type="pct"/>
            <w:tcBorders>
              <w:top w:val="nil"/>
              <w:left w:val="nil"/>
              <w:bottom w:val="nil"/>
              <w:right w:val="nil"/>
            </w:tcBorders>
            <w:shd w:val="clear" w:color="000000" w:fill="FFFFFF"/>
            <w:vAlign w:val="center"/>
            <w:hideMark/>
          </w:tcPr>
          <w:p w14:paraId="2D788496"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122</w:t>
            </w:r>
          </w:p>
        </w:tc>
      </w:tr>
      <w:tr w:rsidR="00D12F84" w:rsidRPr="004F22D5" w14:paraId="74CDB021" w14:textId="77777777" w:rsidTr="00D12F84">
        <w:trPr>
          <w:trHeight w:val="528"/>
        </w:trPr>
        <w:tc>
          <w:tcPr>
            <w:tcW w:w="539" w:type="pct"/>
            <w:vMerge w:val="restart"/>
            <w:tcBorders>
              <w:top w:val="nil"/>
              <w:left w:val="nil"/>
              <w:bottom w:val="nil"/>
              <w:right w:val="nil"/>
            </w:tcBorders>
            <w:shd w:val="clear" w:color="000000" w:fill="F2F2F2"/>
            <w:vAlign w:val="center"/>
            <w:hideMark/>
          </w:tcPr>
          <w:p w14:paraId="5C726DF5"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Radziejewska &amp; Stoyanova (2000)</w:t>
            </w:r>
          </w:p>
        </w:tc>
        <w:tc>
          <w:tcPr>
            <w:tcW w:w="559" w:type="pct"/>
            <w:vMerge w:val="restart"/>
            <w:tcBorders>
              <w:top w:val="nil"/>
              <w:left w:val="nil"/>
              <w:bottom w:val="nil"/>
              <w:right w:val="nil"/>
            </w:tcBorders>
            <w:shd w:val="clear" w:color="000000" w:fill="F2F2F2"/>
            <w:vAlign w:val="center"/>
            <w:hideMark/>
          </w:tcPr>
          <w:p w14:paraId="2CF13A67"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Towed camera systems &amp; remotely controlled devices</w:t>
            </w:r>
          </w:p>
        </w:tc>
        <w:tc>
          <w:tcPr>
            <w:tcW w:w="192" w:type="pct"/>
            <w:tcBorders>
              <w:top w:val="nil"/>
              <w:left w:val="nil"/>
              <w:bottom w:val="nil"/>
              <w:right w:val="nil"/>
            </w:tcBorders>
            <w:shd w:val="clear" w:color="000000" w:fill="F2F2F2"/>
            <w:vAlign w:val="center"/>
            <w:hideMark/>
          </w:tcPr>
          <w:p w14:paraId="3D5A588F"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no</w:t>
            </w:r>
          </w:p>
        </w:tc>
        <w:tc>
          <w:tcPr>
            <w:tcW w:w="254" w:type="pct"/>
            <w:tcBorders>
              <w:top w:val="nil"/>
              <w:left w:val="nil"/>
              <w:bottom w:val="nil"/>
              <w:right w:val="nil"/>
            </w:tcBorders>
            <w:shd w:val="clear" w:color="000000" w:fill="F2F2F2"/>
            <w:vAlign w:val="center"/>
            <w:hideMark/>
          </w:tcPr>
          <w:p w14:paraId="4E04494E"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yes</w:t>
            </w:r>
          </w:p>
        </w:tc>
        <w:tc>
          <w:tcPr>
            <w:tcW w:w="333" w:type="pct"/>
            <w:vMerge w:val="restart"/>
            <w:tcBorders>
              <w:top w:val="nil"/>
              <w:left w:val="nil"/>
              <w:bottom w:val="nil"/>
              <w:right w:val="nil"/>
            </w:tcBorders>
            <w:shd w:val="clear" w:color="000000" w:fill="F2F2F2"/>
            <w:noWrap/>
            <w:vAlign w:val="center"/>
            <w:hideMark/>
          </w:tcPr>
          <w:p w14:paraId="157D09A2"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4,500</w:t>
            </w:r>
          </w:p>
        </w:tc>
        <w:tc>
          <w:tcPr>
            <w:tcW w:w="677" w:type="pct"/>
            <w:vMerge w:val="restart"/>
            <w:tcBorders>
              <w:top w:val="nil"/>
              <w:left w:val="nil"/>
              <w:bottom w:val="nil"/>
              <w:right w:val="nil"/>
            </w:tcBorders>
            <w:shd w:val="clear" w:color="000000" w:fill="F2F2F2"/>
            <w:noWrap/>
            <w:vAlign w:val="center"/>
            <w:hideMark/>
          </w:tcPr>
          <w:p w14:paraId="78E74C96"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IOM, CCFZ</w:t>
            </w:r>
          </w:p>
        </w:tc>
        <w:tc>
          <w:tcPr>
            <w:tcW w:w="492" w:type="pct"/>
            <w:tcBorders>
              <w:top w:val="nil"/>
              <w:left w:val="nil"/>
              <w:bottom w:val="nil"/>
              <w:right w:val="nil"/>
            </w:tcBorders>
            <w:shd w:val="clear" w:color="000000" w:fill="F2F2F2"/>
            <w:noWrap/>
            <w:vAlign w:val="center"/>
            <w:hideMark/>
          </w:tcPr>
          <w:p w14:paraId="5C72144C"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+/- 37,073</w:t>
            </w:r>
          </w:p>
        </w:tc>
        <w:tc>
          <w:tcPr>
            <w:tcW w:w="271" w:type="pct"/>
            <w:tcBorders>
              <w:top w:val="nil"/>
              <w:left w:val="nil"/>
              <w:bottom w:val="nil"/>
              <w:right w:val="nil"/>
            </w:tcBorders>
            <w:shd w:val="clear" w:color="000000" w:fill="F2F2F2"/>
            <w:noWrap/>
            <w:vAlign w:val="center"/>
            <w:hideMark/>
          </w:tcPr>
          <w:p w14:paraId="1F81808D"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+/-7,739</w:t>
            </w:r>
          </w:p>
        </w:tc>
        <w:tc>
          <w:tcPr>
            <w:tcW w:w="182" w:type="pct"/>
            <w:vMerge w:val="restart"/>
            <w:tcBorders>
              <w:top w:val="nil"/>
              <w:left w:val="nil"/>
              <w:bottom w:val="nil"/>
              <w:right w:val="nil"/>
            </w:tcBorders>
            <w:shd w:val="clear" w:color="000000" w:fill="F2F2F2"/>
            <w:noWrap/>
            <w:vAlign w:val="center"/>
            <w:hideMark/>
          </w:tcPr>
          <w:p w14:paraId="462D6C00"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3</w:t>
            </w:r>
          </w:p>
        </w:tc>
        <w:tc>
          <w:tcPr>
            <w:tcW w:w="170" w:type="pct"/>
            <w:vMerge w:val="restart"/>
            <w:tcBorders>
              <w:top w:val="nil"/>
              <w:left w:val="nil"/>
              <w:bottom w:val="nil"/>
              <w:right w:val="nil"/>
            </w:tcBorders>
            <w:shd w:val="clear" w:color="000000" w:fill="F2F2F2"/>
            <w:noWrap/>
            <w:vAlign w:val="center"/>
            <w:hideMark/>
          </w:tcPr>
          <w:p w14:paraId="5795207A"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c>
          <w:tcPr>
            <w:tcW w:w="174" w:type="pct"/>
            <w:vMerge w:val="restart"/>
            <w:tcBorders>
              <w:top w:val="nil"/>
              <w:left w:val="nil"/>
              <w:bottom w:val="nil"/>
              <w:right w:val="nil"/>
            </w:tcBorders>
            <w:shd w:val="clear" w:color="000000" w:fill="F2F2F2"/>
            <w:noWrap/>
            <w:vAlign w:val="center"/>
            <w:hideMark/>
          </w:tcPr>
          <w:p w14:paraId="0F0BD86B"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c>
          <w:tcPr>
            <w:tcW w:w="90" w:type="pct"/>
            <w:tcBorders>
              <w:top w:val="nil"/>
              <w:left w:val="nil"/>
              <w:bottom w:val="nil"/>
              <w:right w:val="nil"/>
            </w:tcBorders>
            <w:shd w:val="clear" w:color="000000" w:fill="F2F2F2"/>
            <w:noWrap/>
            <w:vAlign w:val="bottom"/>
            <w:hideMark/>
          </w:tcPr>
          <w:p w14:paraId="547A2A28" w14:textId="77777777" w:rsidR="004F22D5" w:rsidRPr="004F22D5" w:rsidRDefault="004F22D5" w:rsidP="004F22D5">
            <w:pPr>
              <w:spacing w:after="0" w:line="240" w:lineRule="auto"/>
              <w:jc w:val="left"/>
              <w:rPr>
                <w:rFonts w:ascii="Calibri" w:eastAsia="Times New Roman" w:hAnsi="Calibri" w:cs="Calibri"/>
                <w:color w:val="000000"/>
                <w:kern w:val="0"/>
                <w14:ligatures w14:val="none"/>
              </w:rPr>
            </w:pPr>
            <w:r w:rsidRPr="004F22D5">
              <w:rPr>
                <w:rFonts w:ascii="Calibri" w:eastAsia="Times New Roman" w:hAnsi="Calibri" w:cs="Calibri"/>
                <w:color w:val="000000"/>
                <w:kern w:val="0"/>
                <w14:ligatures w14:val="none"/>
              </w:rPr>
              <w:t> </w:t>
            </w:r>
          </w:p>
        </w:tc>
        <w:tc>
          <w:tcPr>
            <w:tcW w:w="223" w:type="pct"/>
            <w:tcBorders>
              <w:top w:val="nil"/>
              <w:left w:val="nil"/>
              <w:bottom w:val="nil"/>
              <w:right w:val="nil"/>
            </w:tcBorders>
            <w:shd w:val="clear" w:color="000000" w:fill="F2F2F2"/>
            <w:noWrap/>
            <w:vAlign w:val="center"/>
            <w:hideMark/>
          </w:tcPr>
          <w:p w14:paraId="6DB01D97"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305</w:t>
            </w:r>
          </w:p>
        </w:tc>
        <w:tc>
          <w:tcPr>
            <w:tcW w:w="196" w:type="pct"/>
            <w:tcBorders>
              <w:top w:val="nil"/>
              <w:left w:val="nil"/>
              <w:bottom w:val="nil"/>
              <w:right w:val="nil"/>
            </w:tcBorders>
            <w:shd w:val="clear" w:color="000000" w:fill="F2F2F2"/>
            <w:noWrap/>
            <w:vAlign w:val="center"/>
            <w:hideMark/>
          </w:tcPr>
          <w:p w14:paraId="186C1AA0"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125</w:t>
            </w:r>
          </w:p>
        </w:tc>
        <w:tc>
          <w:tcPr>
            <w:tcW w:w="223" w:type="pct"/>
            <w:tcBorders>
              <w:top w:val="nil"/>
              <w:left w:val="nil"/>
              <w:bottom w:val="nil"/>
              <w:right w:val="nil"/>
            </w:tcBorders>
            <w:shd w:val="clear" w:color="000000" w:fill="F2F2F2"/>
            <w:noWrap/>
            <w:vAlign w:val="center"/>
            <w:hideMark/>
          </w:tcPr>
          <w:p w14:paraId="06462DD7"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485</w:t>
            </w:r>
          </w:p>
        </w:tc>
        <w:tc>
          <w:tcPr>
            <w:tcW w:w="90" w:type="pct"/>
            <w:tcBorders>
              <w:top w:val="nil"/>
              <w:left w:val="nil"/>
              <w:bottom w:val="nil"/>
              <w:right w:val="nil"/>
            </w:tcBorders>
            <w:shd w:val="clear" w:color="000000" w:fill="F2F2F2"/>
            <w:noWrap/>
            <w:vAlign w:val="bottom"/>
            <w:hideMark/>
          </w:tcPr>
          <w:p w14:paraId="4D59500B" w14:textId="77777777" w:rsidR="004F22D5" w:rsidRPr="004F22D5" w:rsidRDefault="004F22D5" w:rsidP="004F22D5">
            <w:pPr>
              <w:spacing w:after="0" w:line="240" w:lineRule="auto"/>
              <w:jc w:val="left"/>
              <w:rPr>
                <w:rFonts w:ascii="Calibri" w:eastAsia="Times New Roman" w:hAnsi="Calibri" w:cs="Calibri"/>
                <w:color w:val="000000"/>
                <w:kern w:val="0"/>
                <w14:ligatures w14:val="none"/>
              </w:rPr>
            </w:pPr>
            <w:r w:rsidRPr="004F22D5">
              <w:rPr>
                <w:rFonts w:ascii="Calibri" w:eastAsia="Times New Roman" w:hAnsi="Calibri" w:cs="Calibri"/>
                <w:color w:val="000000"/>
                <w:kern w:val="0"/>
                <w14:ligatures w14:val="none"/>
              </w:rPr>
              <w:t> </w:t>
            </w:r>
          </w:p>
        </w:tc>
        <w:tc>
          <w:tcPr>
            <w:tcW w:w="333" w:type="pct"/>
            <w:tcBorders>
              <w:top w:val="nil"/>
              <w:left w:val="nil"/>
              <w:bottom w:val="nil"/>
              <w:right w:val="nil"/>
            </w:tcBorders>
            <w:shd w:val="clear" w:color="000000" w:fill="F2F2F2"/>
            <w:vAlign w:val="center"/>
            <w:hideMark/>
          </w:tcPr>
          <w:p w14:paraId="7660A603"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r>
      <w:tr w:rsidR="00D12F84" w:rsidRPr="004F22D5" w14:paraId="508820D3" w14:textId="77777777" w:rsidTr="00D12F84">
        <w:trPr>
          <w:trHeight w:val="288"/>
        </w:trPr>
        <w:tc>
          <w:tcPr>
            <w:tcW w:w="539" w:type="pct"/>
            <w:vMerge/>
            <w:tcBorders>
              <w:top w:val="nil"/>
              <w:left w:val="nil"/>
              <w:bottom w:val="nil"/>
              <w:right w:val="nil"/>
            </w:tcBorders>
            <w:vAlign w:val="center"/>
            <w:hideMark/>
          </w:tcPr>
          <w:p w14:paraId="11EAE9B0"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p>
        </w:tc>
        <w:tc>
          <w:tcPr>
            <w:tcW w:w="559" w:type="pct"/>
            <w:vMerge/>
            <w:tcBorders>
              <w:top w:val="nil"/>
              <w:left w:val="nil"/>
              <w:bottom w:val="nil"/>
              <w:right w:val="nil"/>
            </w:tcBorders>
            <w:vAlign w:val="center"/>
            <w:hideMark/>
          </w:tcPr>
          <w:p w14:paraId="7C13B69D"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p>
        </w:tc>
        <w:tc>
          <w:tcPr>
            <w:tcW w:w="192" w:type="pct"/>
            <w:tcBorders>
              <w:top w:val="nil"/>
              <w:left w:val="nil"/>
              <w:bottom w:val="nil"/>
              <w:right w:val="nil"/>
            </w:tcBorders>
            <w:shd w:val="clear" w:color="000000" w:fill="F2F2F2"/>
            <w:vAlign w:val="center"/>
            <w:hideMark/>
          </w:tcPr>
          <w:p w14:paraId="1B518F49"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no</w:t>
            </w:r>
          </w:p>
        </w:tc>
        <w:tc>
          <w:tcPr>
            <w:tcW w:w="254" w:type="pct"/>
            <w:tcBorders>
              <w:top w:val="nil"/>
              <w:left w:val="nil"/>
              <w:bottom w:val="nil"/>
              <w:right w:val="nil"/>
            </w:tcBorders>
            <w:shd w:val="clear" w:color="000000" w:fill="F2F2F2"/>
            <w:vAlign w:val="center"/>
            <w:hideMark/>
          </w:tcPr>
          <w:p w14:paraId="22F2ACE0"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no</w:t>
            </w:r>
          </w:p>
        </w:tc>
        <w:tc>
          <w:tcPr>
            <w:tcW w:w="333" w:type="pct"/>
            <w:vMerge/>
            <w:tcBorders>
              <w:top w:val="nil"/>
              <w:left w:val="nil"/>
              <w:bottom w:val="nil"/>
              <w:right w:val="nil"/>
            </w:tcBorders>
            <w:vAlign w:val="center"/>
            <w:hideMark/>
          </w:tcPr>
          <w:p w14:paraId="52DEE08B"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p>
        </w:tc>
        <w:tc>
          <w:tcPr>
            <w:tcW w:w="677" w:type="pct"/>
            <w:vMerge/>
            <w:tcBorders>
              <w:top w:val="nil"/>
              <w:left w:val="nil"/>
              <w:bottom w:val="nil"/>
              <w:right w:val="nil"/>
            </w:tcBorders>
            <w:vAlign w:val="center"/>
            <w:hideMark/>
          </w:tcPr>
          <w:p w14:paraId="4B592629"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p>
        </w:tc>
        <w:tc>
          <w:tcPr>
            <w:tcW w:w="492" w:type="pct"/>
            <w:tcBorders>
              <w:top w:val="nil"/>
              <w:left w:val="nil"/>
              <w:bottom w:val="nil"/>
              <w:right w:val="nil"/>
            </w:tcBorders>
            <w:shd w:val="clear" w:color="000000" w:fill="F2F2F2"/>
            <w:noWrap/>
            <w:vAlign w:val="center"/>
            <w:hideMark/>
          </w:tcPr>
          <w:p w14:paraId="3619E1CA"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+/- 34,116</w:t>
            </w:r>
          </w:p>
        </w:tc>
        <w:tc>
          <w:tcPr>
            <w:tcW w:w="271" w:type="pct"/>
            <w:tcBorders>
              <w:top w:val="nil"/>
              <w:left w:val="nil"/>
              <w:bottom w:val="nil"/>
              <w:right w:val="nil"/>
            </w:tcBorders>
            <w:shd w:val="clear" w:color="000000" w:fill="F2F2F2"/>
            <w:noWrap/>
            <w:vAlign w:val="center"/>
            <w:hideMark/>
          </w:tcPr>
          <w:p w14:paraId="19F7D5A1"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+/-7,143</w:t>
            </w:r>
          </w:p>
        </w:tc>
        <w:tc>
          <w:tcPr>
            <w:tcW w:w="182" w:type="pct"/>
            <w:vMerge/>
            <w:tcBorders>
              <w:top w:val="nil"/>
              <w:left w:val="nil"/>
              <w:bottom w:val="nil"/>
              <w:right w:val="nil"/>
            </w:tcBorders>
            <w:vAlign w:val="center"/>
            <w:hideMark/>
          </w:tcPr>
          <w:p w14:paraId="53CB53C2"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p>
        </w:tc>
        <w:tc>
          <w:tcPr>
            <w:tcW w:w="170" w:type="pct"/>
            <w:vMerge/>
            <w:tcBorders>
              <w:top w:val="nil"/>
              <w:left w:val="nil"/>
              <w:bottom w:val="nil"/>
              <w:right w:val="nil"/>
            </w:tcBorders>
            <w:vAlign w:val="center"/>
            <w:hideMark/>
          </w:tcPr>
          <w:p w14:paraId="3A592440"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p>
        </w:tc>
        <w:tc>
          <w:tcPr>
            <w:tcW w:w="174" w:type="pct"/>
            <w:vMerge/>
            <w:tcBorders>
              <w:top w:val="nil"/>
              <w:left w:val="nil"/>
              <w:bottom w:val="nil"/>
              <w:right w:val="nil"/>
            </w:tcBorders>
            <w:vAlign w:val="center"/>
            <w:hideMark/>
          </w:tcPr>
          <w:p w14:paraId="08D07EE0"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p>
        </w:tc>
        <w:tc>
          <w:tcPr>
            <w:tcW w:w="90" w:type="pct"/>
            <w:tcBorders>
              <w:top w:val="nil"/>
              <w:left w:val="nil"/>
              <w:bottom w:val="nil"/>
              <w:right w:val="nil"/>
            </w:tcBorders>
            <w:shd w:val="clear" w:color="000000" w:fill="F2F2F2"/>
            <w:noWrap/>
            <w:vAlign w:val="center"/>
            <w:hideMark/>
          </w:tcPr>
          <w:p w14:paraId="419FFFC3"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 </w:t>
            </w:r>
          </w:p>
        </w:tc>
        <w:tc>
          <w:tcPr>
            <w:tcW w:w="223" w:type="pct"/>
            <w:tcBorders>
              <w:top w:val="nil"/>
              <w:left w:val="nil"/>
              <w:bottom w:val="nil"/>
              <w:right w:val="nil"/>
            </w:tcBorders>
            <w:shd w:val="clear" w:color="000000" w:fill="F2F2F2"/>
            <w:noWrap/>
            <w:vAlign w:val="center"/>
            <w:hideMark/>
          </w:tcPr>
          <w:p w14:paraId="3223B202"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176</w:t>
            </w:r>
          </w:p>
        </w:tc>
        <w:tc>
          <w:tcPr>
            <w:tcW w:w="196" w:type="pct"/>
            <w:tcBorders>
              <w:top w:val="nil"/>
              <w:left w:val="nil"/>
              <w:bottom w:val="nil"/>
              <w:right w:val="nil"/>
            </w:tcBorders>
            <w:shd w:val="clear" w:color="000000" w:fill="F2F2F2"/>
            <w:noWrap/>
            <w:vAlign w:val="center"/>
            <w:hideMark/>
          </w:tcPr>
          <w:p w14:paraId="1E70CC39"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c>
          <w:tcPr>
            <w:tcW w:w="223" w:type="pct"/>
            <w:tcBorders>
              <w:top w:val="nil"/>
              <w:left w:val="nil"/>
              <w:bottom w:val="nil"/>
              <w:right w:val="nil"/>
            </w:tcBorders>
            <w:shd w:val="clear" w:color="000000" w:fill="F2F2F2"/>
            <w:noWrap/>
            <w:vAlign w:val="center"/>
            <w:hideMark/>
          </w:tcPr>
          <w:p w14:paraId="685763D9"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c>
          <w:tcPr>
            <w:tcW w:w="90" w:type="pct"/>
            <w:tcBorders>
              <w:top w:val="nil"/>
              <w:left w:val="nil"/>
              <w:bottom w:val="nil"/>
              <w:right w:val="nil"/>
            </w:tcBorders>
            <w:shd w:val="clear" w:color="000000" w:fill="F2F2F2"/>
            <w:noWrap/>
            <w:vAlign w:val="center"/>
            <w:hideMark/>
          </w:tcPr>
          <w:p w14:paraId="7B9E5E0F"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 </w:t>
            </w:r>
          </w:p>
        </w:tc>
        <w:tc>
          <w:tcPr>
            <w:tcW w:w="333" w:type="pct"/>
            <w:tcBorders>
              <w:top w:val="nil"/>
              <w:left w:val="nil"/>
              <w:bottom w:val="nil"/>
              <w:right w:val="nil"/>
            </w:tcBorders>
            <w:shd w:val="clear" w:color="000000" w:fill="F2F2F2"/>
            <w:vAlign w:val="center"/>
            <w:hideMark/>
          </w:tcPr>
          <w:p w14:paraId="058B6AAD"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r>
      <w:tr w:rsidR="00D12F84" w:rsidRPr="004F22D5" w14:paraId="32D79D1D" w14:textId="77777777" w:rsidTr="00D12F84">
        <w:trPr>
          <w:trHeight w:val="528"/>
        </w:trPr>
        <w:tc>
          <w:tcPr>
            <w:tcW w:w="539" w:type="pct"/>
            <w:tcBorders>
              <w:top w:val="nil"/>
              <w:left w:val="nil"/>
              <w:bottom w:val="nil"/>
              <w:right w:val="nil"/>
            </w:tcBorders>
            <w:shd w:val="clear" w:color="000000" w:fill="FFFFFF"/>
            <w:vAlign w:val="center"/>
            <w:hideMark/>
          </w:tcPr>
          <w:p w14:paraId="11601E6A"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Amon et al. (2016)</w:t>
            </w:r>
          </w:p>
        </w:tc>
        <w:tc>
          <w:tcPr>
            <w:tcW w:w="559" w:type="pct"/>
            <w:tcBorders>
              <w:top w:val="nil"/>
              <w:left w:val="nil"/>
              <w:bottom w:val="nil"/>
              <w:right w:val="nil"/>
            </w:tcBorders>
            <w:shd w:val="clear" w:color="000000" w:fill="FFFFFF"/>
            <w:vAlign w:val="center"/>
            <w:hideMark/>
          </w:tcPr>
          <w:p w14:paraId="2F7B813B"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Remotely Operated Vehicle</w:t>
            </w:r>
          </w:p>
        </w:tc>
        <w:tc>
          <w:tcPr>
            <w:tcW w:w="192" w:type="pct"/>
            <w:tcBorders>
              <w:top w:val="nil"/>
              <w:left w:val="nil"/>
              <w:bottom w:val="nil"/>
              <w:right w:val="nil"/>
            </w:tcBorders>
            <w:shd w:val="clear" w:color="000000" w:fill="FFFFFF"/>
            <w:vAlign w:val="center"/>
            <w:hideMark/>
          </w:tcPr>
          <w:p w14:paraId="30197B2B"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no</w:t>
            </w:r>
          </w:p>
        </w:tc>
        <w:tc>
          <w:tcPr>
            <w:tcW w:w="254" w:type="pct"/>
            <w:tcBorders>
              <w:top w:val="nil"/>
              <w:left w:val="nil"/>
              <w:bottom w:val="nil"/>
              <w:right w:val="nil"/>
            </w:tcBorders>
            <w:shd w:val="clear" w:color="000000" w:fill="FFFFFF"/>
            <w:vAlign w:val="center"/>
            <w:hideMark/>
          </w:tcPr>
          <w:p w14:paraId="5C96E614"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yes</w:t>
            </w:r>
          </w:p>
        </w:tc>
        <w:tc>
          <w:tcPr>
            <w:tcW w:w="333" w:type="pct"/>
            <w:tcBorders>
              <w:top w:val="nil"/>
              <w:left w:val="nil"/>
              <w:bottom w:val="nil"/>
              <w:right w:val="nil"/>
            </w:tcBorders>
            <w:shd w:val="clear" w:color="000000" w:fill="FFFFFF"/>
            <w:noWrap/>
            <w:vAlign w:val="center"/>
            <w:hideMark/>
          </w:tcPr>
          <w:p w14:paraId="240575B8"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4,400</w:t>
            </w:r>
          </w:p>
        </w:tc>
        <w:tc>
          <w:tcPr>
            <w:tcW w:w="677" w:type="pct"/>
            <w:tcBorders>
              <w:top w:val="nil"/>
              <w:left w:val="nil"/>
              <w:bottom w:val="nil"/>
              <w:right w:val="nil"/>
            </w:tcBorders>
            <w:shd w:val="clear" w:color="000000" w:fill="FFFFFF"/>
            <w:noWrap/>
            <w:vAlign w:val="center"/>
            <w:hideMark/>
          </w:tcPr>
          <w:p w14:paraId="0081CF44"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UK1, CCFZ</w:t>
            </w:r>
          </w:p>
        </w:tc>
        <w:tc>
          <w:tcPr>
            <w:tcW w:w="492" w:type="pct"/>
            <w:tcBorders>
              <w:top w:val="nil"/>
              <w:left w:val="nil"/>
              <w:bottom w:val="nil"/>
              <w:right w:val="nil"/>
            </w:tcBorders>
            <w:shd w:val="clear" w:color="000000" w:fill="FFFFFF"/>
            <w:noWrap/>
            <w:vAlign w:val="center"/>
            <w:hideMark/>
          </w:tcPr>
          <w:p w14:paraId="0EF918C1"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4,202</w:t>
            </w:r>
          </w:p>
        </w:tc>
        <w:tc>
          <w:tcPr>
            <w:tcW w:w="271" w:type="pct"/>
            <w:tcBorders>
              <w:top w:val="nil"/>
              <w:left w:val="nil"/>
              <w:bottom w:val="nil"/>
              <w:right w:val="nil"/>
            </w:tcBorders>
            <w:shd w:val="clear" w:color="000000" w:fill="FFFFFF"/>
            <w:noWrap/>
            <w:vAlign w:val="center"/>
            <w:hideMark/>
          </w:tcPr>
          <w:p w14:paraId="05376EAC"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2,458</w:t>
            </w:r>
          </w:p>
        </w:tc>
        <w:tc>
          <w:tcPr>
            <w:tcW w:w="182" w:type="pct"/>
            <w:tcBorders>
              <w:top w:val="nil"/>
              <w:left w:val="nil"/>
              <w:bottom w:val="nil"/>
              <w:right w:val="nil"/>
            </w:tcBorders>
            <w:shd w:val="clear" w:color="000000" w:fill="FFFFFF"/>
            <w:noWrap/>
            <w:vAlign w:val="center"/>
            <w:hideMark/>
          </w:tcPr>
          <w:p w14:paraId="3A9D7132"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2</w:t>
            </w:r>
          </w:p>
        </w:tc>
        <w:tc>
          <w:tcPr>
            <w:tcW w:w="170" w:type="pct"/>
            <w:tcBorders>
              <w:top w:val="nil"/>
              <w:left w:val="nil"/>
              <w:bottom w:val="nil"/>
              <w:right w:val="nil"/>
            </w:tcBorders>
            <w:shd w:val="clear" w:color="000000" w:fill="FFFFFF"/>
            <w:noWrap/>
            <w:vAlign w:val="center"/>
            <w:hideMark/>
          </w:tcPr>
          <w:p w14:paraId="450C6FE8"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1.2</w:t>
            </w:r>
          </w:p>
        </w:tc>
        <w:tc>
          <w:tcPr>
            <w:tcW w:w="174" w:type="pct"/>
            <w:tcBorders>
              <w:top w:val="nil"/>
              <w:left w:val="nil"/>
              <w:bottom w:val="nil"/>
              <w:right w:val="nil"/>
            </w:tcBorders>
            <w:shd w:val="clear" w:color="000000" w:fill="FFFFFF"/>
            <w:noWrap/>
            <w:vAlign w:val="center"/>
            <w:hideMark/>
          </w:tcPr>
          <w:p w14:paraId="092DE642"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3.2</w:t>
            </w:r>
          </w:p>
        </w:tc>
        <w:tc>
          <w:tcPr>
            <w:tcW w:w="90" w:type="pct"/>
            <w:tcBorders>
              <w:top w:val="nil"/>
              <w:left w:val="nil"/>
              <w:bottom w:val="nil"/>
              <w:right w:val="nil"/>
            </w:tcBorders>
            <w:shd w:val="clear" w:color="000000" w:fill="FFFFFF"/>
            <w:noWrap/>
            <w:vAlign w:val="bottom"/>
            <w:hideMark/>
          </w:tcPr>
          <w:p w14:paraId="40E736B0" w14:textId="77777777" w:rsidR="004F22D5" w:rsidRPr="004F22D5" w:rsidRDefault="004F22D5" w:rsidP="004F22D5">
            <w:pPr>
              <w:spacing w:after="0" w:line="240" w:lineRule="auto"/>
              <w:jc w:val="left"/>
              <w:rPr>
                <w:rFonts w:ascii="Calibri" w:eastAsia="Times New Roman" w:hAnsi="Calibri" w:cs="Calibri"/>
                <w:color w:val="000000"/>
                <w:kern w:val="0"/>
                <w14:ligatures w14:val="none"/>
              </w:rPr>
            </w:pPr>
            <w:r w:rsidRPr="004F22D5">
              <w:rPr>
                <w:rFonts w:ascii="Calibri" w:eastAsia="Times New Roman" w:hAnsi="Calibri" w:cs="Calibri"/>
                <w:color w:val="000000"/>
                <w:kern w:val="0"/>
                <w14:ligatures w14:val="none"/>
              </w:rPr>
              <w:t> </w:t>
            </w:r>
          </w:p>
        </w:tc>
        <w:tc>
          <w:tcPr>
            <w:tcW w:w="223" w:type="pct"/>
            <w:tcBorders>
              <w:top w:val="nil"/>
              <w:left w:val="nil"/>
              <w:bottom w:val="nil"/>
              <w:right w:val="nil"/>
            </w:tcBorders>
            <w:shd w:val="clear" w:color="000000" w:fill="FFFFFF"/>
            <w:noWrap/>
            <w:vAlign w:val="center"/>
            <w:hideMark/>
          </w:tcPr>
          <w:p w14:paraId="0129C712"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8,000</w:t>
            </w:r>
          </w:p>
        </w:tc>
        <w:tc>
          <w:tcPr>
            <w:tcW w:w="196" w:type="pct"/>
            <w:tcBorders>
              <w:top w:val="nil"/>
              <w:left w:val="nil"/>
              <w:bottom w:val="nil"/>
              <w:right w:val="nil"/>
            </w:tcBorders>
            <w:shd w:val="clear" w:color="000000" w:fill="FFFFFF"/>
            <w:noWrap/>
            <w:vAlign w:val="center"/>
            <w:hideMark/>
          </w:tcPr>
          <w:p w14:paraId="3AC6BBCE"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c>
          <w:tcPr>
            <w:tcW w:w="223" w:type="pct"/>
            <w:tcBorders>
              <w:top w:val="nil"/>
              <w:left w:val="nil"/>
              <w:bottom w:val="nil"/>
              <w:right w:val="nil"/>
            </w:tcBorders>
            <w:shd w:val="clear" w:color="000000" w:fill="FFFFFF"/>
            <w:noWrap/>
            <w:vAlign w:val="center"/>
            <w:hideMark/>
          </w:tcPr>
          <w:p w14:paraId="751FA580"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c>
          <w:tcPr>
            <w:tcW w:w="90" w:type="pct"/>
            <w:tcBorders>
              <w:top w:val="nil"/>
              <w:left w:val="nil"/>
              <w:bottom w:val="nil"/>
              <w:right w:val="nil"/>
            </w:tcBorders>
            <w:shd w:val="clear" w:color="000000" w:fill="FFFFFF"/>
            <w:noWrap/>
            <w:vAlign w:val="bottom"/>
            <w:hideMark/>
          </w:tcPr>
          <w:p w14:paraId="5A1D18BC" w14:textId="77777777" w:rsidR="004F22D5" w:rsidRPr="004F22D5" w:rsidRDefault="004F22D5" w:rsidP="004F22D5">
            <w:pPr>
              <w:spacing w:after="0" w:line="240" w:lineRule="auto"/>
              <w:jc w:val="left"/>
              <w:rPr>
                <w:rFonts w:ascii="Calibri" w:eastAsia="Times New Roman" w:hAnsi="Calibri" w:cs="Calibri"/>
                <w:color w:val="000000"/>
                <w:kern w:val="0"/>
                <w14:ligatures w14:val="none"/>
              </w:rPr>
            </w:pPr>
            <w:r w:rsidRPr="004F22D5">
              <w:rPr>
                <w:rFonts w:ascii="Calibri" w:eastAsia="Times New Roman" w:hAnsi="Calibri" w:cs="Calibri"/>
                <w:color w:val="000000"/>
                <w:kern w:val="0"/>
                <w14:ligatures w14:val="none"/>
              </w:rPr>
              <w:t> </w:t>
            </w:r>
          </w:p>
        </w:tc>
        <w:tc>
          <w:tcPr>
            <w:tcW w:w="333" w:type="pct"/>
            <w:tcBorders>
              <w:top w:val="nil"/>
              <w:left w:val="nil"/>
              <w:bottom w:val="nil"/>
              <w:right w:val="nil"/>
            </w:tcBorders>
            <w:shd w:val="clear" w:color="000000" w:fill="FFFFFF"/>
            <w:vAlign w:val="center"/>
            <w:hideMark/>
          </w:tcPr>
          <w:p w14:paraId="294ABA3E"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126</w:t>
            </w:r>
          </w:p>
        </w:tc>
      </w:tr>
      <w:tr w:rsidR="00D12F84" w:rsidRPr="004F22D5" w14:paraId="7F6BFF09" w14:textId="77777777" w:rsidTr="00D12F84">
        <w:trPr>
          <w:trHeight w:val="528"/>
        </w:trPr>
        <w:tc>
          <w:tcPr>
            <w:tcW w:w="539" w:type="pct"/>
            <w:tcBorders>
              <w:top w:val="nil"/>
              <w:left w:val="nil"/>
              <w:bottom w:val="nil"/>
              <w:right w:val="nil"/>
            </w:tcBorders>
            <w:shd w:val="clear" w:color="000000" w:fill="FFFFFF"/>
            <w:vAlign w:val="center"/>
            <w:hideMark/>
          </w:tcPr>
          <w:p w14:paraId="14B32B0B" w14:textId="77777777" w:rsidR="004F22D5" w:rsidRPr="004F22D5" w:rsidRDefault="004F22D5" w:rsidP="004F22D5">
            <w:pPr>
              <w:spacing w:after="0" w:line="240" w:lineRule="auto"/>
              <w:jc w:val="left"/>
              <w:rPr>
                <w:rFonts w:eastAsia="Times New Roman" w:cs="Times New Roman"/>
                <w:color w:val="000000"/>
                <w:kern w:val="0"/>
                <w:sz w:val="20"/>
                <w:szCs w:val="20"/>
                <w:lang w:val="nl-BE"/>
                <w14:ligatures w14:val="none"/>
              </w:rPr>
            </w:pPr>
            <w:r w:rsidRPr="004F22D5">
              <w:rPr>
                <w:rFonts w:eastAsia="Times New Roman" w:cs="Times New Roman"/>
                <w:color w:val="000000"/>
                <w:kern w:val="0"/>
                <w:sz w:val="20"/>
                <w:szCs w:val="20"/>
                <w:lang w:val="nl-BE"/>
                <w14:ligatures w14:val="none"/>
              </w:rPr>
              <w:t>Simon-Lledó et al. (2019b)</w:t>
            </w:r>
          </w:p>
        </w:tc>
        <w:tc>
          <w:tcPr>
            <w:tcW w:w="559" w:type="pct"/>
            <w:tcBorders>
              <w:top w:val="nil"/>
              <w:left w:val="nil"/>
              <w:bottom w:val="nil"/>
              <w:right w:val="nil"/>
            </w:tcBorders>
            <w:shd w:val="clear" w:color="000000" w:fill="FFFFFF"/>
            <w:vAlign w:val="center"/>
            <w:hideMark/>
          </w:tcPr>
          <w:p w14:paraId="3886FFBE"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AUV Autosub6000</w:t>
            </w:r>
          </w:p>
        </w:tc>
        <w:tc>
          <w:tcPr>
            <w:tcW w:w="192" w:type="pct"/>
            <w:tcBorders>
              <w:top w:val="nil"/>
              <w:left w:val="nil"/>
              <w:bottom w:val="nil"/>
              <w:right w:val="nil"/>
            </w:tcBorders>
            <w:shd w:val="clear" w:color="000000" w:fill="FFFFFF"/>
            <w:vAlign w:val="center"/>
            <w:hideMark/>
          </w:tcPr>
          <w:p w14:paraId="2E0DDF16"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no</w:t>
            </w:r>
          </w:p>
        </w:tc>
        <w:tc>
          <w:tcPr>
            <w:tcW w:w="254" w:type="pct"/>
            <w:tcBorders>
              <w:top w:val="nil"/>
              <w:left w:val="nil"/>
              <w:bottom w:val="nil"/>
              <w:right w:val="nil"/>
            </w:tcBorders>
            <w:shd w:val="clear" w:color="000000" w:fill="FFFFFF"/>
            <w:vAlign w:val="center"/>
            <w:hideMark/>
          </w:tcPr>
          <w:p w14:paraId="65341845"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yes</w:t>
            </w:r>
          </w:p>
        </w:tc>
        <w:tc>
          <w:tcPr>
            <w:tcW w:w="333" w:type="pct"/>
            <w:tcBorders>
              <w:top w:val="nil"/>
              <w:left w:val="nil"/>
              <w:bottom w:val="nil"/>
              <w:right w:val="nil"/>
            </w:tcBorders>
            <w:shd w:val="clear" w:color="000000" w:fill="FFFFFF"/>
            <w:noWrap/>
            <w:vAlign w:val="center"/>
            <w:hideMark/>
          </w:tcPr>
          <w:p w14:paraId="1A9401A2"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3,950-4,250</w:t>
            </w:r>
          </w:p>
        </w:tc>
        <w:tc>
          <w:tcPr>
            <w:tcW w:w="677" w:type="pct"/>
            <w:tcBorders>
              <w:top w:val="nil"/>
              <w:left w:val="nil"/>
              <w:bottom w:val="nil"/>
              <w:right w:val="nil"/>
            </w:tcBorders>
            <w:shd w:val="clear" w:color="000000" w:fill="FFFFFF"/>
            <w:noWrap/>
            <w:vAlign w:val="center"/>
            <w:hideMark/>
          </w:tcPr>
          <w:p w14:paraId="3B0F7347"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APEI6, CCFZ</w:t>
            </w:r>
          </w:p>
        </w:tc>
        <w:tc>
          <w:tcPr>
            <w:tcW w:w="492" w:type="pct"/>
            <w:tcBorders>
              <w:top w:val="nil"/>
              <w:left w:val="nil"/>
              <w:bottom w:val="nil"/>
              <w:right w:val="nil"/>
            </w:tcBorders>
            <w:shd w:val="clear" w:color="000000" w:fill="FFFFFF"/>
            <w:noWrap/>
            <w:vAlign w:val="center"/>
            <w:hideMark/>
          </w:tcPr>
          <w:p w14:paraId="5AC632F3"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18,580</w:t>
            </w:r>
          </w:p>
        </w:tc>
        <w:tc>
          <w:tcPr>
            <w:tcW w:w="271" w:type="pct"/>
            <w:tcBorders>
              <w:top w:val="nil"/>
              <w:left w:val="nil"/>
              <w:bottom w:val="nil"/>
              <w:right w:val="nil"/>
            </w:tcBorders>
            <w:shd w:val="clear" w:color="000000" w:fill="FFFFFF"/>
            <w:noWrap/>
            <w:vAlign w:val="center"/>
            <w:hideMark/>
          </w:tcPr>
          <w:p w14:paraId="009D6B0C"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10,052</w:t>
            </w:r>
          </w:p>
        </w:tc>
        <w:tc>
          <w:tcPr>
            <w:tcW w:w="182" w:type="pct"/>
            <w:tcBorders>
              <w:top w:val="nil"/>
              <w:left w:val="nil"/>
              <w:bottom w:val="nil"/>
              <w:right w:val="nil"/>
            </w:tcBorders>
            <w:shd w:val="clear" w:color="000000" w:fill="FFFFFF"/>
            <w:noWrap/>
            <w:vAlign w:val="center"/>
            <w:hideMark/>
          </w:tcPr>
          <w:p w14:paraId="32206BE0"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3</w:t>
            </w:r>
          </w:p>
        </w:tc>
        <w:tc>
          <w:tcPr>
            <w:tcW w:w="170" w:type="pct"/>
            <w:tcBorders>
              <w:top w:val="nil"/>
              <w:left w:val="nil"/>
              <w:bottom w:val="nil"/>
              <w:right w:val="nil"/>
            </w:tcBorders>
            <w:shd w:val="clear" w:color="000000" w:fill="FFFFFF"/>
            <w:noWrap/>
            <w:vAlign w:val="center"/>
            <w:hideMark/>
          </w:tcPr>
          <w:p w14:paraId="20D732EA"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2.1</w:t>
            </w:r>
          </w:p>
        </w:tc>
        <w:tc>
          <w:tcPr>
            <w:tcW w:w="174" w:type="pct"/>
            <w:tcBorders>
              <w:top w:val="nil"/>
              <w:left w:val="nil"/>
              <w:bottom w:val="nil"/>
              <w:right w:val="nil"/>
            </w:tcBorders>
            <w:shd w:val="clear" w:color="000000" w:fill="FFFFFF"/>
            <w:noWrap/>
            <w:vAlign w:val="center"/>
            <w:hideMark/>
          </w:tcPr>
          <w:p w14:paraId="7AC9055F"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3.9</w:t>
            </w:r>
          </w:p>
        </w:tc>
        <w:tc>
          <w:tcPr>
            <w:tcW w:w="90" w:type="pct"/>
            <w:tcBorders>
              <w:top w:val="nil"/>
              <w:left w:val="nil"/>
              <w:bottom w:val="nil"/>
              <w:right w:val="nil"/>
            </w:tcBorders>
            <w:shd w:val="clear" w:color="000000" w:fill="FFFFFF"/>
            <w:noWrap/>
            <w:vAlign w:val="bottom"/>
            <w:hideMark/>
          </w:tcPr>
          <w:p w14:paraId="0CE00537" w14:textId="77777777" w:rsidR="004F22D5" w:rsidRPr="004F22D5" w:rsidRDefault="004F22D5" w:rsidP="004F22D5">
            <w:pPr>
              <w:spacing w:after="0" w:line="240" w:lineRule="auto"/>
              <w:jc w:val="left"/>
              <w:rPr>
                <w:rFonts w:ascii="Calibri" w:eastAsia="Times New Roman" w:hAnsi="Calibri" w:cs="Calibri"/>
                <w:color w:val="000000"/>
                <w:kern w:val="0"/>
                <w14:ligatures w14:val="none"/>
              </w:rPr>
            </w:pPr>
            <w:r w:rsidRPr="004F22D5">
              <w:rPr>
                <w:rFonts w:ascii="Calibri" w:eastAsia="Times New Roman" w:hAnsi="Calibri" w:cs="Calibri"/>
                <w:color w:val="000000"/>
                <w:kern w:val="0"/>
                <w14:ligatures w14:val="none"/>
              </w:rPr>
              <w:t> </w:t>
            </w:r>
          </w:p>
        </w:tc>
        <w:tc>
          <w:tcPr>
            <w:tcW w:w="223" w:type="pct"/>
            <w:tcBorders>
              <w:top w:val="nil"/>
              <w:left w:val="nil"/>
              <w:bottom w:val="nil"/>
              <w:right w:val="nil"/>
            </w:tcBorders>
            <w:shd w:val="clear" w:color="000000" w:fill="FFFFFF"/>
            <w:noWrap/>
            <w:vAlign w:val="center"/>
            <w:hideMark/>
          </w:tcPr>
          <w:p w14:paraId="0934B5DF"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3,900</w:t>
            </w:r>
          </w:p>
        </w:tc>
        <w:tc>
          <w:tcPr>
            <w:tcW w:w="196" w:type="pct"/>
            <w:tcBorders>
              <w:top w:val="nil"/>
              <w:left w:val="nil"/>
              <w:bottom w:val="nil"/>
              <w:right w:val="nil"/>
            </w:tcBorders>
            <w:shd w:val="clear" w:color="000000" w:fill="FFFFFF"/>
            <w:noWrap/>
            <w:vAlign w:val="center"/>
            <w:hideMark/>
          </w:tcPr>
          <w:p w14:paraId="4631E9E7"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3,200</w:t>
            </w:r>
          </w:p>
        </w:tc>
        <w:tc>
          <w:tcPr>
            <w:tcW w:w="223" w:type="pct"/>
            <w:tcBorders>
              <w:top w:val="nil"/>
              <w:left w:val="nil"/>
              <w:bottom w:val="nil"/>
              <w:right w:val="nil"/>
            </w:tcBorders>
            <w:shd w:val="clear" w:color="000000" w:fill="FFFFFF"/>
            <w:noWrap/>
            <w:vAlign w:val="center"/>
            <w:hideMark/>
          </w:tcPr>
          <w:p w14:paraId="03E71E1C"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4,400</w:t>
            </w:r>
          </w:p>
        </w:tc>
        <w:tc>
          <w:tcPr>
            <w:tcW w:w="90" w:type="pct"/>
            <w:tcBorders>
              <w:top w:val="nil"/>
              <w:left w:val="nil"/>
              <w:bottom w:val="nil"/>
              <w:right w:val="nil"/>
            </w:tcBorders>
            <w:shd w:val="clear" w:color="000000" w:fill="FFFFFF"/>
            <w:noWrap/>
            <w:vAlign w:val="bottom"/>
            <w:hideMark/>
          </w:tcPr>
          <w:p w14:paraId="547ACDD2" w14:textId="77777777" w:rsidR="004F22D5" w:rsidRPr="004F22D5" w:rsidRDefault="004F22D5" w:rsidP="004F22D5">
            <w:pPr>
              <w:spacing w:after="0" w:line="240" w:lineRule="auto"/>
              <w:jc w:val="left"/>
              <w:rPr>
                <w:rFonts w:ascii="Calibri" w:eastAsia="Times New Roman" w:hAnsi="Calibri" w:cs="Calibri"/>
                <w:color w:val="000000"/>
                <w:kern w:val="0"/>
                <w14:ligatures w14:val="none"/>
              </w:rPr>
            </w:pPr>
            <w:r w:rsidRPr="004F22D5">
              <w:rPr>
                <w:rFonts w:ascii="Calibri" w:eastAsia="Times New Roman" w:hAnsi="Calibri" w:cs="Calibri"/>
                <w:color w:val="000000"/>
                <w:kern w:val="0"/>
                <w14:ligatures w14:val="none"/>
              </w:rPr>
              <w:t> </w:t>
            </w:r>
          </w:p>
        </w:tc>
        <w:tc>
          <w:tcPr>
            <w:tcW w:w="333" w:type="pct"/>
            <w:tcBorders>
              <w:top w:val="nil"/>
              <w:left w:val="nil"/>
              <w:bottom w:val="nil"/>
              <w:right w:val="nil"/>
            </w:tcBorders>
            <w:shd w:val="clear" w:color="000000" w:fill="FFFFFF"/>
            <w:vAlign w:val="center"/>
            <w:hideMark/>
          </w:tcPr>
          <w:p w14:paraId="0636CD3B"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133</w:t>
            </w:r>
          </w:p>
        </w:tc>
      </w:tr>
      <w:tr w:rsidR="00D12F84" w:rsidRPr="004F22D5" w14:paraId="43913F2D" w14:textId="77777777" w:rsidTr="00D12F84">
        <w:trPr>
          <w:trHeight w:val="528"/>
        </w:trPr>
        <w:tc>
          <w:tcPr>
            <w:tcW w:w="539" w:type="pct"/>
            <w:tcBorders>
              <w:top w:val="nil"/>
              <w:left w:val="nil"/>
              <w:bottom w:val="nil"/>
              <w:right w:val="nil"/>
            </w:tcBorders>
            <w:shd w:val="clear" w:color="000000" w:fill="F2F2F2"/>
            <w:vAlign w:val="center"/>
            <w:hideMark/>
          </w:tcPr>
          <w:p w14:paraId="6D23FBB8" w14:textId="77777777" w:rsidR="004F22D5" w:rsidRPr="004F22D5" w:rsidRDefault="004F22D5" w:rsidP="004F22D5">
            <w:pPr>
              <w:spacing w:after="0" w:line="240" w:lineRule="auto"/>
              <w:jc w:val="left"/>
              <w:rPr>
                <w:rFonts w:eastAsia="Times New Roman" w:cs="Times New Roman"/>
                <w:color w:val="000000"/>
                <w:kern w:val="0"/>
                <w:sz w:val="20"/>
                <w:szCs w:val="20"/>
                <w:lang w:val="nl-BE"/>
                <w14:ligatures w14:val="none"/>
              </w:rPr>
            </w:pPr>
            <w:r w:rsidRPr="004F22D5">
              <w:rPr>
                <w:rFonts w:eastAsia="Times New Roman" w:cs="Times New Roman"/>
                <w:color w:val="000000"/>
                <w:kern w:val="0"/>
                <w:sz w:val="20"/>
                <w:szCs w:val="20"/>
                <w:lang w:val="nl-BE"/>
                <w14:ligatures w14:val="none"/>
              </w:rPr>
              <w:lastRenderedPageBreak/>
              <w:t>Simon-Lledó et al. (2019c)</w:t>
            </w:r>
          </w:p>
        </w:tc>
        <w:tc>
          <w:tcPr>
            <w:tcW w:w="559" w:type="pct"/>
            <w:tcBorders>
              <w:top w:val="nil"/>
              <w:left w:val="nil"/>
              <w:bottom w:val="nil"/>
              <w:right w:val="nil"/>
            </w:tcBorders>
            <w:shd w:val="clear" w:color="000000" w:fill="F2F2F2"/>
            <w:vAlign w:val="center"/>
            <w:hideMark/>
          </w:tcPr>
          <w:p w14:paraId="187CC100" w14:textId="77777777" w:rsidR="004F22D5" w:rsidRPr="004F22D5" w:rsidRDefault="004F22D5" w:rsidP="004F22D5">
            <w:pPr>
              <w:spacing w:after="0" w:line="240" w:lineRule="auto"/>
              <w:jc w:val="left"/>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Towed camera system</w:t>
            </w:r>
          </w:p>
        </w:tc>
        <w:tc>
          <w:tcPr>
            <w:tcW w:w="192" w:type="pct"/>
            <w:tcBorders>
              <w:top w:val="nil"/>
              <w:left w:val="nil"/>
              <w:bottom w:val="nil"/>
              <w:right w:val="nil"/>
            </w:tcBorders>
            <w:shd w:val="clear" w:color="000000" w:fill="F2F2F2"/>
            <w:vAlign w:val="center"/>
            <w:hideMark/>
          </w:tcPr>
          <w:p w14:paraId="0504D9EC"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no</w:t>
            </w:r>
          </w:p>
        </w:tc>
        <w:tc>
          <w:tcPr>
            <w:tcW w:w="254" w:type="pct"/>
            <w:tcBorders>
              <w:top w:val="nil"/>
              <w:left w:val="nil"/>
              <w:bottom w:val="nil"/>
              <w:right w:val="nil"/>
            </w:tcBorders>
            <w:shd w:val="clear" w:color="000000" w:fill="F2F2F2"/>
            <w:vAlign w:val="center"/>
            <w:hideMark/>
          </w:tcPr>
          <w:p w14:paraId="2628D9B3"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yes</w:t>
            </w:r>
          </w:p>
        </w:tc>
        <w:tc>
          <w:tcPr>
            <w:tcW w:w="333" w:type="pct"/>
            <w:tcBorders>
              <w:top w:val="nil"/>
              <w:left w:val="nil"/>
              <w:bottom w:val="nil"/>
              <w:right w:val="nil"/>
            </w:tcBorders>
            <w:shd w:val="clear" w:color="000000" w:fill="F2F2F2"/>
            <w:noWrap/>
            <w:vAlign w:val="center"/>
            <w:hideMark/>
          </w:tcPr>
          <w:p w14:paraId="08346CE4"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4,630-5,460</w:t>
            </w:r>
          </w:p>
        </w:tc>
        <w:tc>
          <w:tcPr>
            <w:tcW w:w="677" w:type="pct"/>
            <w:tcBorders>
              <w:top w:val="nil"/>
              <w:left w:val="nil"/>
              <w:bottom w:val="nil"/>
              <w:right w:val="nil"/>
            </w:tcBorders>
            <w:shd w:val="clear" w:color="000000" w:fill="F2F2F2"/>
            <w:noWrap/>
            <w:vAlign w:val="center"/>
            <w:hideMark/>
          </w:tcPr>
          <w:p w14:paraId="5E421788"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Kiribati, Central Pacific</w:t>
            </w:r>
          </w:p>
        </w:tc>
        <w:tc>
          <w:tcPr>
            <w:tcW w:w="492" w:type="pct"/>
            <w:tcBorders>
              <w:top w:val="nil"/>
              <w:left w:val="nil"/>
              <w:bottom w:val="nil"/>
              <w:right w:val="nil"/>
            </w:tcBorders>
            <w:shd w:val="clear" w:color="000000" w:fill="F2F2F2"/>
            <w:noWrap/>
            <w:vAlign w:val="center"/>
            <w:hideMark/>
          </w:tcPr>
          <w:p w14:paraId="288D98CB"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14,666</w:t>
            </w:r>
          </w:p>
        </w:tc>
        <w:tc>
          <w:tcPr>
            <w:tcW w:w="271" w:type="pct"/>
            <w:tcBorders>
              <w:top w:val="nil"/>
              <w:left w:val="nil"/>
              <w:bottom w:val="nil"/>
              <w:right w:val="nil"/>
            </w:tcBorders>
            <w:shd w:val="clear" w:color="000000" w:fill="F2F2F2"/>
            <w:noWrap/>
            <w:vAlign w:val="center"/>
            <w:hideMark/>
          </w:tcPr>
          <w:p w14:paraId="5B2B7C29"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4,074</w:t>
            </w:r>
          </w:p>
        </w:tc>
        <w:tc>
          <w:tcPr>
            <w:tcW w:w="182" w:type="pct"/>
            <w:tcBorders>
              <w:top w:val="nil"/>
              <w:left w:val="nil"/>
              <w:bottom w:val="nil"/>
              <w:right w:val="nil"/>
            </w:tcBorders>
            <w:shd w:val="clear" w:color="000000" w:fill="F2F2F2"/>
            <w:noWrap/>
            <w:vAlign w:val="center"/>
            <w:hideMark/>
          </w:tcPr>
          <w:p w14:paraId="2E47179F"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3.5</w:t>
            </w:r>
          </w:p>
        </w:tc>
        <w:tc>
          <w:tcPr>
            <w:tcW w:w="170" w:type="pct"/>
            <w:tcBorders>
              <w:top w:val="nil"/>
              <w:left w:val="nil"/>
              <w:bottom w:val="nil"/>
              <w:right w:val="nil"/>
            </w:tcBorders>
            <w:shd w:val="clear" w:color="000000" w:fill="F2F2F2"/>
            <w:noWrap/>
            <w:vAlign w:val="center"/>
            <w:hideMark/>
          </w:tcPr>
          <w:p w14:paraId="786209B9"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c>
          <w:tcPr>
            <w:tcW w:w="174" w:type="pct"/>
            <w:tcBorders>
              <w:top w:val="nil"/>
              <w:left w:val="nil"/>
              <w:bottom w:val="nil"/>
              <w:right w:val="nil"/>
            </w:tcBorders>
            <w:shd w:val="clear" w:color="000000" w:fill="F2F2F2"/>
            <w:noWrap/>
            <w:vAlign w:val="center"/>
            <w:hideMark/>
          </w:tcPr>
          <w:p w14:paraId="641BEBAD"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NA</w:t>
            </w:r>
          </w:p>
        </w:tc>
        <w:tc>
          <w:tcPr>
            <w:tcW w:w="90" w:type="pct"/>
            <w:tcBorders>
              <w:top w:val="nil"/>
              <w:left w:val="nil"/>
              <w:bottom w:val="nil"/>
              <w:right w:val="nil"/>
            </w:tcBorders>
            <w:shd w:val="clear" w:color="000000" w:fill="F2F2F2"/>
            <w:noWrap/>
            <w:vAlign w:val="bottom"/>
            <w:hideMark/>
          </w:tcPr>
          <w:p w14:paraId="1E2D343A" w14:textId="77777777" w:rsidR="004F22D5" w:rsidRPr="004F22D5" w:rsidRDefault="004F22D5" w:rsidP="004F22D5">
            <w:pPr>
              <w:spacing w:after="0" w:line="240" w:lineRule="auto"/>
              <w:jc w:val="left"/>
              <w:rPr>
                <w:rFonts w:ascii="Calibri" w:eastAsia="Times New Roman" w:hAnsi="Calibri" w:cs="Calibri"/>
                <w:color w:val="000000"/>
                <w:kern w:val="0"/>
                <w14:ligatures w14:val="none"/>
              </w:rPr>
            </w:pPr>
            <w:r w:rsidRPr="004F22D5">
              <w:rPr>
                <w:rFonts w:ascii="Calibri" w:eastAsia="Times New Roman" w:hAnsi="Calibri" w:cs="Calibri"/>
                <w:color w:val="000000"/>
                <w:kern w:val="0"/>
                <w14:ligatures w14:val="none"/>
              </w:rPr>
              <w:t> </w:t>
            </w:r>
          </w:p>
        </w:tc>
        <w:tc>
          <w:tcPr>
            <w:tcW w:w="223" w:type="pct"/>
            <w:tcBorders>
              <w:top w:val="nil"/>
              <w:left w:val="nil"/>
              <w:bottom w:val="nil"/>
              <w:right w:val="nil"/>
            </w:tcBorders>
            <w:shd w:val="clear" w:color="000000" w:fill="F2F2F2"/>
            <w:noWrap/>
            <w:vAlign w:val="center"/>
            <w:hideMark/>
          </w:tcPr>
          <w:p w14:paraId="47394985"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1,700</w:t>
            </w:r>
          </w:p>
        </w:tc>
        <w:tc>
          <w:tcPr>
            <w:tcW w:w="196" w:type="pct"/>
            <w:tcBorders>
              <w:top w:val="nil"/>
              <w:left w:val="nil"/>
              <w:bottom w:val="nil"/>
              <w:right w:val="nil"/>
            </w:tcBorders>
            <w:shd w:val="clear" w:color="000000" w:fill="F2F2F2"/>
            <w:noWrap/>
            <w:vAlign w:val="center"/>
            <w:hideMark/>
          </w:tcPr>
          <w:p w14:paraId="7BC652D9"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700</w:t>
            </w:r>
          </w:p>
        </w:tc>
        <w:tc>
          <w:tcPr>
            <w:tcW w:w="223" w:type="pct"/>
            <w:tcBorders>
              <w:top w:val="nil"/>
              <w:left w:val="nil"/>
              <w:bottom w:val="nil"/>
              <w:right w:val="nil"/>
            </w:tcBorders>
            <w:shd w:val="clear" w:color="000000" w:fill="F2F2F2"/>
            <w:noWrap/>
            <w:vAlign w:val="center"/>
            <w:hideMark/>
          </w:tcPr>
          <w:p w14:paraId="02653F61"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3,000</w:t>
            </w:r>
          </w:p>
        </w:tc>
        <w:tc>
          <w:tcPr>
            <w:tcW w:w="90" w:type="pct"/>
            <w:tcBorders>
              <w:top w:val="nil"/>
              <w:left w:val="nil"/>
              <w:bottom w:val="nil"/>
              <w:right w:val="nil"/>
            </w:tcBorders>
            <w:shd w:val="clear" w:color="000000" w:fill="F2F2F2"/>
            <w:noWrap/>
            <w:vAlign w:val="bottom"/>
            <w:hideMark/>
          </w:tcPr>
          <w:p w14:paraId="013D1920" w14:textId="77777777" w:rsidR="004F22D5" w:rsidRPr="004F22D5" w:rsidRDefault="004F22D5" w:rsidP="004F22D5">
            <w:pPr>
              <w:spacing w:after="0" w:line="240" w:lineRule="auto"/>
              <w:jc w:val="left"/>
              <w:rPr>
                <w:rFonts w:ascii="Calibri" w:eastAsia="Times New Roman" w:hAnsi="Calibri" w:cs="Calibri"/>
                <w:color w:val="000000"/>
                <w:kern w:val="0"/>
                <w14:ligatures w14:val="none"/>
              </w:rPr>
            </w:pPr>
            <w:r w:rsidRPr="004F22D5">
              <w:rPr>
                <w:rFonts w:ascii="Calibri" w:eastAsia="Times New Roman" w:hAnsi="Calibri" w:cs="Calibri"/>
                <w:color w:val="000000"/>
                <w:kern w:val="0"/>
                <w14:ligatures w14:val="none"/>
              </w:rPr>
              <w:t> </w:t>
            </w:r>
          </w:p>
        </w:tc>
        <w:tc>
          <w:tcPr>
            <w:tcW w:w="333" w:type="pct"/>
            <w:tcBorders>
              <w:top w:val="nil"/>
              <w:left w:val="nil"/>
              <w:bottom w:val="nil"/>
              <w:right w:val="nil"/>
            </w:tcBorders>
            <w:shd w:val="clear" w:color="000000" w:fill="F2F2F2"/>
            <w:vAlign w:val="center"/>
            <w:hideMark/>
          </w:tcPr>
          <w:p w14:paraId="1FF98C8A" w14:textId="77777777" w:rsidR="004F22D5" w:rsidRPr="004F22D5" w:rsidRDefault="004F22D5" w:rsidP="004F22D5">
            <w:pPr>
              <w:spacing w:after="0" w:line="240" w:lineRule="auto"/>
              <w:jc w:val="center"/>
              <w:rPr>
                <w:rFonts w:eastAsia="Times New Roman" w:cs="Times New Roman"/>
                <w:color w:val="000000"/>
                <w:kern w:val="0"/>
                <w:sz w:val="20"/>
                <w:szCs w:val="20"/>
                <w14:ligatures w14:val="none"/>
              </w:rPr>
            </w:pPr>
            <w:r w:rsidRPr="004F22D5">
              <w:rPr>
                <w:rFonts w:eastAsia="Times New Roman" w:cs="Times New Roman"/>
                <w:color w:val="000000"/>
                <w:kern w:val="0"/>
                <w:sz w:val="20"/>
                <w:szCs w:val="20"/>
                <w14:ligatures w14:val="none"/>
              </w:rPr>
              <w:t> 118</w:t>
            </w:r>
          </w:p>
        </w:tc>
      </w:tr>
      <w:tr w:rsidR="00D12F84" w:rsidRPr="004F22D5" w14:paraId="547AF20A" w14:textId="77777777" w:rsidTr="00D12F84">
        <w:trPr>
          <w:trHeight w:val="288"/>
        </w:trPr>
        <w:tc>
          <w:tcPr>
            <w:tcW w:w="539" w:type="pct"/>
            <w:vMerge w:val="restart"/>
            <w:tcBorders>
              <w:top w:val="nil"/>
              <w:left w:val="nil"/>
              <w:bottom w:val="nil"/>
              <w:right w:val="nil"/>
            </w:tcBorders>
            <w:shd w:val="clear" w:color="000000" w:fill="FFFFFF"/>
            <w:vAlign w:val="center"/>
            <w:hideMark/>
          </w:tcPr>
          <w:p w14:paraId="36317F1F" w14:textId="77777777" w:rsidR="004F22D5" w:rsidRPr="004F22D5" w:rsidRDefault="004F22D5" w:rsidP="004F22D5">
            <w:pPr>
              <w:spacing w:after="0" w:line="240" w:lineRule="auto"/>
              <w:jc w:val="left"/>
              <w:rPr>
                <w:rFonts w:eastAsia="Times New Roman" w:cs="Times New Roman"/>
                <w:kern w:val="0"/>
                <w:sz w:val="20"/>
                <w:szCs w:val="20"/>
                <w14:ligatures w14:val="none"/>
              </w:rPr>
            </w:pPr>
            <w:r w:rsidRPr="004F22D5">
              <w:rPr>
                <w:rFonts w:eastAsia="Times New Roman" w:cs="Times New Roman"/>
                <w:kern w:val="0"/>
                <w:sz w:val="20"/>
                <w:szCs w:val="20"/>
                <w14:ligatures w14:val="none"/>
              </w:rPr>
              <w:t>Simon-Lledó et al. (2020)</w:t>
            </w:r>
          </w:p>
        </w:tc>
        <w:tc>
          <w:tcPr>
            <w:tcW w:w="559" w:type="pct"/>
            <w:vMerge w:val="restart"/>
            <w:tcBorders>
              <w:top w:val="nil"/>
              <w:left w:val="nil"/>
              <w:bottom w:val="nil"/>
              <w:right w:val="nil"/>
            </w:tcBorders>
            <w:shd w:val="clear" w:color="000000" w:fill="FFFFFF"/>
            <w:vAlign w:val="center"/>
            <w:hideMark/>
          </w:tcPr>
          <w:p w14:paraId="23E69B49" w14:textId="77777777" w:rsidR="004F22D5" w:rsidRPr="004F22D5" w:rsidRDefault="004F22D5" w:rsidP="004F22D5">
            <w:pPr>
              <w:spacing w:after="0" w:line="240" w:lineRule="auto"/>
              <w:jc w:val="left"/>
              <w:rPr>
                <w:rFonts w:eastAsia="Times New Roman" w:cs="Times New Roman"/>
                <w:kern w:val="0"/>
                <w:sz w:val="20"/>
                <w:szCs w:val="20"/>
                <w14:ligatures w14:val="none"/>
              </w:rPr>
            </w:pPr>
            <w:r w:rsidRPr="004F22D5">
              <w:rPr>
                <w:rFonts w:eastAsia="Times New Roman" w:cs="Times New Roman"/>
                <w:kern w:val="0"/>
                <w:sz w:val="20"/>
                <w:szCs w:val="20"/>
                <w14:ligatures w14:val="none"/>
              </w:rPr>
              <w:t>Towed camera system</w:t>
            </w:r>
          </w:p>
        </w:tc>
        <w:tc>
          <w:tcPr>
            <w:tcW w:w="192" w:type="pct"/>
            <w:vMerge w:val="restart"/>
            <w:tcBorders>
              <w:top w:val="nil"/>
              <w:left w:val="nil"/>
              <w:bottom w:val="nil"/>
              <w:right w:val="nil"/>
            </w:tcBorders>
            <w:shd w:val="clear" w:color="000000" w:fill="FFFFFF"/>
            <w:vAlign w:val="center"/>
            <w:hideMark/>
          </w:tcPr>
          <w:p w14:paraId="60DFFCE2"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no</w:t>
            </w:r>
          </w:p>
        </w:tc>
        <w:tc>
          <w:tcPr>
            <w:tcW w:w="254" w:type="pct"/>
            <w:vMerge w:val="restart"/>
            <w:tcBorders>
              <w:top w:val="nil"/>
              <w:left w:val="nil"/>
              <w:bottom w:val="nil"/>
              <w:right w:val="nil"/>
            </w:tcBorders>
            <w:shd w:val="clear" w:color="000000" w:fill="FFFFFF"/>
            <w:vAlign w:val="center"/>
            <w:hideMark/>
          </w:tcPr>
          <w:p w14:paraId="0BF5613E"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yes</w:t>
            </w:r>
          </w:p>
        </w:tc>
        <w:tc>
          <w:tcPr>
            <w:tcW w:w="333" w:type="pct"/>
            <w:tcBorders>
              <w:top w:val="nil"/>
              <w:left w:val="nil"/>
              <w:bottom w:val="nil"/>
              <w:right w:val="nil"/>
            </w:tcBorders>
            <w:shd w:val="clear" w:color="000000" w:fill="FFFFFF"/>
            <w:noWrap/>
            <w:vAlign w:val="center"/>
            <w:hideMark/>
          </w:tcPr>
          <w:p w14:paraId="5FA033A8"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4,418-5,175</w:t>
            </w:r>
          </w:p>
        </w:tc>
        <w:tc>
          <w:tcPr>
            <w:tcW w:w="677" w:type="pct"/>
            <w:tcBorders>
              <w:top w:val="nil"/>
              <w:left w:val="nil"/>
              <w:bottom w:val="nil"/>
              <w:right w:val="nil"/>
            </w:tcBorders>
            <w:shd w:val="clear" w:color="000000" w:fill="FFFFFF"/>
            <w:noWrap/>
            <w:vAlign w:val="center"/>
            <w:hideMark/>
          </w:tcPr>
          <w:p w14:paraId="1FEA8D59"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TOML area B</w:t>
            </w:r>
          </w:p>
        </w:tc>
        <w:tc>
          <w:tcPr>
            <w:tcW w:w="492" w:type="pct"/>
            <w:tcBorders>
              <w:top w:val="nil"/>
              <w:left w:val="nil"/>
              <w:bottom w:val="nil"/>
              <w:right w:val="nil"/>
            </w:tcBorders>
            <w:shd w:val="clear" w:color="000000" w:fill="FFFFFF"/>
            <w:noWrap/>
            <w:vAlign w:val="center"/>
            <w:hideMark/>
          </w:tcPr>
          <w:p w14:paraId="043D5698"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24,955</w:t>
            </w:r>
          </w:p>
        </w:tc>
        <w:tc>
          <w:tcPr>
            <w:tcW w:w="271" w:type="pct"/>
            <w:tcBorders>
              <w:top w:val="nil"/>
              <w:left w:val="nil"/>
              <w:bottom w:val="nil"/>
              <w:right w:val="nil"/>
            </w:tcBorders>
            <w:shd w:val="clear" w:color="000000" w:fill="FFFFFF"/>
            <w:noWrap/>
            <w:vAlign w:val="center"/>
            <w:hideMark/>
          </w:tcPr>
          <w:p w14:paraId="402FAEBB"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6,932</w:t>
            </w:r>
          </w:p>
        </w:tc>
        <w:tc>
          <w:tcPr>
            <w:tcW w:w="182" w:type="pct"/>
            <w:tcBorders>
              <w:top w:val="nil"/>
              <w:left w:val="nil"/>
              <w:bottom w:val="nil"/>
              <w:right w:val="nil"/>
            </w:tcBorders>
            <w:shd w:val="clear" w:color="000000" w:fill="FFFFFF"/>
            <w:noWrap/>
            <w:vAlign w:val="center"/>
            <w:hideMark/>
          </w:tcPr>
          <w:p w14:paraId="004F078A"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3.5</w:t>
            </w:r>
          </w:p>
        </w:tc>
        <w:tc>
          <w:tcPr>
            <w:tcW w:w="170" w:type="pct"/>
            <w:tcBorders>
              <w:top w:val="nil"/>
              <w:left w:val="nil"/>
              <w:bottom w:val="nil"/>
              <w:right w:val="nil"/>
            </w:tcBorders>
            <w:shd w:val="clear" w:color="000000" w:fill="FFFFFF"/>
            <w:noWrap/>
            <w:vAlign w:val="center"/>
            <w:hideMark/>
          </w:tcPr>
          <w:p w14:paraId="72E0F72C"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NA</w:t>
            </w:r>
          </w:p>
        </w:tc>
        <w:tc>
          <w:tcPr>
            <w:tcW w:w="174" w:type="pct"/>
            <w:tcBorders>
              <w:top w:val="nil"/>
              <w:left w:val="nil"/>
              <w:bottom w:val="nil"/>
              <w:right w:val="nil"/>
            </w:tcBorders>
            <w:shd w:val="clear" w:color="000000" w:fill="FFFFFF"/>
            <w:noWrap/>
            <w:vAlign w:val="center"/>
            <w:hideMark/>
          </w:tcPr>
          <w:p w14:paraId="3B773C1C"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NA</w:t>
            </w:r>
          </w:p>
        </w:tc>
        <w:tc>
          <w:tcPr>
            <w:tcW w:w="90" w:type="pct"/>
            <w:tcBorders>
              <w:top w:val="nil"/>
              <w:left w:val="nil"/>
              <w:bottom w:val="nil"/>
              <w:right w:val="nil"/>
            </w:tcBorders>
            <w:shd w:val="clear" w:color="000000" w:fill="FFFFFF"/>
            <w:noWrap/>
            <w:vAlign w:val="bottom"/>
            <w:hideMark/>
          </w:tcPr>
          <w:p w14:paraId="6849E067" w14:textId="77777777" w:rsidR="004F22D5" w:rsidRPr="004F22D5" w:rsidRDefault="004F22D5" w:rsidP="004F22D5">
            <w:pPr>
              <w:spacing w:after="0" w:line="240" w:lineRule="auto"/>
              <w:jc w:val="left"/>
              <w:rPr>
                <w:rFonts w:ascii="Calibri" w:eastAsia="Times New Roman" w:hAnsi="Calibri" w:cs="Calibri"/>
                <w:kern w:val="0"/>
                <w14:ligatures w14:val="none"/>
              </w:rPr>
            </w:pPr>
            <w:r w:rsidRPr="004F22D5">
              <w:rPr>
                <w:rFonts w:ascii="Calibri" w:eastAsia="Times New Roman" w:hAnsi="Calibri" w:cs="Calibri"/>
                <w:kern w:val="0"/>
                <w14:ligatures w14:val="none"/>
              </w:rPr>
              <w:t> </w:t>
            </w:r>
          </w:p>
        </w:tc>
        <w:tc>
          <w:tcPr>
            <w:tcW w:w="223" w:type="pct"/>
            <w:tcBorders>
              <w:top w:val="nil"/>
              <w:left w:val="nil"/>
              <w:bottom w:val="nil"/>
              <w:right w:val="nil"/>
            </w:tcBorders>
            <w:shd w:val="clear" w:color="000000" w:fill="FFFFFF"/>
            <w:noWrap/>
            <w:vAlign w:val="center"/>
            <w:hideMark/>
          </w:tcPr>
          <w:p w14:paraId="7532AE46"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1,400</w:t>
            </w:r>
          </w:p>
        </w:tc>
        <w:tc>
          <w:tcPr>
            <w:tcW w:w="196" w:type="pct"/>
            <w:tcBorders>
              <w:top w:val="nil"/>
              <w:left w:val="nil"/>
              <w:bottom w:val="nil"/>
              <w:right w:val="nil"/>
            </w:tcBorders>
            <w:shd w:val="clear" w:color="000000" w:fill="FFFFFF"/>
            <w:noWrap/>
            <w:vAlign w:val="center"/>
            <w:hideMark/>
          </w:tcPr>
          <w:p w14:paraId="3454B1FC"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NA</w:t>
            </w:r>
          </w:p>
        </w:tc>
        <w:tc>
          <w:tcPr>
            <w:tcW w:w="223" w:type="pct"/>
            <w:tcBorders>
              <w:top w:val="nil"/>
              <w:left w:val="nil"/>
              <w:bottom w:val="nil"/>
              <w:right w:val="nil"/>
            </w:tcBorders>
            <w:shd w:val="clear" w:color="000000" w:fill="FFFFFF"/>
            <w:noWrap/>
            <w:vAlign w:val="center"/>
            <w:hideMark/>
          </w:tcPr>
          <w:p w14:paraId="303CE272"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NA</w:t>
            </w:r>
          </w:p>
        </w:tc>
        <w:tc>
          <w:tcPr>
            <w:tcW w:w="90" w:type="pct"/>
            <w:tcBorders>
              <w:top w:val="nil"/>
              <w:left w:val="nil"/>
              <w:bottom w:val="nil"/>
              <w:right w:val="nil"/>
            </w:tcBorders>
            <w:shd w:val="clear" w:color="000000" w:fill="FFFFFF"/>
            <w:noWrap/>
            <w:vAlign w:val="bottom"/>
            <w:hideMark/>
          </w:tcPr>
          <w:p w14:paraId="2AC7F759" w14:textId="77777777" w:rsidR="004F22D5" w:rsidRPr="004F22D5" w:rsidRDefault="004F22D5" w:rsidP="004F22D5">
            <w:pPr>
              <w:spacing w:after="0" w:line="240" w:lineRule="auto"/>
              <w:jc w:val="left"/>
              <w:rPr>
                <w:rFonts w:ascii="Calibri" w:eastAsia="Times New Roman" w:hAnsi="Calibri" w:cs="Calibri"/>
                <w:kern w:val="0"/>
                <w14:ligatures w14:val="none"/>
              </w:rPr>
            </w:pPr>
            <w:r w:rsidRPr="004F22D5">
              <w:rPr>
                <w:rFonts w:ascii="Calibri" w:eastAsia="Times New Roman" w:hAnsi="Calibri" w:cs="Calibri"/>
                <w:kern w:val="0"/>
                <w14:ligatures w14:val="none"/>
              </w:rPr>
              <w:t> </w:t>
            </w:r>
          </w:p>
        </w:tc>
        <w:tc>
          <w:tcPr>
            <w:tcW w:w="333" w:type="pct"/>
            <w:tcBorders>
              <w:top w:val="nil"/>
              <w:left w:val="nil"/>
              <w:bottom w:val="nil"/>
              <w:right w:val="nil"/>
            </w:tcBorders>
            <w:shd w:val="clear" w:color="000000" w:fill="FFFFFF"/>
            <w:vAlign w:val="center"/>
            <w:hideMark/>
          </w:tcPr>
          <w:p w14:paraId="5468D331"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125</w:t>
            </w:r>
          </w:p>
        </w:tc>
      </w:tr>
      <w:tr w:rsidR="00D12F84" w:rsidRPr="004F22D5" w14:paraId="4A2EE8EA" w14:textId="77777777" w:rsidTr="00D12F84">
        <w:trPr>
          <w:trHeight w:val="288"/>
        </w:trPr>
        <w:tc>
          <w:tcPr>
            <w:tcW w:w="539" w:type="pct"/>
            <w:vMerge/>
            <w:tcBorders>
              <w:top w:val="nil"/>
              <w:left w:val="nil"/>
              <w:bottom w:val="nil"/>
              <w:right w:val="nil"/>
            </w:tcBorders>
            <w:vAlign w:val="center"/>
            <w:hideMark/>
          </w:tcPr>
          <w:p w14:paraId="0BA45169" w14:textId="77777777" w:rsidR="004F22D5" w:rsidRPr="004F22D5" w:rsidRDefault="004F22D5" w:rsidP="004F22D5">
            <w:pPr>
              <w:spacing w:after="0" w:line="240" w:lineRule="auto"/>
              <w:jc w:val="left"/>
              <w:rPr>
                <w:rFonts w:eastAsia="Times New Roman" w:cs="Times New Roman"/>
                <w:kern w:val="0"/>
                <w:sz w:val="20"/>
                <w:szCs w:val="20"/>
                <w14:ligatures w14:val="none"/>
              </w:rPr>
            </w:pPr>
          </w:p>
        </w:tc>
        <w:tc>
          <w:tcPr>
            <w:tcW w:w="559" w:type="pct"/>
            <w:vMerge/>
            <w:tcBorders>
              <w:top w:val="nil"/>
              <w:left w:val="nil"/>
              <w:bottom w:val="nil"/>
              <w:right w:val="nil"/>
            </w:tcBorders>
            <w:vAlign w:val="center"/>
            <w:hideMark/>
          </w:tcPr>
          <w:p w14:paraId="39D3F293" w14:textId="77777777" w:rsidR="004F22D5" w:rsidRPr="004F22D5" w:rsidRDefault="004F22D5" w:rsidP="004F22D5">
            <w:pPr>
              <w:spacing w:after="0" w:line="240" w:lineRule="auto"/>
              <w:jc w:val="left"/>
              <w:rPr>
                <w:rFonts w:eastAsia="Times New Roman" w:cs="Times New Roman"/>
                <w:kern w:val="0"/>
                <w:sz w:val="20"/>
                <w:szCs w:val="20"/>
                <w14:ligatures w14:val="none"/>
              </w:rPr>
            </w:pPr>
          </w:p>
        </w:tc>
        <w:tc>
          <w:tcPr>
            <w:tcW w:w="192" w:type="pct"/>
            <w:vMerge/>
            <w:tcBorders>
              <w:top w:val="nil"/>
              <w:left w:val="nil"/>
              <w:bottom w:val="nil"/>
              <w:right w:val="nil"/>
            </w:tcBorders>
            <w:vAlign w:val="center"/>
            <w:hideMark/>
          </w:tcPr>
          <w:p w14:paraId="130DCB8B" w14:textId="77777777" w:rsidR="004F22D5" w:rsidRPr="004F22D5" w:rsidRDefault="004F22D5" w:rsidP="004F22D5">
            <w:pPr>
              <w:spacing w:after="0" w:line="240" w:lineRule="auto"/>
              <w:jc w:val="left"/>
              <w:rPr>
                <w:rFonts w:eastAsia="Times New Roman" w:cs="Times New Roman"/>
                <w:kern w:val="0"/>
                <w:sz w:val="20"/>
                <w:szCs w:val="20"/>
                <w14:ligatures w14:val="none"/>
              </w:rPr>
            </w:pPr>
          </w:p>
        </w:tc>
        <w:tc>
          <w:tcPr>
            <w:tcW w:w="254" w:type="pct"/>
            <w:vMerge/>
            <w:tcBorders>
              <w:top w:val="nil"/>
              <w:left w:val="nil"/>
              <w:bottom w:val="nil"/>
              <w:right w:val="nil"/>
            </w:tcBorders>
            <w:vAlign w:val="center"/>
            <w:hideMark/>
          </w:tcPr>
          <w:p w14:paraId="13465AAE" w14:textId="77777777" w:rsidR="004F22D5" w:rsidRPr="004F22D5" w:rsidRDefault="004F22D5" w:rsidP="004F22D5">
            <w:pPr>
              <w:spacing w:after="0" w:line="240" w:lineRule="auto"/>
              <w:jc w:val="left"/>
              <w:rPr>
                <w:rFonts w:eastAsia="Times New Roman" w:cs="Times New Roman"/>
                <w:kern w:val="0"/>
                <w:sz w:val="20"/>
                <w:szCs w:val="20"/>
                <w14:ligatures w14:val="none"/>
              </w:rPr>
            </w:pPr>
          </w:p>
        </w:tc>
        <w:tc>
          <w:tcPr>
            <w:tcW w:w="333" w:type="pct"/>
            <w:tcBorders>
              <w:top w:val="nil"/>
              <w:left w:val="nil"/>
              <w:bottom w:val="nil"/>
              <w:right w:val="nil"/>
            </w:tcBorders>
            <w:shd w:val="clear" w:color="000000" w:fill="FFFFFF"/>
            <w:noWrap/>
            <w:vAlign w:val="center"/>
            <w:hideMark/>
          </w:tcPr>
          <w:p w14:paraId="0D118E1F"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4,817-5,065</w:t>
            </w:r>
          </w:p>
        </w:tc>
        <w:tc>
          <w:tcPr>
            <w:tcW w:w="677" w:type="pct"/>
            <w:tcBorders>
              <w:top w:val="nil"/>
              <w:left w:val="nil"/>
              <w:bottom w:val="nil"/>
              <w:right w:val="nil"/>
            </w:tcBorders>
            <w:shd w:val="clear" w:color="000000" w:fill="FFFFFF"/>
            <w:noWrap/>
            <w:vAlign w:val="center"/>
            <w:hideMark/>
          </w:tcPr>
          <w:p w14:paraId="7585E49F"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TOML area C</w:t>
            </w:r>
          </w:p>
        </w:tc>
        <w:tc>
          <w:tcPr>
            <w:tcW w:w="492" w:type="pct"/>
            <w:tcBorders>
              <w:top w:val="nil"/>
              <w:left w:val="nil"/>
              <w:bottom w:val="nil"/>
              <w:right w:val="nil"/>
            </w:tcBorders>
            <w:shd w:val="clear" w:color="000000" w:fill="FFFFFF"/>
            <w:noWrap/>
            <w:vAlign w:val="center"/>
            <w:hideMark/>
          </w:tcPr>
          <w:p w14:paraId="2CA08BCB"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29,246</w:t>
            </w:r>
          </w:p>
        </w:tc>
        <w:tc>
          <w:tcPr>
            <w:tcW w:w="271" w:type="pct"/>
            <w:tcBorders>
              <w:top w:val="nil"/>
              <w:left w:val="nil"/>
              <w:bottom w:val="nil"/>
              <w:right w:val="nil"/>
            </w:tcBorders>
            <w:shd w:val="clear" w:color="000000" w:fill="FFFFFF"/>
            <w:noWrap/>
            <w:vAlign w:val="center"/>
            <w:hideMark/>
          </w:tcPr>
          <w:p w14:paraId="261FB11B"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8,124</w:t>
            </w:r>
          </w:p>
        </w:tc>
        <w:tc>
          <w:tcPr>
            <w:tcW w:w="182" w:type="pct"/>
            <w:tcBorders>
              <w:top w:val="nil"/>
              <w:left w:val="nil"/>
              <w:bottom w:val="nil"/>
              <w:right w:val="nil"/>
            </w:tcBorders>
            <w:shd w:val="clear" w:color="000000" w:fill="FFFFFF"/>
            <w:noWrap/>
            <w:vAlign w:val="center"/>
            <w:hideMark/>
          </w:tcPr>
          <w:p w14:paraId="28DA21CA"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3.5</w:t>
            </w:r>
          </w:p>
        </w:tc>
        <w:tc>
          <w:tcPr>
            <w:tcW w:w="170" w:type="pct"/>
            <w:tcBorders>
              <w:top w:val="nil"/>
              <w:left w:val="nil"/>
              <w:bottom w:val="nil"/>
              <w:right w:val="nil"/>
            </w:tcBorders>
            <w:shd w:val="clear" w:color="000000" w:fill="FFFFFF"/>
            <w:noWrap/>
            <w:vAlign w:val="center"/>
            <w:hideMark/>
          </w:tcPr>
          <w:p w14:paraId="534F1913"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NA</w:t>
            </w:r>
          </w:p>
        </w:tc>
        <w:tc>
          <w:tcPr>
            <w:tcW w:w="174" w:type="pct"/>
            <w:tcBorders>
              <w:top w:val="nil"/>
              <w:left w:val="nil"/>
              <w:bottom w:val="nil"/>
              <w:right w:val="nil"/>
            </w:tcBorders>
            <w:shd w:val="clear" w:color="000000" w:fill="FFFFFF"/>
            <w:noWrap/>
            <w:vAlign w:val="center"/>
            <w:hideMark/>
          </w:tcPr>
          <w:p w14:paraId="1C81CDD0"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NA</w:t>
            </w:r>
          </w:p>
        </w:tc>
        <w:tc>
          <w:tcPr>
            <w:tcW w:w="90" w:type="pct"/>
            <w:tcBorders>
              <w:top w:val="nil"/>
              <w:left w:val="nil"/>
              <w:bottom w:val="nil"/>
              <w:right w:val="nil"/>
            </w:tcBorders>
            <w:shd w:val="clear" w:color="000000" w:fill="FFFFFF"/>
            <w:noWrap/>
            <w:vAlign w:val="bottom"/>
            <w:hideMark/>
          </w:tcPr>
          <w:p w14:paraId="3AC16B38" w14:textId="77777777" w:rsidR="004F22D5" w:rsidRPr="004F22D5" w:rsidRDefault="004F22D5" w:rsidP="004F22D5">
            <w:pPr>
              <w:spacing w:after="0" w:line="240" w:lineRule="auto"/>
              <w:jc w:val="left"/>
              <w:rPr>
                <w:rFonts w:ascii="Calibri" w:eastAsia="Times New Roman" w:hAnsi="Calibri" w:cs="Calibri"/>
                <w:kern w:val="0"/>
                <w14:ligatures w14:val="none"/>
              </w:rPr>
            </w:pPr>
            <w:r w:rsidRPr="004F22D5">
              <w:rPr>
                <w:rFonts w:ascii="Calibri" w:eastAsia="Times New Roman" w:hAnsi="Calibri" w:cs="Calibri"/>
                <w:kern w:val="0"/>
                <w14:ligatures w14:val="none"/>
              </w:rPr>
              <w:t> </w:t>
            </w:r>
          </w:p>
        </w:tc>
        <w:tc>
          <w:tcPr>
            <w:tcW w:w="223" w:type="pct"/>
            <w:tcBorders>
              <w:top w:val="nil"/>
              <w:left w:val="nil"/>
              <w:bottom w:val="nil"/>
              <w:right w:val="nil"/>
            </w:tcBorders>
            <w:shd w:val="clear" w:color="000000" w:fill="FFFFFF"/>
            <w:noWrap/>
            <w:vAlign w:val="center"/>
            <w:hideMark/>
          </w:tcPr>
          <w:p w14:paraId="293B2833"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1,100</w:t>
            </w:r>
          </w:p>
        </w:tc>
        <w:tc>
          <w:tcPr>
            <w:tcW w:w="196" w:type="pct"/>
            <w:tcBorders>
              <w:top w:val="nil"/>
              <w:left w:val="nil"/>
              <w:bottom w:val="nil"/>
              <w:right w:val="nil"/>
            </w:tcBorders>
            <w:shd w:val="clear" w:color="000000" w:fill="FFFFFF"/>
            <w:noWrap/>
            <w:vAlign w:val="center"/>
            <w:hideMark/>
          </w:tcPr>
          <w:p w14:paraId="5D81F2BC"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NA</w:t>
            </w:r>
          </w:p>
        </w:tc>
        <w:tc>
          <w:tcPr>
            <w:tcW w:w="223" w:type="pct"/>
            <w:tcBorders>
              <w:top w:val="nil"/>
              <w:left w:val="nil"/>
              <w:bottom w:val="nil"/>
              <w:right w:val="nil"/>
            </w:tcBorders>
            <w:shd w:val="clear" w:color="000000" w:fill="FFFFFF"/>
            <w:noWrap/>
            <w:vAlign w:val="center"/>
            <w:hideMark/>
          </w:tcPr>
          <w:p w14:paraId="5D49F7B4"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NA</w:t>
            </w:r>
          </w:p>
        </w:tc>
        <w:tc>
          <w:tcPr>
            <w:tcW w:w="90" w:type="pct"/>
            <w:tcBorders>
              <w:top w:val="nil"/>
              <w:left w:val="nil"/>
              <w:bottom w:val="nil"/>
              <w:right w:val="nil"/>
            </w:tcBorders>
            <w:shd w:val="clear" w:color="000000" w:fill="FFFFFF"/>
            <w:noWrap/>
            <w:vAlign w:val="bottom"/>
            <w:hideMark/>
          </w:tcPr>
          <w:p w14:paraId="79B09352" w14:textId="77777777" w:rsidR="004F22D5" w:rsidRPr="004F22D5" w:rsidRDefault="004F22D5" w:rsidP="004F22D5">
            <w:pPr>
              <w:spacing w:after="0" w:line="240" w:lineRule="auto"/>
              <w:jc w:val="left"/>
              <w:rPr>
                <w:rFonts w:ascii="Calibri" w:eastAsia="Times New Roman" w:hAnsi="Calibri" w:cs="Calibri"/>
                <w:kern w:val="0"/>
                <w14:ligatures w14:val="none"/>
              </w:rPr>
            </w:pPr>
            <w:r w:rsidRPr="004F22D5">
              <w:rPr>
                <w:rFonts w:ascii="Calibri" w:eastAsia="Times New Roman" w:hAnsi="Calibri" w:cs="Calibri"/>
                <w:kern w:val="0"/>
                <w14:ligatures w14:val="none"/>
              </w:rPr>
              <w:t> </w:t>
            </w:r>
          </w:p>
        </w:tc>
        <w:tc>
          <w:tcPr>
            <w:tcW w:w="333" w:type="pct"/>
            <w:tcBorders>
              <w:top w:val="nil"/>
              <w:left w:val="nil"/>
              <w:bottom w:val="nil"/>
              <w:right w:val="nil"/>
            </w:tcBorders>
            <w:shd w:val="clear" w:color="000000" w:fill="FFFFFF"/>
            <w:vAlign w:val="center"/>
            <w:hideMark/>
          </w:tcPr>
          <w:p w14:paraId="0610B651"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105</w:t>
            </w:r>
          </w:p>
        </w:tc>
      </w:tr>
      <w:tr w:rsidR="00D12F84" w:rsidRPr="004F22D5" w14:paraId="4B231722" w14:textId="77777777" w:rsidTr="00D12F84">
        <w:trPr>
          <w:trHeight w:val="288"/>
        </w:trPr>
        <w:tc>
          <w:tcPr>
            <w:tcW w:w="539" w:type="pct"/>
            <w:vMerge/>
            <w:tcBorders>
              <w:top w:val="nil"/>
              <w:left w:val="nil"/>
              <w:bottom w:val="nil"/>
              <w:right w:val="nil"/>
            </w:tcBorders>
            <w:vAlign w:val="center"/>
            <w:hideMark/>
          </w:tcPr>
          <w:p w14:paraId="04AA2849" w14:textId="77777777" w:rsidR="004F22D5" w:rsidRPr="004F22D5" w:rsidRDefault="004F22D5" w:rsidP="004F22D5">
            <w:pPr>
              <w:spacing w:after="0" w:line="240" w:lineRule="auto"/>
              <w:jc w:val="left"/>
              <w:rPr>
                <w:rFonts w:eastAsia="Times New Roman" w:cs="Times New Roman"/>
                <w:kern w:val="0"/>
                <w:sz w:val="20"/>
                <w:szCs w:val="20"/>
                <w14:ligatures w14:val="none"/>
              </w:rPr>
            </w:pPr>
          </w:p>
        </w:tc>
        <w:tc>
          <w:tcPr>
            <w:tcW w:w="559" w:type="pct"/>
            <w:vMerge/>
            <w:tcBorders>
              <w:top w:val="nil"/>
              <w:left w:val="nil"/>
              <w:bottom w:val="nil"/>
              <w:right w:val="nil"/>
            </w:tcBorders>
            <w:vAlign w:val="center"/>
            <w:hideMark/>
          </w:tcPr>
          <w:p w14:paraId="0ED832BE" w14:textId="77777777" w:rsidR="004F22D5" w:rsidRPr="004F22D5" w:rsidRDefault="004F22D5" w:rsidP="004F22D5">
            <w:pPr>
              <w:spacing w:after="0" w:line="240" w:lineRule="auto"/>
              <w:jc w:val="left"/>
              <w:rPr>
                <w:rFonts w:eastAsia="Times New Roman" w:cs="Times New Roman"/>
                <w:kern w:val="0"/>
                <w:sz w:val="20"/>
                <w:szCs w:val="20"/>
                <w14:ligatures w14:val="none"/>
              </w:rPr>
            </w:pPr>
          </w:p>
        </w:tc>
        <w:tc>
          <w:tcPr>
            <w:tcW w:w="192" w:type="pct"/>
            <w:vMerge/>
            <w:tcBorders>
              <w:top w:val="nil"/>
              <w:left w:val="nil"/>
              <w:bottom w:val="nil"/>
              <w:right w:val="nil"/>
            </w:tcBorders>
            <w:vAlign w:val="center"/>
            <w:hideMark/>
          </w:tcPr>
          <w:p w14:paraId="171F5BAC" w14:textId="77777777" w:rsidR="004F22D5" w:rsidRPr="004F22D5" w:rsidRDefault="004F22D5" w:rsidP="004F22D5">
            <w:pPr>
              <w:spacing w:after="0" w:line="240" w:lineRule="auto"/>
              <w:jc w:val="left"/>
              <w:rPr>
                <w:rFonts w:eastAsia="Times New Roman" w:cs="Times New Roman"/>
                <w:kern w:val="0"/>
                <w:sz w:val="20"/>
                <w:szCs w:val="20"/>
                <w14:ligatures w14:val="none"/>
              </w:rPr>
            </w:pPr>
          </w:p>
        </w:tc>
        <w:tc>
          <w:tcPr>
            <w:tcW w:w="254" w:type="pct"/>
            <w:vMerge/>
            <w:tcBorders>
              <w:top w:val="nil"/>
              <w:left w:val="nil"/>
              <w:bottom w:val="nil"/>
              <w:right w:val="nil"/>
            </w:tcBorders>
            <w:vAlign w:val="center"/>
            <w:hideMark/>
          </w:tcPr>
          <w:p w14:paraId="290C9540" w14:textId="77777777" w:rsidR="004F22D5" w:rsidRPr="004F22D5" w:rsidRDefault="004F22D5" w:rsidP="004F22D5">
            <w:pPr>
              <w:spacing w:after="0" w:line="240" w:lineRule="auto"/>
              <w:jc w:val="left"/>
              <w:rPr>
                <w:rFonts w:eastAsia="Times New Roman" w:cs="Times New Roman"/>
                <w:kern w:val="0"/>
                <w:sz w:val="20"/>
                <w:szCs w:val="20"/>
                <w14:ligatures w14:val="none"/>
              </w:rPr>
            </w:pPr>
          </w:p>
        </w:tc>
        <w:tc>
          <w:tcPr>
            <w:tcW w:w="333" w:type="pct"/>
            <w:tcBorders>
              <w:top w:val="nil"/>
              <w:left w:val="nil"/>
              <w:bottom w:val="nil"/>
              <w:right w:val="nil"/>
            </w:tcBorders>
            <w:shd w:val="clear" w:color="000000" w:fill="FFFFFF"/>
            <w:noWrap/>
            <w:vAlign w:val="center"/>
            <w:hideMark/>
          </w:tcPr>
          <w:p w14:paraId="62C681D4"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4,345-4,750</w:t>
            </w:r>
          </w:p>
        </w:tc>
        <w:tc>
          <w:tcPr>
            <w:tcW w:w="677" w:type="pct"/>
            <w:tcBorders>
              <w:top w:val="nil"/>
              <w:left w:val="nil"/>
              <w:bottom w:val="nil"/>
              <w:right w:val="nil"/>
            </w:tcBorders>
            <w:shd w:val="clear" w:color="000000" w:fill="FFFFFF"/>
            <w:noWrap/>
            <w:vAlign w:val="center"/>
            <w:hideMark/>
          </w:tcPr>
          <w:p w14:paraId="746F8A17"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TOML area D</w:t>
            </w:r>
          </w:p>
        </w:tc>
        <w:tc>
          <w:tcPr>
            <w:tcW w:w="492" w:type="pct"/>
            <w:tcBorders>
              <w:top w:val="nil"/>
              <w:left w:val="nil"/>
              <w:bottom w:val="nil"/>
              <w:right w:val="nil"/>
            </w:tcBorders>
            <w:shd w:val="clear" w:color="000000" w:fill="FFFFFF"/>
            <w:noWrap/>
            <w:vAlign w:val="center"/>
            <w:hideMark/>
          </w:tcPr>
          <w:p w14:paraId="761179A8"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20,200</w:t>
            </w:r>
          </w:p>
        </w:tc>
        <w:tc>
          <w:tcPr>
            <w:tcW w:w="271" w:type="pct"/>
            <w:tcBorders>
              <w:top w:val="nil"/>
              <w:left w:val="nil"/>
              <w:bottom w:val="nil"/>
              <w:right w:val="nil"/>
            </w:tcBorders>
            <w:shd w:val="clear" w:color="000000" w:fill="FFFFFF"/>
            <w:noWrap/>
            <w:vAlign w:val="center"/>
            <w:hideMark/>
          </w:tcPr>
          <w:p w14:paraId="1775120D"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5,611</w:t>
            </w:r>
          </w:p>
        </w:tc>
        <w:tc>
          <w:tcPr>
            <w:tcW w:w="182" w:type="pct"/>
            <w:tcBorders>
              <w:top w:val="nil"/>
              <w:left w:val="nil"/>
              <w:bottom w:val="nil"/>
              <w:right w:val="nil"/>
            </w:tcBorders>
            <w:shd w:val="clear" w:color="000000" w:fill="FFFFFF"/>
            <w:noWrap/>
            <w:vAlign w:val="center"/>
            <w:hideMark/>
          </w:tcPr>
          <w:p w14:paraId="0142457B"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3.5</w:t>
            </w:r>
          </w:p>
        </w:tc>
        <w:tc>
          <w:tcPr>
            <w:tcW w:w="170" w:type="pct"/>
            <w:tcBorders>
              <w:top w:val="nil"/>
              <w:left w:val="nil"/>
              <w:bottom w:val="nil"/>
              <w:right w:val="nil"/>
            </w:tcBorders>
            <w:shd w:val="clear" w:color="000000" w:fill="FFFFFF"/>
            <w:noWrap/>
            <w:vAlign w:val="center"/>
            <w:hideMark/>
          </w:tcPr>
          <w:p w14:paraId="66704178"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NA</w:t>
            </w:r>
          </w:p>
        </w:tc>
        <w:tc>
          <w:tcPr>
            <w:tcW w:w="174" w:type="pct"/>
            <w:tcBorders>
              <w:top w:val="nil"/>
              <w:left w:val="nil"/>
              <w:bottom w:val="nil"/>
              <w:right w:val="nil"/>
            </w:tcBorders>
            <w:shd w:val="clear" w:color="000000" w:fill="FFFFFF"/>
            <w:noWrap/>
            <w:vAlign w:val="center"/>
            <w:hideMark/>
          </w:tcPr>
          <w:p w14:paraId="7B8C84DD"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NA</w:t>
            </w:r>
          </w:p>
        </w:tc>
        <w:tc>
          <w:tcPr>
            <w:tcW w:w="90" w:type="pct"/>
            <w:tcBorders>
              <w:top w:val="nil"/>
              <w:left w:val="nil"/>
              <w:bottom w:val="nil"/>
              <w:right w:val="nil"/>
            </w:tcBorders>
            <w:shd w:val="clear" w:color="000000" w:fill="FFFFFF"/>
            <w:noWrap/>
            <w:vAlign w:val="bottom"/>
            <w:hideMark/>
          </w:tcPr>
          <w:p w14:paraId="58D209A5" w14:textId="77777777" w:rsidR="004F22D5" w:rsidRPr="004F22D5" w:rsidRDefault="004F22D5" w:rsidP="004F22D5">
            <w:pPr>
              <w:spacing w:after="0" w:line="240" w:lineRule="auto"/>
              <w:jc w:val="left"/>
              <w:rPr>
                <w:rFonts w:ascii="Calibri" w:eastAsia="Times New Roman" w:hAnsi="Calibri" w:cs="Calibri"/>
                <w:kern w:val="0"/>
                <w14:ligatures w14:val="none"/>
              </w:rPr>
            </w:pPr>
            <w:r w:rsidRPr="004F22D5">
              <w:rPr>
                <w:rFonts w:ascii="Calibri" w:eastAsia="Times New Roman" w:hAnsi="Calibri" w:cs="Calibri"/>
                <w:kern w:val="0"/>
                <w14:ligatures w14:val="none"/>
              </w:rPr>
              <w:t> </w:t>
            </w:r>
          </w:p>
        </w:tc>
        <w:tc>
          <w:tcPr>
            <w:tcW w:w="223" w:type="pct"/>
            <w:tcBorders>
              <w:top w:val="nil"/>
              <w:left w:val="nil"/>
              <w:bottom w:val="nil"/>
              <w:right w:val="nil"/>
            </w:tcBorders>
            <w:shd w:val="clear" w:color="000000" w:fill="FFFFFF"/>
            <w:noWrap/>
            <w:vAlign w:val="center"/>
            <w:hideMark/>
          </w:tcPr>
          <w:p w14:paraId="0CC8E66C"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4,400</w:t>
            </w:r>
          </w:p>
        </w:tc>
        <w:tc>
          <w:tcPr>
            <w:tcW w:w="196" w:type="pct"/>
            <w:tcBorders>
              <w:top w:val="nil"/>
              <w:left w:val="nil"/>
              <w:bottom w:val="nil"/>
              <w:right w:val="nil"/>
            </w:tcBorders>
            <w:shd w:val="clear" w:color="000000" w:fill="FFFFFF"/>
            <w:noWrap/>
            <w:vAlign w:val="center"/>
            <w:hideMark/>
          </w:tcPr>
          <w:p w14:paraId="123C6ACB"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NA</w:t>
            </w:r>
          </w:p>
        </w:tc>
        <w:tc>
          <w:tcPr>
            <w:tcW w:w="223" w:type="pct"/>
            <w:tcBorders>
              <w:top w:val="nil"/>
              <w:left w:val="nil"/>
              <w:bottom w:val="nil"/>
              <w:right w:val="nil"/>
            </w:tcBorders>
            <w:shd w:val="clear" w:color="000000" w:fill="FFFFFF"/>
            <w:noWrap/>
            <w:vAlign w:val="center"/>
            <w:hideMark/>
          </w:tcPr>
          <w:p w14:paraId="32D9B202"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NA</w:t>
            </w:r>
          </w:p>
        </w:tc>
        <w:tc>
          <w:tcPr>
            <w:tcW w:w="90" w:type="pct"/>
            <w:tcBorders>
              <w:top w:val="nil"/>
              <w:left w:val="nil"/>
              <w:bottom w:val="nil"/>
              <w:right w:val="nil"/>
            </w:tcBorders>
            <w:shd w:val="clear" w:color="000000" w:fill="FFFFFF"/>
            <w:noWrap/>
            <w:vAlign w:val="bottom"/>
            <w:hideMark/>
          </w:tcPr>
          <w:p w14:paraId="648EBC68" w14:textId="77777777" w:rsidR="004F22D5" w:rsidRPr="004F22D5" w:rsidRDefault="004F22D5" w:rsidP="004F22D5">
            <w:pPr>
              <w:spacing w:after="0" w:line="240" w:lineRule="auto"/>
              <w:jc w:val="left"/>
              <w:rPr>
                <w:rFonts w:ascii="Calibri" w:eastAsia="Times New Roman" w:hAnsi="Calibri" w:cs="Calibri"/>
                <w:kern w:val="0"/>
                <w14:ligatures w14:val="none"/>
              </w:rPr>
            </w:pPr>
            <w:r w:rsidRPr="004F22D5">
              <w:rPr>
                <w:rFonts w:ascii="Calibri" w:eastAsia="Times New Roman" w:hAnsi="Calibri" w:cs="Calibri"/>
                <w:kern w:val="0"/>
                <w14:ligatures w14:val="none"/>
              </w:rPr>
              <w:t> </w:t>
            </w:r>
          </w:p>
        </w:tc>
        <w:tc>
          <w:tcPr>
            <w:tcW w:w="333" w:type="pct"/>
            <w:tcBorders>
              <w:top w:val="nil"/>
              <w:left w:val="nil"/>
              <w:bottom w:val="nil"/>
              <w:right w:val="nil"/>
            </w:tcBorders>
            <w:shd w:val="clear" w:color="000000" w:fill="FFFFFF"/>
            <w:vAlign w:val="center"/>
            <w:hideMark/>
          </w:tcPr>
          <w:p w14:paraId="52DEDF23"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152</w:t>
            </w:r>
          </w:p>
        </w:tc>
      </w:tr>
      <w:tr w:rsidR="00D12F84" w:rsidRPr="004F22D5" w14:paraId="26D482B5" w14:textId="77777777" w:rsidTr="00D12F84">
        <w:trPr>
          <w:trHeight w:val="288"/>
        </w:trPr>
        <w:tc>
          <w:tcPr>
            <w:tcW w:w="539" w:type="pct"/>
            <w:tcBorders>
              <w:top w:val="nil"/>
              <w:left w:val="nil"/>
              <w:bottom w:val="single" w:sz="4" w:space="0" w:color="auto"/>
              <w:right w:val="nil"/>
            </w:tcBorders>
            <w:shd w:val="clear" w:color="000000" w:fill="F2F2F2"/>
            <w:vAlign w:val="center"/>
            <w:hideMark/>
          </w:tcPr>
          <w:p w14:paraId="1C3B4FE4" w14:textId="77777777" w:rsidR="004F22D5" w:rsidRPr="004F22D5" w:rsidRDefault="004F22D5" w:rsidP="004F22D5">
            <w:pPr>
              <w:spacing w:after="0" w:line="240" w:lineRule="auto"/>
              <w:jc w:val="left"/>
              <w:rPr>
                <w:rFonts w:eastAsia="Times New Roman" w:cs="Times New Roman"/>
                <w:kern w:val="0"/>
                <w:sz w:val="20"/>
                <w:szCs w:val="20"/>
                <w14:ligatures w14:val="none"/>
              </w:rPr>
            </w:pPr>
            <w:r w:rsidRPr="004F22D5">
              <w:rPr>
                <w:rFonts w:eastAsia="Times New Roman" w:cs="Times New Roman"/>
                <w:kern w:val="0"/>
                <w:sz w:val="20"/>
                <w:szCs w:val="20"/>
                <w14:ligatures w14:val="none"/>
              </w:rPr>
              <w:t>Cuvelier et al. (2020)</w:t>
            </w:r>
          </w:p>
        </w:tc>
        <w:tc>
          <w:tcPr>
            <w:tcW w:w="559" w:type="pct"/>
            <w:tcBorders>
              <w:top w:val="nil"/>
              <w:left w:val="nil"/>
              <w:bottom w:val="single" w:sz="4" w:space="0" w:color="auto"/>
              <w:right w:val="nil"/>
            </w:tcBorders>
            <w:shd w:val="clear" w:color="000000" w:fill="F2F2F2"/>
            <w:noWrap/>
            <w:vAlign w:val="center"/>
            <w:hideMark/>
          </w:tcPr>
          <w:p w14:paraId="2A749DD2" w14:textId="77777777" w:rsidR="004F22D5" w:rsidRPr="004F22D5" w:rsidRDefault="004F22D5" w:rsidP="004F22D5">
            <w:pPr>
              <w:spacing w:after="0" w:line="240" w:lineRule="auto"/>
              <w:jc w:val="left"/>
              <w:rPr>
                <w:rFonts w:eastAsia="Times New Roman" w:cs="Times New Roman"/>
                <w:kern w:val="0"/>
                <w:sz w:val="20"/>
                <w:szCs w:val="20"/>
                <w14:ligatures w14:val="none"/>
              </w:rPr>
            </w:pPr>
            <w:r w:rsidRPr="004F22D5">
              <w:rPr>
                <w:rFonts w:eastAsia="Times New Roman" w:cs="Times New Roman"/>
                <w:kern w:val="0"/>
                <w:sz w:val="20"/>
                <w:szCs w:val="20"/>
                <w14:ligatures w14:val="none"/>
              </w:rPr>
              <w:t>ROV Kiel 6000</w:t>
            </w:r>
          </w:p>
        </w:tc>
        <w:tc>
          <w:tcPr>
            <w:tcW w:w="192" w:type="pct"/>
            <w:tcBorders>
              <w:top w:val="nil"/>
              <w:left w:val="nil"/>
              <w:bottom w:val="single" w:sz="4" w:space="0" w:color="auto"/>
              <w:right w:val="nil"/>
            </w:tcBorders>
            <w:shd w:val="clear" w:color="000000" w:fill="F2F2F2"/>
            <w:vAlign w:val="center"/>
            <w:hideMark/>
          </w:tcPr>
          <w:p w14:paraId="56D73969"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no</w:t>
            </w:r>
          </w:p>
        </w:tc>
        <w:tc>
          <w:tcPr>
            <w:tcW w:w="254" w:type="pct"/>
            <w:tcBorders>
              <w:top w:val="nil"/>
              <w:left w:val="nil"/>
              <w:bottom w:val="single" w:sz="4" w:space="0" w:color="auto"/>
              <w:right w:val="nil"/>
            </w:tcBorders>
            <w:shd w:val="clear" w:color="000000" w:fill="F2F2F2"/>
            <w:vAlign w:val="center"/>
            <w:hideMark/>
          </w:tcPr>
          <w:p w14:paraId="19C24CDC"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yes</w:t>
            </w:r>
          </w:p>
        </w:tc>
        <w:tc>
          <w:tcPr>
            <w:tcW w:w="333" w:type="pct"/>
            <w:tcBorders>
              <w:top w:val="nil"/>
              <w:left w:val="nil"/>
              <w:bottom w:val="single" w:sz="4" w:space="0" w:color="auto"/>
              <w:right w:val="nil"/>
            </w:tcBorders>
            <w:shd w:val="clear" w:color="000000" w:fill="F2F2F2"/>
            <w:noWrap/>
            <w:vAlign w:val="center"/>
            <w:hideMark/>
          </w:tcPr>
          <w:p w14:paraId="4E0B53FC"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4,080-4,930</w:t>
            </w:r>
          </w:p>
        </w:tc>
        <w:tc>
          <w:tcPr>
            <w:tcW w:w="677" w:type="pct"/>
            <w:tcBorders>
              <w:top w:val="nil"/>
              <w:left w:val="nil"/>
              <w:bottom w:val="single" w:sz="4" w:space="0" w:color="auto"/>
              <w:right w:val="nil"/>
            </w:tcBorders>
            <w:shd w:val="clear" w:color="000000" w:fill="F2F2F2"/>
            <w:noWrap/>
            <w:vAlign w:val="center"/>
            <w:hideMark/>
          </w:tcPr>
          <w:p w14:paraId="23A1D000"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BGR, GSR, APEI CCFZ</w:t>
            </w:r>
          </w:p>
        </w:tc>
        <w:tc>
          <w:tcPr>
            <w:tcW w:w="492" w:type="pct"/>
            <w:tcBorders>
              <w:top w:val="nil"/>
              <w:left w:val="nil"/>
              <w:bottom w:val="single" w:sz="4" w:space="0" w:color="auto"/>
              <w:right w:val="nil"/>
            </w:tcBorders>
            <w:shd w:val="clear" w:color="000000" w:fill="F2F2F2"/>
            <w:noWrap/>
            <w:vAlign w:val="center"/>
            <w:hideMark/>
          </w:tcPr>
          <w:p w14:paraId="11B56798"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15,155</w:t>
            </w:r>
          </w:p>
        </w:tc>
        <w:tc>
          <w:tcPr>
            <w:tcW w:w="271" w:type="pct"/>
            <w:tcBorders>
              <w:top w:val="nil"/>
              <w:left w:val="nil"/>
              <w:bottom w:val="single" w:sz="4" w:space="0" w:color="auto"/>
              <w:right w:val="nil"/>
            </w:tcBorders>
            <w:shd w:val="clear" w:color="000000" w:fill="F2F2F2"/>
            <w:noWrap/>
            <w:vAlign w:val="center"/>
            <w:hideMark/>
          </w:tcPr>
          <w:p w14:paraId="7753F2A7"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NA</w:t>
            </w:r>
          </w:p>
        </w:tc>
        <w:tc>
          <w:tcPr>
            <w:tcW w:w="182" w:type="pct"/>
            <w:tcBorders>
              <w:top w:val="nil"/>
              <w:left w:val="nil"/>
              <w:bottom w:val="single" w:sz="4" w:space="0" w:color="auto"/>
              <w:right w:val="nil"/>
            </w:tcBorders>
            <w:shd w:val="clear" w:color="000000" w:fill="F2F2F2"/>
            <w:noWrap/>
            <w:vAlign w:val="center"/>
            <w:hideMark/>
          </w:tcPr>
          <w:p w14:paraId="6A90F8F6"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NA</w:t>
            </w:r>
          </w:p>
        </w:tc>
        <w:tc>
          <w:tcPr>
            <w:tcW w:w="170" w:type="pct"/>
            <w:tcBorders>
              <w:top w:val="nil"/>
              <w:left w:val="nil"/>
              <w:bottom w:val="single" w:sz="4" w:space="0" w:color="auto"/>
              <w:right w:val="nil"/>
            </w:tcBorders>
            <w:shd w:val="clear" w:color="000000" w:fill="F2F2F2"/>
            <w:noWrap/>
            <w:vAlign w:val="center"/>
            <w:hideMark/>
          </w:tcPr>
          <w:p w14:paraId="56ABDECA"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&lt;1</w:t>
            </w:r>
          </w:p>
        </w:tc>
        <w:tc>
          <w:tcPr>
            <w:tcW w:w="174" w:type="pct"/>
            <w:tcBorders>
              <w:top w:val="nil"/>
              <w:left w:val="nil"/>
              <w:bottom w:val="single" w:sz="4" w:space="0" w:color="auto"/>
              <w:right w:val="nil"/>
            </w:tcBorders>
            <w:shd w:val="clear" w:color="000000" w:fill="F2F2F2"/>
            <w:noWrap/>
            <w:vAlign w:val="center"/>
            <w:hideMark/>
          </w:tcPr>
          <w:p w14:paraId="1A8EDB07"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5</w:t>
            </w:r>
          </w:p>
        </w:tc>
        <w:tc>
          <w:tcPr>
            <w:tcW w:w="90" w:type="pct"/>
            <w:tcBorders>
              <w:top w:val="nil"/>
              <w:left w:val="nil"/>
              <w:bottom w:val="single" w:sz="4" w:space="0" w:color="auto"/>
              <w:right w:val="nil"/>
            </w:tcBorders>
            <w:shd w:val="clear" w:color="000000" w:fill="F2F2F2"/>
            <w:noWrap/>
            <w:vAlign w:val="bottom"/>
            <w:hideMark/>
          </w:tcPr>
          <w:p w14:paraId="757567BE" w14:textId="77777777" w:rsidR="004F22D5" w:rsidRPr="004F22D5" w:rsidRDefault="004F22D5" w:rsidP="004F22D5">
            <w:pPr>
              <w:spacing w:after="0" w:line="240" w:lineRule="auto"/>
              <w:jc w:val="left"/>
              <w:rPr>
                <w:rFonts w:ascii="Calibri" w:eastAsia="Times New Roman" w:hAnsi="Calibri" w:cs="Calibri"/>
                <w:kern w:val="0"/>
                <w14:ligatures w14:val="none"/>
              </w:rPr>
            </w:pPr>
            <w:r w:rsidRPr="004F22D5">
              <w:rPr>
                <w:rFonts w:ascii="Calibri" w:eastAsia="Times New Roman" w:hAnsi="Calibri" w:cs="Calibri"/>
                <w:kern w:val="0"/>
                <w14:ligatures w14:val="none"/>
              </w:rPr>
              <w:t> </w:t>
            </w:r>
          </w:p>
        </w:tc>
        <w:tc>
          <w:tcPr>
            <w:tcW w:w="223" w:type="pct"/>
            <w:tcBorders>
              <w:top w:val="nil"/>
              <w:left w:val="nil"/>
              <w:bottom w:val="single" w:sz="4" w:space="0" w:color="auto"/>
              <w:right w:val="nil"/>
            </w:tcBorders>
            <w:shd w:val="clear" w:color="000000" w:fill="F2F2F2"/>
            <w:noWrap/>
            <w:vAlign w:val="center"/>
            <w:hideMark/>
          </w:tcPr>
          <w:p w14:paraId="3419D9D0"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1,744</w:t>
            </w:r>
          </w:p>
        </w:tc>
        <w:tc>
          <w:tcPr>
            <w:tcW w:w="196" w:type="pct"/>
            <w:tcBorders>
              <w:top w:val="nil"/>
              <w:left w:val="nil"/>
              <w:bottom w:val="single" w:sz="4" w:space="0" w:color="auto"/>
              <w:right w:val="nil"/>
            </w:tcBorders>
            <w:shd w:val="clear" w:color="000000" w:fill="F2F2F2"/>
            <w:noWrap/>
            <w:vAlign w:val="center"/>
            <w:hideMark/>
          </w:tcPr>
          <w:p w14:paraId="5EC5C8B8"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380</w:t>
            </w:r>
          </w:p>
        </w:tc>
        <w:tc>
          <w:tcPr>
            <w:tcW w:w="223" w:type="pct"/>
            <w:tcBorders>
              <w:top w:val="nil"/>
              <w:left w:val="nil"/>
              <w:bottom w:val="single" w:sz="4" w:space="0" w:color="auto"/>
              <w:right w:val="nil"/>
            </w:tcBorders>
            <w:shd w:val="clear" w:color="000000" w:fill="F2F2F2"/>
            <w:noWrap/>
            <w:vAlign w:val="center"/>
            <w:hideMark/>
          </w:tcPr>
          <w:p w14:paraId="64B2119C"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3,030</w:t>
            </w:r>
          </w:p>
        </w:tc>
        <w:tc>
          <w:tcPr>
            <w:tcW w:w="90" w:type="pct"/>
            <w:tcBorders>
              <w:top w:val="nil"/>
              <w:left w:val="nil"/>
              <w:bottom w:val="single" w:sz="4" w:space="0" w:color="auto"/>
              <w:right w:val="nil"/>
            </w:tcBorders>
            <w:shd w:val="clear" w:color="000000" w:fill="F2F2F2"/>
            <w:noWrap/>
            <w:vAlign w:val="bottom"/>
            <w:hideMark/>
          </w:tcPr>
          <w:p w14:paraId="1E5A748D" w14:textId="77777777" w:rsidR="004F22D5" w:rsidRPr="004F22D5" w:rsidRDefault="004F22D5" w:rsidP="004F22D5">
            <w:pPr>
              <w:spacing w:after="0" w:line="240" w:lineRule="auto"/>
              <w:jc w:val="left"/>
              <w:rPr>
                <w:rFonts w:ascii="Calibri" w:eastAsia="Times New Roman" w:hAnsi="Calibri" w:cs="Calibri"/>
                <w:kern w:val="0"/>
                <w14:ligatures w14:val="none"/>
              </w:rPr>
            </w:pPr>
            <w:r w:rsidRPr="004F22D5">
              <w:rPr>
                <w:rFonts w:ascii="Calibri" w:eastAsia="Times New Roman" w:hAnsi="Calibri" w:cs="Calibri"/>
                <w:kern w:val="0"/>
                <w14:ligatures w14:val="none"/>
              </w:rPr>
              <w:t> </w:t>
            </w:r>
          </w:p>
        </w:tc>
        <w:tc>
          <w:tcPr>
            <w:tcW w:w="333" w:type="pct"/>
            <w:tcBorders>
              <w:top w:val="nil"/>
              <w:left w:val="nil"/>
              <w:bottom w:val="single" w:sz="4" w:space="0" w:color="auto"/>
              <w:right w:val="nil"/>
            </w:tcBorders>
            <w:shd w:val="clear" w:color="000000" w:fill="F2F2F2"/>
            <w:vAlign w:val="center"/>
            <w:hideMark/>
          </w:tcPr>
          <w:p w14:paraId="0F3607C3" w14:textId="77777777" w:rsidR="004F22D5" w:rsidRPr="004F22D5" w:rsidRDefault="004F22D5" w:rsidP="004F22D5">
            <w:pPr>
              <w:spacing w:after="0" w:line="240" w:lineRule="auto"/>
              <w:jc w:val="center"/>
              <w:rPr>
                <w:rFonts w:eastAsia="Times New Roman" w:cs="Times New Roman"/>
                <w:kern w:val="0"/>
                <w:sz w:val="20"/>
                <w:szCs w:val="20"/>
                <w14:ligatures w14:val="none"/>
              </w:rPr>
            </w:pPr>
            <w:r w:rsidRPr="004F22D5">
              <w:rPr>
                <w:rFonts w:eastAsia="Times New Roman" w:cs="Times New Roman"/>
                <w:kern w:val="0"/>
                <w:sz w:val="20"/>
                <w:szCs w:val="20"/>
                <w14:ligatures w14:val="none"/>
              </w:rPr>
              <w:t>NA</w:t>
            </w:r>
          </w:p>
        </w:tc>
      </w:tr>
    </w:tbl>
    <w:p w14:paraId="4503A7E8" w14:textId="533F57B1" w:rsidR="0091717C" w:rsidRPr="0091717C" w:rsidRDefault="0091717C" w:rsidP="0091717C">
      <w:pPr>
        <w:spacing w:line="240" w:lineRule="auto"/>
        <w:rPr>
          <w:sz w:val="20"/>
          <w:lang w:val="en-GB"/>
        </w:rPr>
        <w:sectPr w:rsidR="0091717C" w:rsidRPr="0091717C" w:rsidSect="00E61D5E">
          <w:pgSz w:w="16838" w:h="11906" w:orient="landscape"/>
          <w:pgMar w:top="1417" w:right="1417" w:bottom="1417" w:left="1417" w:header="708" w:footer="708" w:gutter="0"/>
          <w:lnNumType w:countBy="1" w:restart="continuous"/>
          <w:cols w:space="708"/>
          <w:docGrid w:linePitch="360"/>
        </w:sectPr>
      </w:pPr>
      <w:r w:rsidRPr="0091717C">
        <w:rPr>
          <w:sz w:val="20"/>
        </w:rPr>
        <w:t xml:space="preserve">Table 2. Comparison of this study with other megafauna studies in nodule bearing Pacific areas in terms of megafauna density and </w:t>
      </w:r>
      <w:r w:rsidR="00013859" w:rsidRPr="0091717C">
        <w:rPr>
          <w:sz w:val="20"/>
        </w:rPr>
        <w:t>morpho</w:t>
      </w:r>
      <w:r w:rsidR="00013859">
        <w:rPr>
          <w:sz w:val="20"/>
        </w:rPr>
        <w:t>type</w:t>
      </w:r>
      <w:r w:rsidR="00013859" w:rsidRPr="0091717C">
        <w:rPr>
          <w:sz w:val="20"/>
        </w:rPr>
        <w:t xml:space="preserve"> </w:t>
      </w:r>
      <w:r w:rsidRPr="0091717C">
        <w:rPr>
          <w:sz w:val="20"/>
        </w:rPr>
        <w:t>richness. NA = (data) not available, Xeno = Xenophyophores. Megafauna taxon richness determined at the lowest taxonomical level possible.</w:t>
      </w:r>
    </w:p>
    <w:p w14:paraId="6D1A0FA9" w14:textId="48F678E4" w:rsidR="00F16356" w:rsidRDefault="00BF57A6" w:rsidP="00CD5585">
      <w:pPr>
        <w:rPr>
          <w:lang w:val="en-GB"/>
        </w:rPr>
      </w:pPr>
      <w:r>
        <w:lastRenderedPageBreak/>
        <w:t xml:space="preserve">Seen that the TOML and the GSR area are expected to receive similarly low POC fluxes </w:t>
      </w:r>
      <w:r>
        <w:fldChar w:fldCharType="begin"/>
      </w:r>
      <w:r w:rsidR="00002D28">
        <w:instrText xml:space="preserve"> ADDIN ZOTERO_ITEM CSL_CITATION {"citationID":"z5cWF6pX","properties":{"formattedCitation":"(Vanreusel et al., 2016; Volz et al., 2018)","plainCitation":"(Vanreusel et al., 2016; Volz et al., 2018)","noteIndex":0},"citationItems":[{"id":741,"uris":["http://zotero.org/groups/512020/items/5DHCXFTK"],"uri":["http://zotero.org/groups/512020/items/5DHCXFTK"],"itemData":{"id":741,"type":"article-journal","container-title":"Scientific Reports","DOI":"10.1038/srep26808","ISSN":"2045-2322","page":"26808","source":"CrossRef","title":"Threatened by mining, polymetallic nodules are required to preserve abyssal epifauna","volume":"6","author":[{"family":"Vanreusel","given":"Ann"},{"family":"Hilario","given":"Ana"},{"family":"Ribeiro","given":"Pedro A."},{"family":"Menot","given":"Lenaick"},{"family":"Arbizu","given":"Pedro Martínez"}],"issued":{"date-parts":[["2016",6,1]]}}},{"id":652,"uris":["http://zotero.org/groups/512020/items/7TTP2Q99"],"uri":["http://zotero.org/groups/512020/items/7TTP2Q99"],"itemData":{"id":652,"type":"article-journal","abstract":"The manganese nodule belt within the Clarion and Clipperton Fracture Zones (CCZ) in the abyssal NE Pacific Ocean is characterized by numerous seamounts, low organic matter (OM) depositional fluxes and meter-scale oxygen penetration depths (OPD) into the sediment. The region hosts contract areas for the exploration of polymetallic nodules and Areas of Particular Environmental Interest (APEI) as protected areas. In order to assess the impact of potential mining on these deep-sea sediments and ecosystems, a thorough determination of the natural spatial variability of depositional and geochemical conditions as well as biogeochemical processes and element fluxes in the different exploration areas is required. Here, we present a comparative study on (1) sedimentation rates and bioturbation depths, (2) redox zonation of the sediments and element fluxes as well as (3) rates and pathways of biogeochemical reactions at six sites in the eastern CCZ. The sites are located in four European contract areas and in the APEI3. Our results demonstrate that the natural spatial variability of depositional and (bio)geochemical conditions in this deep-sea sedimentary environment is much larger than previously thought. We found that the OPD varies between 1 and 4.5 m, while the sediments at two sites are oxic throughout the sampled interval (7.5 m depth). Below the OPD, manganese and nitrate reduction occur concurrently in the suboxic zone with pore-water Mn2+ concentrations of up to 25 µM. The thickness of the suboxic zone extends over depth intervals of less than 3 m to more than 8 m. Our data and the applied transport-reaction model suggest that the extension of the oxic and suboxic zones is ultimately determined by the (1) low flux of particulate organic carbon (POC) of 1–2 mg Corg m−2 d−1 to the seafloor, (2) low sedimentation rates between 0.2 and 1.15 cm kyr−1 and (3) oxidation of pore-water Mn2+ at depth. The diagenetic model reveals that aerobic respiration is the main biogeochemical process driving OM degradation. Due to very low POC fluxes of 1 mg Corg m−2 d−1 to the seafloor at the site investigated in the protected APEI3 area, respiration rates are twofold lower than at the other study sites. Thus, the APEI3 site does not represent the (bio)geochemical conditions that prevail in the other investigated sites located in the European contract areas. Lateral variations in surface water productivity are generally reflected in the POC fluxes to the seafloor across the various areas but deviate from this trend at two of the study sites. We suggest that the observed spatial variations in depositional and (bio)geochemical conditions result from differences in the degree of degradation of OM in the water column and heterogeneous sedimentation patterns caused by the interaction of bottom water currents with seafloor topography.","container-title":"Deep Sea Research Part I: Oceanographic Research Papers","DOI":"10.1016/j.dsr.2018.08.006","ISSN":"0967-0637","journalAbbreviation":"Deep Sea Research Part I: Oceanographic Research Papers","page":"159-172","source":"ScienceDirect","title":"Natural spatial variability of depositional conditions, biogeochemical processes and element fluxes in sediments of the eastern Clarion-Clipperton Zone, Pacific Ocean","volume":"140","author":[{"family":"Volz","given":"Jessica B."},{"family":"Mogollón","given":"José M."},{"family":"Geibert","given":"Walter"},{"family":"Arbizu","given":"Pedro Martínez"},{"family":"Koschinsky","given":"Andrea"},{"family":"Kasten","given":"Sabine"}],"issued":{"date-parts":[["2018",10,1]]}},"label":"page"}],"schema":"https://github.com/citation-style-language/schema/raw/master/csl-citation.json"} </w:instrText>
      </w:r>
      <w:r>
        <w:fldChar w:fldCharType="separate"/>
      </w:r>
      <w:r w:rsidR="00002D28" w:rsidRPr="00002D28">
        <w:rPr>
          <w:rFonts w:cs="Times New Roman"/>
        </w:rPr>
        <w:t>(Vanreusel et al., 2016; Volz et al., 2018)</w:t>
      </w:r>
      <w:r>
        <w:fldChar w:fldCharType="end"/>
      </w:r>
      <w:r>
        <w:t xml:space="preserve">, the differences in megafauna densities </w:t>
      </w:r>
      <w:r>
        <w:rPr>
          <w:lang w:val="en-GB"/>
        </w:rPr>
        <w:t>may be indicative of</w:t>
      </w:r>
      <w:r w:rsidRPr="00C9415E">
        <w:rPr>
          <w:lang w:val="en-GB"/>
        </w:rPr>
        <w:t xml:space="preserve"> a</w:t>
      </w:r>
      <w:r>
        <w:rPr>
          <w:lang w:val="en-GB"/>
        </w:rPr>
        <w:t>n</w:t>
      </w:r>
      <w:r w:rsidRPr="00C9415E">
        <w:rPr>
          <w:lang w:val="en-GB"/>
        </w:rPr>
        <w:t xml:space="preserve"> effect of the</w:t>
      </w:r>
      <w:r>
        <w:rPr>
          <w:lang w:val="en-GB"/>
        </w:rPr>
        <w:t xml:space="preserve"> difference in</w:t>
      </w:r>
      <w:r w:rsidRPr="00C9415E">
        <w:rPr>
          <w:lang w:val="en-GB"/>
        </w:rPr>
        <w:t xml:space="preserve"> altitude of </w:t>
      </w:r>
      <w:r>
        <w:rPr>
          <w:lang w:val="en-GB"/>
        </w:rPr>
        <w:t xml:space="preserve">the </w:t>
      </w:r>
      <w:r w:rsidRPr="00C9415E">
        <w:rPr>
          <w:lang w:val="en-GB"/>
        </w:rPr>
        <w:t xml:space="preserve">image collection </w:t>
      </w:r>
      <w:r w:rsidR="00A73D16" w:rsidRPr="00A73D16">
        <w:rPr>
          <w:lang w:val="en-GB"/>
        </w:rPr>
        <w:t>on the results of seabed surveys at the CCZ</w:t>
      </w:r>
      <w:r w:rsidRPr="00A73D16">
        <w:rPr>
          <w:lang w:val="en-GB"/>
        </w:rPr>
        <w:t xml:space="preserve">. </w:t>
      </w:r>
      <w:r w:rsidR="00A73D16" w:rsidRPr="00A73D16">
        <w:rPr>
          <w:lang w:val="en-GB"/>
        </w:rPr>
        <w:t>More</w:t>
      </w:r>
      <w:r w:rsidR="00F16356" w:rsidRPr="00A73D16">
        <w:rPr>
          <w:lang w:val="en-GB"/>
        </w:rPr>
        <w:t xml:space="preserve"> specifically</w:t>
      </w:r>
      <w:r w:rsidR="00A73D16" w:rsidRPr="00A73D16">
        <w:rPr>
          <w:lang w:val="en-GB"/>
        </w:rPr>
        <w:t xml:space="preserve">, </w:t>
      </w:r>
      <w:r w:rsidR="00F16356" w:rsidRPr="00A73D16">
        <w:rPr>
          <w:lang w:val="en-GB"/>
        </w:rPr>
        <w:t>the megafaunal densities reported in the present s</w:t>
      </w:r>
      <w:r w:rsidR="00E61D5E" w:rsidRPr="00A73D16">
        <w:rPr>
          <w:lang w:val="en-GB"/>
        </w:rPr>
        <w:t>tudy</w:t>
      </w:r>
      <w:r w:rsidR="00A73D16" w:rsidRPr="00A73D16">
        <w:rPr>
          <w:lang w:val="en-GB"/>
        </w:rPr>
        <w:t xml:space="preserve"> are most probably an underestimation</w:t>
      </w:r>
      <w:r w:rsidR="00E61D5E" w:rsidRPr="00A73D16">
        <w:rPr>
          <w:lang w:val="en-GB"/>
        </w:rPr>
        <w:t xml:space="preserve">. </w:t>
      </w:r>
      <w:r w:rsidR="00C7265C" w:rsidRPr="00C9415E">
        <w:rPr>
          <w:lang w:val="en-GB"/>
        </w:rPr>
        <w:t>On the other hand,</w:t>
      </w:r>
      <w:r w:rsidR="00C7265C">
        <w:rPr>
          <w:lang w:val="en-GB"/>
        </w:rPr>
        <w:t xml:space="preserve"> t</w:t>
      </w:r>
      <w:r w:rsidR="003A7C89" w:rsidRPr="003A7C89">
        <w:rPr>
          <w:lang w:val="en-GB"/>
        </w:rPr>
        <w:t xml:space="preserve">he older studies conducted by </w:t>
      </w:r>
      <w:r w:rsidR="00312465">
        <w:rPr>
          <w:lang w:val="en-GB"/>
        </w:rPr>
        <w:t xml:space="preserve">Morgan </w:t>
      </w:r>
      <w:r w:rsidR="00312465" w:rsidRPr="00312465">
        <w:rPr>
          <w:i/>
          <w:lang w:val="en-GB"/>
        </w:rPr>
        <w:t>et al.</w:t>
      </w:r>
      <w:r w:rsidR="00312465">
        <w:rPr>
          <w:lang w:val="en-GB"/>
        </w:rPr>
        <w:t xml:space="preserve"> </w:t>
      </w:r>
      <w:r w:rsidR="00312465">
        <w:rPr>
          <w:lang w:val="en-GB"/>
        </w:rPr>
        <w:fldChar w:fldCharType="begin"/>
      </w:r>
      <w:r w:rsidR="00312465">
        <w:rPr>
          <w:lang w:val="en-GB"/>
        </w:rPr>
        <w:instrText xml:space="preserve"> ADDIN ZOTERO_ITEM CSL_CITATION {"citationID":"73ZGyhve","properties":{"formattedCitation":"(1993)","plainCitation":"(1993)","noteIndex":0},"citationItems":[{"id":462,"uris":["http://zotero.org/groups/512020/items/75BZ6CF3"],"uri":["http://zotero.org/groups/512020/items/75BZ6CF3"],"itemData":{"id":462,"type":"article-journal","container-title":"Marine Georesources &amp; Geotechnology","DOI":"10.1080/10641199309379903","ISSN":"1064-119X, 1521-0618","issue":"1","language":"en","page":"1-25","source":"CrossRef","title":"Preliminary analysis of exploration data from Pacific deposits of manganese nodules","volume":"11","author":[{"family":"Morgan","given":"Charles L."},{"family":"Nichols","given":"Jean A."},{"family":"Selk","given":"Bruce W."},{"family":"Toth","given":"John R."},{"family":"Wallin","given":"Charles"}],"issued":{"date-parts":[["1993",1]]}},"suppress-author":true}],"schema":"https://github.com/citation-style-language/schema/raw/master/csl-citation.json"} </w:instrText>
      </w:r>
      <w:r w:rsidR="00312465">
        <w:rPr>
          <w:lang w:val="en-GB"/>
        </w:rPr>
        <w:fldChar w:fldCharType="separate"/>
      </w:r>
      <w:r w:rsidR="00312465" w:rsidRPr="00312465">
        <w:rPr>
          <w:rFonts w:cs="Times New Roman"/>
        </w:rPr>
        <w:t>(1993)</w:t>
      </w:r>
      <w:r w:rsidR="00312465">
        <w:rPr>
          <w:lang w:val="en-GB"/>
        </w:rPr>
        <w:fldChar w:fldCharType="end"/>
      </w:r>
      <w:r w:rsidR="003A7C89" w:rsidRPr="003A7C89">
        <w:rPr>
          <w:lang w:val="en-GB"/>
        </w:rPr>
        <w:t xml:space="preserve"> (region</w:t>
      </w:r>
      <w:r w:rsidR="00CA7951">
        <w:rPr>
          <w:lang w:val="en-GB"/>
        </w:rPr>
        <w:t>al CC</w:t>
      </w:r>
      <w:r w:rsidR="003A7C89" w:rsidRPr="003A7C89">
        <w:rPr>
          <w:lang w:val="en-GB"/>
        </w:rPr>
        <w:t xml:space="preserve">Z study), Tilot </w:t>
      </w:r>
      <w:r w:rsidR="00312465">
        <w:rPr>
          <w:lang w:val="en-GB"/>
        </w:rPr>
        <w:fldChar w:fldCharType="begin"/>
      </w:r>
      <w:r w:rsidR="00747081">
        <w:rPr>
          <w:lang w:val="en-GB"/>
        </w:rPr>
        <w:instrText xml:space="preserve"> ADDIN ZOTERO_ITEM CSL_CITATION {"citationID":"YcDF2xGN","properties":{"formattedCitation":"(2006)","plainCitation":"(2006)","noteIndex":0},"citationItems":[{"id":448,"uris":["http://zotero.org/groups/512020/items/I83KDZMI"],"uri":["http://zotero.org/groups/512020/items/I83KDZMI"],"itemData":{"id":448,"type":"report","collection-title":"IOC technical series","event-place":"Paris","number":"69","publisher":"UNESCO","publisher-place":"Paris","title":"Biodiversity and distribution of the megafauna. Vol. 1: the polymetallic nodule ecosystem of the Eastern Equatorial Pacific Ocean","author":[{"family":"Tilot","given":"Virginie"}],"issued":{"date-parts":[["2006"]]}},"suppress-author":true}],"schema":"https://github.com/citation-style-language/schema/raw/master/csl-citation.json"} </w:instrText>
      </w:r>
      <w:r w:rsidR="00312465">
        <w:rPr>
          <w:lang w:val="en-GB"/>
        </w:rPr>
        <w:fldChar w:fldCharType="separate"/>
      </w:r>
      <w:r w:rsidR="00747081" w:rsidRPr="00747081">
        <w:rPr>
          <w:rFonts w:cs="Times New Roman"/>
        </w:rPr>
        <w:t>(2006)</w:t>
      </w:r>
      <w:r w:rsidR="00312465">
        <w:rPr>
          <w:lang w:val="en-GB"/>
        </w:rPr>
        <w:fldChar w:fldCharType="end"/>
      </w:r>
      <w:r w:rsidR="003A7C89" w:rsidRPr="003A7C89">
        <w:rPr>
          <w:lang w:val="en-GB"/>
        </w:rPr>
        <w:t xml:space="preserve"> (</w:t>
      </w:r>
      <w:r w:rsidR="00B73220">
        <w:rPr>
          <w:lang w:val="en-GB"/>
        </w:rPr>
        <w:t>IFREMER contract</w:t>
      </w:r>
      <w:r w:rsidR="00EA0B6B">
        <w:rPr>
          <w:lang w:val="en-GB"/>
        </w:rPr>
        <w:t xml:space="preserve"> area), and Tkat</w:t>
      </w:r>
      <w:r w:rsidR="003A7C89" w:rsidRPr="003A7C89">
        <w:rPr>
          <w:lang w:val="en-GB"/>
        </w:rPr>
        <w:t>c</w:t>
      </w:r>
      <w:r w:rsidR="00EA0B6B">
        <w:rPr>
          <w:lang w:val="en-GB"/>
        </w:rPr>
        <w:t>h</w:t>
      </w:r>
      <w:r w:rsidR="003A7C89" w:rsidRPr="003A7C89">
        <w:rPr>
          <w:lang w:val="en-GB"/>
        </w:rPr>
        <w:t>en</w:t>
      </w:r>
      <w:r w:rsidR="00EA0B6B">
        <w:rPr>
          <w:lang w:val="en-GB"/>
        </w:rPr>
        <w:t>k</w:t>
      </w:r>
      <w:r w:rsidR="003A7C89" w:rsidRPr="003A7C89">
        <w:rPr>
          <w:lang w:val="en-GB"/>
        </w:rPr>
        <w:t xml:space="preserve">o &amp; Radziejewska </w:t>
      </w:r>
      <w:r w:rsidR="00EA0B6B">
        <w:rPr>
          <w:lang w:val="en-GB"/>
        </w:rPr>
        <w:fldChar w:fldCharType="begin"/>
      </w:r>
      <w:r w:rsidR="00050E3D">
        <w:rPr>
          <w:lang w:val="en-GB"/>
        </w:rPr>
        <w:instrText xml:space="preserve"> ADDIN ZOTERO_ITEM CSL_CITATION {"citationID":"gGxOf1Ie","properties":{"formattedCitation":"(1998)","plainCitation":"(1998)","noteIndex":0},"citationItems":[{"id":760,"uris":["http://zotero.org/groups/512020/items/8ICKHD6B"],"uri":["http://zotero.org/groups/512020/items/8ICKHD6B"],"itemData":{"id":760,"type":"paper-conference","call-number":"EP-T50","container-title":"Proceedings of the eight international offshore and polar engineering conference","event-place":"Montreal, Canada","publisher-place":"Montreal, Canada","title":"Recovery and recolonization process in the area disturbed by a polymetallic nodule collector simulator","author":[{"literal":"Tkatchenko"},{"family":"Radziejewska","given":"Teresa"}],"issued":{"date-parts":[["1998"]]}},"suppress-author":true}],"schema":"https://github.com/citation-style-language/schema/raw/master/csl-citation.json"} </w:instrText>
      </w:r>
      <w:r w:rsidR="00EA0B6B">
        <w:rPr>
          <w:lang w:val="en-GB"/>
        </w:rPr>
        <w:fldChar w:fldCharType="separate"/>
      </w:r>
      <w:r w:rsidR="00050E3D" w:rsidRPr="00050E3D">
        <w:rPr>
          <w:rFonts w:cs="Times New Roman"/>
        </w:rPr>
        <w:t>(1998)</w:t>
      </w:r>
      <w:r w:rsidR="00EA0B6B">
        <w:rPr>
          <w:lang w:val="en-GB"/>
        </w:rPr>
        <w:fldChar w:fldCharType="end"/>
      </w:r>
      <w:r w:rsidR="003A7C89" w:rsidRPr="003A7C89">
        <w:rPr>
          <w:lang w:val="en-GB"/>
        </w:rPr>
        <w:t xml:space="preserve"> and Radziejewska &amp; Stoyanova </w:t>
      </w:r>
      <w:r w:rsidR="003A7C89" w:rsidRPr="003A7C89">
        <w:rPr>
          <w:lang w:val="en-GB"/>
        </w:rPr>
        <w:fldChar w:fldCharType="begin"/>
      </w:r>
      <w:r w:rsidR="00312465">
        <w:rPr>
          <w:lang w:val="en-GB"/>
        </w:rPr>
        <w:instrText xml:space="preserve"> ADDIN ZOTERO_ITEM CSL_CITATION {"citationID":"CVlsHwvv","properties":{"formattedCitation":"(2000)","plainCitation":"(2000)","noteIndex":0},"citationItems":[{"id":781,"uris":["http://zotero.org/groups/512020/items/5E5M8HRI"],"uri":["http://zotero.org/groups/512020/items/5E5M8HRI"],"itemData":{"id":781,"type":"article-journal","container-title":"Oceanological Studies","issue":"2","page":"83-101","title":"Abyssal epibenthic megafauna of the Clarion-Clipperton area (NE Pacific): changes in time and space versus anthropogenic environmental disturbance","volume":"29","author":[{"family":"Radziejewska","given":"Teresa"},{"family":"Stoyanova","given":"Valcana"}],"issued":{"date-parts":[["2000"]]}},"suppress-author":true}],"schema":"https://github.com/citation-style-language/schema/raw/master/csl-citation.json"} </w:instrText>
      </w:r>
      <w:r w:rsidR="003A7C89" w:rsidRPr="003A7C89">
        <w:rPr>
          <w:lang w:val="en-GB"/>
        </w:rPr>
        <w:fldChar w:fldCharType="separate"/>
      </w:r>
      <w:r w:rsidR="003A7C89" w:rsidRPr="003A7C89">
        <w:rPr>
          <w:rFonts w:cs="Times New Roman"/>
        </w:rPr>
        <w:t>(2000)</w:t>
      </w:r>
      <w:r w:rsidR="003A7C89" w:rsidRPr="003A7C89">
        <w:rPr>
          <w:lang w:val="en-GB"/>
        </w:rPr>
        <w:fldChar w:fldCharType="end"/>
      </w:r>
      <w:r w:rsidR="00B73220">
        <w:rPr>
          <w:lang w:val="en-GB"/>
        </w:rPr>
        <w:t xml:space="preserve"> (both IOM contract</w:t>
      </w:r>
      <w:r w:rsidR="003A7C89" w:rsidRPr="003A7C89">
        <w:rPr>
          <w:lang w:val="en-GB"/>
        </w:rPr>
        <w:t xml:space="preserve"> area) showed in comparison relatively low densities, which may be related to t</w:t>
      </w:r>
      <w:r w:rsidR="003A7C89" w:rsidRPr="006307AC">
        <w:rPr>
          <w:lang w:val="en-GB"/>
        </w:rPr>
        <w:t>he less advanced camera technology (incl. lower resolution)</w:t>
      </w:r>
      <w:r w:rsidR="00F1658F">
        <w:rPr>
          <w:lang w:val="en-GB"/>
        </w:rPr>
        <w:t xml:space="preserve"> and </w:t>
      </w:r>
      <w:r w:rsidR="000F7D8C">
        <w:rPr>
          <w:lang w:val="en-GB"/>
        </w:rPr>
        <w:t>difficulties in</w:t>
      </w:r>
      <w:r w:rsidR="00F1658F">
        <w:rPr>
          <w:lang w:val="en-GB"/>
        </w:rPr>
        <w:t xml:space="preserve"> </w:t>
      </w:r>
      <w:r w:rsidR="000F7D8C">
        <w:rPr>
          <w:lang w:val="en-GB"/>
        </w:rPr>
        <w:t xml:space="preserve">estimating </w:t>
      </w:r>
      <w:r w:rsidR="00F1658F">
        <w:rPr>
          <w:lang w:val="en-GB"/>
        </w:rPr>
        <w:t>the seabed coverage</w:t>
      </w:r>
      <w:r w:rsidR="003A7C89" w:rsidRPr="006307AC">
        <w:rPr>
          <w:lang w:val="en-GB"/>
        </w:rPr>
        <w:t xml:space="preserve"> at the time of these surveys.</w:t>
      </w:r>
    </w:p>
    <w:p w14:paraId="2B1DB112" w14:textId="1F39AC46" w:rsidR="00E86891" w:rsidRDefault="00CD5585" w:rsidP="00E86891">
      <w:pPr>
        <w:rPr>
          <w:lang w:val="en-GB"/>
        </w:rPr>
      </w:pPr>
      <w:r>
        <w:rPr>
          <w:lang w:val="en-GB"/>
        </w:rPr>
        <w:t xml:space="preserve">Within the GSR </w:t>
      </w:r>
      <w:r w:rsidR="00B73220">
        <w:rPr>
          <w:lang w:val="en-GB"/>
        </w:rPr>
        <w:t>contract</w:t>
      </w:r>
      <w:r>
        <w:rPr>
          <w:lang w:val="en-GB"/>
        </w:rPr>
        <w:t xml:space="preserve"> area, we observed s</w:t>
      </w:r>
      <w:r w:rsidR="006B63C4">
        <w:rPr>
          <w:lang w:val="en-GB"/>
        </w:rPr>
        <w:t xml:space="preserve">imilar megafaunal abundance </w:t>
      </w:r>
      <w:r>
        <w:rPr>
          <w:lang w:val="en-GB"/>
        </w:rPr>
        <w:t xml:space="preserve">for sites B6S02 and B4S03. In abyssal nodule-bearing areas, bottom topography, local currents, sediment deposition rates, and nodule abundance are intrinsically linked on a local scale </w:t>
      </w:r>
      <w:r>
        <w:rPr>
          <w:lang w:val="en-GB"/>
        </w:rPr>
        <w:fldChar w:fldCharType="begin"/>
      </w:r>
      <w:r w:rsidR="00BE18D9">
        <w:rPr>
          <w:lang w:val="en-GB"/>
        </w:rPr>
        <w:instrText xml:space="preserve"> ADDIN ZOTERO_ITEM CSL_CITATION {"citationID":"tyfVgI8K","properties":{"formattedCitation":"(Mewes et al., 2014; Peukert et al., 2018)","plainCitation":"(Mewes et al., 2014; Peukert et al., 2018)","noteIndex":0},"citationItems":[{"id":647,"uris":["http://zotero.org/groups/512020/items/Q9A8MBXJ"],"uri":["http://zotero.org/groups/512020/items/Q9A8MBXJ"],"itemData":{"id":647,"type":"article-journal","abstract":"Manganese nodules of the Clarion–Clipperton Fracture Zone (CCFZ) in the NE Pacific Ocean are highly enriched in Ni, Cu, Co, Mo and rare-earth elements, and thus may be the subject of future mining operations. Elucidating the depositional and biogeochemical processes that contribute to nodule formation, as well as the respective redox environment, in both water column and sediment, supports our ability to locate future nodule deposits and to evaluate the potential ecological and environmental effects of future deep-sea mining. For these purposes we studied the local hydrodynamics and pore-water geochemistry with respect to the nodule coverage at four sites in the eastern CCFZ. Furthermore, we carried out selective leaching experiments at these sites in order to assess the potential mobility of Mn in the solid phase, and compared them with the spatial variations in sedimentation rates. We found that the oxygen penetration depth is 180–300 cm at all four sites, while reduction of Mn and NO3− is only significant below the oxygen penetration depth at sites with small or no nodules on the sediment surface. At the site without nodules, potential microbial respiration rates, determined by incubation experiments using 14C-labeled acetate, are slightly higher than at sites with nodules. Leaching experiments showed that surface sediments covered with big or medium-sized nodules are enriched in mobilizable Mn. Our deep oxygen measurements and pore-water data suggest that hydrogenetic and oxic-diagenetic processes control the present-day nodule growth at these sites, since free manganese from deeper sediments is unable to reach the sediment surface. We propose that the observed strong lateral contrasts in nodule size and abundance are sensitive to sedimentation rates, which in turn, are controlled by small-scale variations in seafloor topography and bottom-water current intensity.","call-number":"EP-M109","container-title":"Deep Sea Research Part I: Oceanographic Research Papers","DOI":"10.1016/j.dsr.2014.06.001","ISSN":"0967-0637","journalAbbreviation":"Deep Sea Research Part I: Oceanographic Research Papers","page":"125-141","source":"ScienceDirect","title":"Impact of depositional and biogeochemical processes on small scale variations in nodule abundance in the Clarion‐Clipperton Fracture Zone","volume":"91","author":[{"family":"Mewes","given":"K."},{"family":"Mogollón","given":"J. M."},{"family":"Picard","given":"A."},{"family":"Rühlemann","given":"C."},{"family":"Kuhn","given":"T."},{"family":"Nöthen","given":"K."},{"family":"Kasten","given":"S."}],"issued":{"date-parts":[["2014",9]]}},"label":"page"},{"id":673,"uris":["http://zotero.org/groups/512020/items/XD4P5VWE"],"uri":["http://zotero.org/groups/512020/items/XD4P5VWE"],"itemData":{"id":673,"type":"article-journal","abstract":"In this study, ship- and autonomous underwater vehicle (AUV)-based multibeam data from the German ferromanganese-nodule (Mn-nodule) license area in the Clarion–Clipperton Zone (CCZ; eastern Paciﬁc) are linked to ground-truth data from optical imaging. Photographs obtained by an AUV enable semi-quantitative assessments of nodule coverage at a spatial resolution in the range of meters. Together with high-resolution AUV bathymetry, this revealed a correlation of small-scale terrain variations ( &lt; 5 m horizontally, &lt; 1 m vertically) with nodule coverage. In the presented data set, increased nodule coverage could be correlated with slopes &gt; 1.8◦ and concave terrain. On a more regional scale, factors such as the geological setting (existence of horst and graben structures, sediment thickness, outcropping basement) and inﬂuence of bottom currents seem to play an essential role for the spatial variation of nodule coverage and the related hard substrate habitat.","container-title":"Biogeosciences","DOI":"10.5194/bg-15-2525-2018","ISSN":"1726-4189","issue":"8","language":"en","page":"2525-2549","source":"Crossref","title":"Understanding Mn-nodule distribution and evaluation of related deep-sea mining impacts using AUV-based hydroacoustic and optical data","volume":"15","author":[{"family":"Peukert","given":"Anne"},{"family":"Schoening","given":"Timm"},{"family":"Alevizos","given":"Evangelos"},{"family":"Köser","given":"Kevin"},{"family":"Kwasnitschka","given":"Tom"},{"family":"Greinert","given":"Jens"}],"issued":{"date-parts":[["2018",4,27]]}},"label":"page"}],"schema":"https://github.com/citation-style-language/schema/raw/master/csl-citation.json"} </w:instrText>
      </w:r>
      <w:r>
        <w:rPr>
          <w:lang w:val="en-GB"/>
        </w:rPr>
        <w:fldChar w:fldCharType="separate"/>
      </w:r>
      <w:r w:rsidR="00BE18D9" w:rsidRPr="00BE18D9">
        <w:rPr>
          <w:rFonts w:cs="Times New Roman"/>
        </w:rPr>
        <w:t>(Mewes et al., 2014; Peukert et al., 2018)</w:t>
      </w:r>
      <w:r>
        <w:rPr>
          <w:lang w:val="en-GB"/>
        </w:rPr>
        <w:fldChar w:fldCharType="end"/>
      </w:r>
      <w:r>
        <w:rPr>
          <w:lang w:val="en-GB"/>
        </w:rPr>
        <w:t xml:space="preserve"> and these abiotic parameters are known to affect megafauna abundance and community composition </w:t>
      </w:r>
      <w:r>
        <w:rPr>
          <w:lang w:val="en-GB"/>
        </w:rPr>
        <w:fldChar w:fldCharType="begin"/>
      </w:r>
      <w:r w:rsidR="00564FCB">
        <w:rPr>
          <w:lang w:val="en-GB"/>
        </w:rPr>
        <w:instrText xml:space="preserve"> ADDIN ZOTERO_ITEM CSL_CITATION {"citationID":"pbNv84p9","properties":{"formattedCitation":"(Radziejewska and Stoyanova, 2000; Amon et al., 2016; Vanreusel et al., 2016; Simon-Lled\\uc0\\u243{} et al., 2019b)","plainCitation":"(Radziejewska and Stoyanova, 2000; Amon et al., 2016; Vanreusel et al., 2016; Simon-Lledó et al., 2019b)","noteIndex":0},"citationItems":[{"id":781,"uris":["http://zotero.org/groups/512020/items/5E5M8HRI"],"uri":["http://zotero.org/groups/512020/items/5E5M8HRI"],"itemData":{"id":781,"type":"article-journal","container-title":"Oceanological Studies","issue":"2","page":"83-101","title":"Abyssal epibenthic megafauna of the Clarion-Clipperton area (NE Pacific): changes in time and space versus anthropogenic environmental disturbance","volume":"29","author":[{"family":"Radziejewska","given":"Teresa"},{"family":"Stoyanova","given":"Valcana"}],"issued":{"date-parts":[["2000"]]}},"label":"page"},{"id":734,"uris":["http://zotero.org/groups/512020/items/HVVC9STZ"],"uri":["http://zotero.org/groups/512020/items/HVVC9STZ"],"itemData":{"id":734,"type":"article-journal","call-number":"EP-A","container-title":"Scientific Reports","DOI":"10.1038/srep30492","ISSN":"2045-2322","page":"30492","source":"CrossRef","title":"Insights into the abundance and diversity of abyssal megafauna in a polymetallic-nodule region in the eastern Clarion-Clipperton Zone","volume":"6","author":[{"family":"Amon","given":"Diva J."},{"family":"Ziegler","given":"Amanda F."},{"family":"Dahlgren","given":"Thomas G."},{"family":"Glover","given":"Adrian G."},{"family":"Goineau","given":"Aurélie"},{"family":"Gooday","given":"Andrew J."},{"family":"Wiklund","given":"Helena"},{"family":"Smith","given":"Craig R."}],"issued":{"date-parts":[["2016",7,29]]}},"label":"page"},{"id":741,"uris":["http://zotero.org/groups/512020/items/5DHCXFTK"],"uri":["http://zotero.org/groups/512020/items/5DHCXFTK"],"itemData":{"id":741,"type":"article-journal","container-title":"Scientific Reports","DOI":"10.1038/srep26808","ISSN":"2045-2322","page":"26808","source":"CrossRef","title":"Threatened by mining, polymetallic nodules are required to preserve abyssal epifauna","volume":"6","author":[{"family":"Vanreusel","given":"Ann"},{"family":"Hilario","given":"Ana"},{"family":"Ribeiro","given":"Pedro A."},{"family":"Menot","given":"Lenaick"},{"family":"Arbizu","given":"Pedro Martínez"}],"issued":{"date-parts":[["2016",6,1]]}},"label":"page"},{"id":648,"uris":["http://zotero.org/groups/512020/items/S8WR4Q5J"],"uri":["http://zotero.org/groups/512020/items/S8WR4Q5J"],"itemData":{"id":648,"type":"article-journal","abstract":"The potential for imminent polymetallic nodule mining in the Clarion Clipperton Fracture Zone (CCZ) has attracted considerable scientific and public attention. This concern stems from both the extremely large seafloor areas that may be impacted by mining, and the very limited knowledge of the fauna and ecology of this region. The environmental factors regulating seafloor ecology are still very poorly understood. In this study, we focus on megafaunal ecology in the proposed conservation zone ‘Area of Particular Environmental Interest 6′ (study area centred 17°16′N, 122°55′W). We employ bathymetric data to objectively define three landscape types in the area (a level bottom Flat, an elevated Ridge, a depressed Trough; water depth 3950–4250 m) that are characteristic of the wider CCZ. We use direct seabed sampling to characterise the sedimentary environment in each landscape, detecting no statistically significant differences in particle size distributions or organic matter content. Additional seafloor characteristics and data on both the metazoan and xenophyophore components of the megafauna were derived by extensive photographic survey from an autonomous underwater vehicle. Image data revealed that there were statistically significant differences in seafloor cover by nodules and in the occurrence of other hard substrata habitat between landscapes. Statistically significant differences in megafauna standing stock, functional structu</w:instrText>
      </w:r>
      <w:r w:rsidR="00564FCB" w:rsidRPr="00564FCB">
        <w:rPr>
          <w:lang w:val="nl-BE"/>
        </w:rPr>
        <w:instrText xml:space="preserve">ring, diversity, and faunal composition were detected between landscapes. The Flat and Ridge areas exhibited a significantly higher standing stock and a distinct assemblage composition compared to the Trough. Geomorphological variations, presumably regulating local bottom water flows and the occurrence of nodule and xenophyophore test substrata, between study areas may be the mechanism driving these assemblage differences. We also used these data to assess the influence of sampling unit size on the estimation of ecological parameters. We discuss these results in the contexts of regional benthic ecology and the appropriate management of potential mining activities in the CCZ and elsewhere in the deep ocean.","container-title":"Progress in Oceanography","DOI":"10.1016/j.pocean.2018.11.003","ISSN":"0079-6611","journalAbbreviation":"Progress in Oceanography","page":"119-133","source":"ScienceDirect","title":"Megafaunal variation in the abyssal landscape of the Clarion Clipperton Zone","volume":"170","author":[{"family":"Simon-Lledó","given":"Erik"},{"family":"Bett","given":"Brian J."},{"family":"Huvenne","given":"Veerle A. I."},{"family":"Schoening","given":"Timm"},{"family":"Benoist","given":"Noelie M. A."},{"family":"Jeffreys","given":"Rachel M."},{"family":"Durden","given":"Jennifer M."},{"family":"Jones","given":"Daniel O. B."}],"issued":{"date-parts":[["2019",1,1]]}},"label":"page"}],"schema":"https://github.com/citation-style-language/schema/raw/master/csl-citation.json"} </w:instrText>
      </w:r>
      <w:r>
        <w:rPr>
          <w:lang w:val="en-GB"/>
        </w:rPr>
        <w:fldChar w:fldCharType="separate"/>
      </w:r>
      <w:r w:rsidR="00564FCB" w:rsidRPr="00564FCB">
        <w:rPr>
          <w:rFonts w:cs="Times New Roman"/>
          <w:szCs w:val="24"/>
          <w:lang w:val="nl-BE"/>
        </w:rPr>
        <w:t>(Radziejewska and Stoyanova, 2000; Amon et al., 2016; Vanreusel et al., 2016; Simon-Lledó et al., 2019b)</w:t>
      </w:r>
      <w:r>
        <w:rPr>
          <w:lang w:val="en-GB"/>
        </w:rPr>
        <w:fldChar w:fldCharType="end"/>
      </w:r>
      <w:r w:rsidRPr="00CF773B">
        <w:rPr>
          <w:lang w:val="nl-BE"/>
        </w:rPr>
        <w:t xml:space="preserve">. </w:t>
      </w:r>
      <w:r>
        <w:rPr>
          <w:lang w:val="en-GB"/>
        </w:rPr>
        <w:t>Upon pooling megafauna and nodule data from both sites, we found a statistically significant positive relationship between nodule coverage and megafauna ab</w:t>
      </w:r>
      <w:r w:rsidR="00E83BA7">
        <w:rPr>
          <w:lang w:val="en-GB"/>
        </w:rPr>
        <w:t xml:space="preserve">undance below 8m altitude. </w:t>
      </w:r>
      <w:r>
        <w:rPr>
          <w:lang w:val="en-GB"/>
        </w:rPr>
        <w:t xml:space="preserve">Also other studies </w:t>
      </w:r>
      <w:r>
        <w:rPr>
          <w:lang w:val="en-GB"/>
        </w:rPr>
        <w:fldChar w:fldCharType="begin"/>
      </w:r>
      <w:r w:rsidR="00B93285">
        <w:rPr>
          <w:lang w:val="en-GB"/>
        </w:rPr>
        <w:instrText xml:space="preserve"> ADDIN ZOTERO_ITEM CSL_CITATION {"citationID":"29sv9vJT","properties":{"formattedCitation":"(Radziejewska and Stoyanova, 2000; Vanreusel et al., 2016; Simon-Lled\\uc0\\u243{} et al., 2019c; Simon\\uc0\\u8208{}Lled\\uc0\\u243{} et al., 2019)","plainCitation":"(Radziejewska and Stoyanova, 2000; Vanreusel et al., 2016; Simon-Lledó et al., 2019c; Simon‐Lledó et al., 2019)","noteIndex":0},"citationItems":[{"id":781,"uris":["http://zotero.org/groups/512020/items/5E5M8HRI"],"uri":["http://zotero.org/groups/512020/items/5E5M8HRI"],"itemData":{"id":781,"type":"article-journal","container-title":"Oceanological Studies","issue":"2","page":"83-101","title":"Abyssal epibenthic megafauna of the Clarion-Clipperton area (NE Pacific): changes in time and space versus anthropogenic environmental disturbance","volume":"29","author":[{"family":"Radziejewska","given":"Teresa"},{"family":"Stoyanova","given":"Valcana"}],"issued":{"date-parts":[["2000"]]}},"label":"page"},{"id":741,"uris":["http://zotero.org/groups/512020/items/5DHCXFTK"],"uri":["http://zotero.org/groups/512020/items/5DHCXFTK"],"itemData":{"id":741,"type":"article-journal","container-title":"Scientific Reports","DOI":"10.1038/srep26808","ISSN":"2045-2322","page":"26808","source":"CrossRef","title":"Threatened by mining, polymetallic nodules are required to preserve abyssal epifauna","volume":"6","author":[{"family":"Vanreusel","given":"Ann"},{"family":"Hilario","given":"Ana"},{"family":"Ribeiro","given":"Pedro A."},{"family":"Menot","given":"Lenaick"},{"family":"Arbizu","given":"Pedro Martínez"}],"issued":{"date-parts":[["2016",6,1]]}},"label":"page"},{"id":1700,"uris":["http://zotero.org/groups/512020/items/XM5FKBB4"],"uri":["http://zotero.org/groups/512020/items/XM5FKBB4"],"itemData":{"id":1700,"type":"article-journal","abstract":"We report on preliminary observations of the abyssal megafauna communities in the exclusive economic zone of Kiribati, a huge abyssal area with few previous studies. These observations also provide useful context for marine minerals exploration within the EEZ and for the neighbouring Clarion Clipperton Zone (CCZ), where deep-sea mining operations are planned. Seafloor images collected during seabed mining exploration were used to characterise megafaunal communities (fauna &gt; 1 cm) in three abyssal plain areas in the eastern Kiribati EEZ (study area extending from 1-5°N and 173-156°W). Additionally, hydrographic features in each of the survey locations were inferred by reference to near-seabed current flows modelled using open-sourced oceanographic data. The images showed a dominance of foraminiferal organisms. Metazoan communities were high in morphospecies richness but had low density. These general patterns were comparable to abyssal megabenthic communities in the CCZ. There was evidence of spatial variation between the assemblages in Kiribati, but there was a relatively large pool of shared morphospecies across the entire study area. Low metazoan density constrained detailed assessment of spatial variation and diversity at local scales. This finding is instructive of the levels of sampling effort required to determine spatial patterns in low density abyssal communities. The results of this study are preliminary observations that will be useful to guide future biological survey design and marine spatial planning strategies.","container-title":"Frontiers in Marine Science","DOI":"10.3389/fmars.2019.00605","ISSN":"2296-7745","journalAbbreviation":"Front. Mar. Sci.","language":"English","source":"Frontiers","title":"Preliminary Observations of the Abyssal Megafauna of Kiribati","URL":"https://www.frontiersin.org/articles/10.3389/fmars.2019.00605/full","volume":"6","author":[{"family":"Simon-Lledó","given":"Erik"},{"family":"Thompson","given":"Samuel"},{"family":"Yool","given":"Andrew"},{"family":"Flynn","given":"Adrian"},{"family":"Pomee","given":"Christina"},{"family":"Parianos","given":"John"},{"family":"Jones","given":"Daniel O. B."}],"accessed":{"date-parts":[["2019",10,31]]},"issued":{"date-parts":[["2019"]]}},"label":"page"},{"id":1581,"uris":["http://zotero.org/groups/512020/items/ANQLZWD4"],"uri":["http://zotero.org/groups/512020/items/ANQLZWD4"],"itemData":{"id":1581,"type":"article-journal","abstract":"Abyssal polymetallic nodule fields constitute an unusual deep-sea habitat. The mix of soft sediment and the hard substratum provided by nodules increases the complexity of these environments. Hard substrata typically support a very distinct fauna to that of seabed sediments, and its presence can play a major role in the structuring of benthic assemblages. We assessed the influence of seafloor nodule cover on the megabenthos of a marine conservation area (area of particular environmental interest 6) in the Clarion Clipperton Zone (3950–4250 m water depth) using extensive photographic surveys from an autonomous underwater vehicle. Variations in nodule cover (1–20%) appeared to exert statistically significant differences in faunal standing stocks, some biological diversity attributes, faunal composition, functional group composition, and the distribution of individual species. The standing stock of both the metazoan fauna and the giant protists (xenophyophores) doubled with a very modest initial increase in nodule cover (from 1% to 3%). Perhaps contrary to expectation, we detected little if any substantive variation in biological diversity along the nodule cover gradient. Faunal composition varied continuously along the nodule cover gradient. We discuss these results in the context of potential seabed-mining operations and the associated sustainable management and conservation plans. We note in particular that successful conservation actions will likely require the preservation of areas comprising the full range of nodule cover and not just the low cover areas that are least attractive to mining.","container-title":"Limnology and Oceanography","DOI":"10.1002/lno.11157","ISSN":"1939-5590","issue":"5","language":"en","source":"Wiley Online Library","title":"Ecology of a polymetallic nodule occurrence gradient: Implications for deep-sea mining","title-short":"Ecology of a polymetallic nodule occurrence gradient","URL":"https://aslopubs.onlinelibrary.wiley.com/doi/abs/10.1002/lno.11157","volume":"64","author":[{"family":"Simon‐Lledó","given":"Erik"},{"family":"Bett","given":"Brian J."},{"family":"Huvenne","given":"Veerle A. I."},{"family":"Schoening","given":"Timm"},{"family":"Benoist","given":"Noelie M. A."},{"family":"Jones","given":"Daniel O. B."}],"accessed":{"date-parts":[["2019",5,2]]},"issued":{"date-parts":[["2019"]]}},"label":"page"}],"schema":"https://github.com/citation-style-language/schema/raw/master/csl-citation.json"} </w:instrText>
      </w:r>
      <w:r>
        <w:rPr>
          <w:lang w:val="en-GB"/>
        </w:rPr>
        <w:fldChar w:fldCharType="separate"/>
      </w:r>
      <w:r w:rsidR="00A36890" w:rsidRPr="00A36890">
        <w:rPr>
          <w:rFonts w:cs="Times New Roman"/>
          <w:szCs w:val="24"/>
        </w:rPr>
        <w:t>(Radziejewska and Stoyanova, 2000; Vanreusel et al., 2016; Simon-Lledó et al., 2019c; Simon‐Lledó et al., 2019)</w:t>
      </w:r>
      <w:r>
        <w:rPr>
          <w:lang w:val="en-GB"/>
        </w:rPr>
        <w:fldChar w:fldCharType="end"/>
      </w:r>
      <w:r>
        <w:rPr>
          <w:lang w:val="en-GB"/>
        </w:rPr>
        <w:t xml:space="preserve"> found higher megafauna abundances in nodule-bearing compared to nodule-free areas. </w:t>
      </w:r>
      <w:r w:rsidR="007C7193">
        <w:rPr>
          <w:lang w:val="en-GB"/>
        </w:rPr>
        <w:t>Al</w:t>
      </w:r>
      <w:r>
        <w:rPr>
          <w:lang w:val="en-GB"/>
        </w:rPr>
        <w:t>t</w:t>
      </w:r>
      <w:r w:rsidR="007C7193">
        <w:rPr>
          <w:lang w:val="en-GB"/>
        </w:rPr>
        <w:t>hough statistically significant differences were found, the absolute values of</w:t>
      </w:r>
      <w:r>
        <w:rPr>
          <w:lang w:val="en-GB"/>
        </w:rPr>
        <w:t xml:space="preserve"> nodule coverage and bottom topography </w:t>
      </w:r>
      <w:r w:rsidR="007C7193">
        <w:rPr>
          <w:lang w:val="en-GB"/>
        </w:rPr>
        <w:t xml:space="preserve">assessed </w:t>
      </w:r>
      <w:r>
        <w:rPr>
          <w:lang w:val="en-GB"/>
        </w:rPr>
        <w:t xml:space="preserve">between the </w:t>
      </w:r>
      <w:r w:rsidR="006D28DC">
        <w:rPr>
          <w:lang w:val="en-GB"/>
        </w:rPr>
        <w:t>two</w:t>
      </w:r>
      <w:r>
        <w:rPr>
          <w:lang w:val="en-GB"/>
        </w:rPr>
        <w:t xml:space="preserve"> GSR sites </w:t>
      </w:r>
      <w:r w:rsidR="007C7193">
        <w:rPr>
          <w:lang w:val="en-GB"/>
        </w:rPr>
        <w:t>were not sufficient to expect major d</w:t>
      </w:r>
      <w:r>
        <w:rPr>
          <w:lang w:val="en-GB"/>
        </w:rPr>
        <w:t>iff</w:t>
      </w:r>
      <w:r w:rsidR="00CC0105">
        <w:rPr>
          <w:lang w:val="en-GB"/>
        </w:rPr>
        <w:t>erences in megafauna</w:t>
      </w:r>
      <w:r w:rsidR="000D0A97">
        <w:rPr>
          <w:lang w:val="en-GB"/>
        </w:rPr>
        <w:t>l</w:t>
      </w:r>
      <w:r w:rsidR="00CC0105">
        <w:rPr>
          <w:lang w:val="en-GB"/>
        </w:rPr>
        <w:t xml:space="preserve"> </w:t>
      </w:r>
      <w:r w:rsidR="007C7193">
        <w:rPr>
          <w:lang w:val="en-GB"/>
        </w:rPr>
        <w:t>density</w:t>
      </w:r>
      <w:r w:rsidR="00CC0105">
        <w:rPr>
          <w:lang w:val="en-GB"/>
        </w:rPr>
        <w:t>.</w:t>
      </w:r>
    </w:p>
    <w:p w14:paraId="60263145" w14:textId="46266BE1" w:rsidR="00CD5585" w:rsidRPr="00C106E2" w:rsidRDefault="00BD5EE3" w:rsidP="006601C6">
      <w:pPr>
        <w:pStyle w:val="Kop2"/>
      </w:pPr>
      <w:r>
        <w:t>M</w:t>
      </w:r>
      <w:r w:rsidR="00F82B46" w:rsidRPr="00C106E2">
        <w:t>egafauna community composition</w:t>
      </w:r>
      <w:r w:rsidR="00CD5585" w:rsidRPr="00C106E2">
        <w:t xml:space="preserve"> </w:t>
      </w:r>
    </w:p>
    <w:p w14:paraId="55AFDC6D" w14:textId="133E3318" w:rsidR="00E52A8E" w:rsidRDefault="00E52A8E" w:rsidP="00F82B46">
      <w:pPr>
        <w:rPr>
          <w:lang w:val="en-GB"/>
        </w:rPr>
      </w:pPr>
      <w:r>
        <w:rPr>
          <w:lang w:val="en-GB"/>
        </w:rPr>
        <w:t>T</w:t>
      </w:r>
      <w:r w:rsidRPr="00E86891">
        <w:rPr>
          <w:lang w:val="en-GB"/>
        </w:rPr>
        <w:t xml:space="preserve">he total number of </w:t>
      </w:r>
      <w:r>
        <w:rPr>
          <w:lang w:val="en-GB"/>
        </w:rPr>
        <w:t xml:space="preserve">megafaunal </w:t>
      </w:r>
      <w:r w:rsidRPr="00E86891">
        <w:rPr>
          <w:lang w:val="en-GB"/>
        </w:rPr>
        <w:t xml:space="preserve">morphotypes (taxa) detected for the two GSR sites, </w:t>
      </w:r>
      <w:r w:rsidRPr="00C15926">
        <w:rPr>
          <w:i/>
          <w:lang w:val="en-GB"/>
        </w:rPr>
        <w:t>i.e.</w:t>
      </w:r>
      <w:r w:rsidRPr="00E86891">
        <w:rPr>
          <w:lang w:val="en-GB"/>
        </w:rPr>
        <w:t xml:space="preserve"> 41, was considerably lower than the numbers reported by other studies in the nodule-bearing Pacific</w:t>
      </w:r>
      <w:r>
        <w:rPr>
          <w:lang w:val="en-GB"/>
        </w:rPr>
        <w:t xml:space="preserve"> (Table 2)</w:t>
      </w:r>
      <w:r w:rsidRPr="00E86891">
        <w:rPr>
          <w:lang w:val="en-GB"/>
        </w:rPr>
        <w:t xml:space="preserve">. This </w:t>
      </w:r>
      <w:r>
        <w:rPr>
          <w:lang w:val="en-GB"/>
        </w:rPr>
        <w:t xml:space="preserve">difference in morphotype richness </w:t>
      </w:r>
      <w:r w:rsidRPr="00E86891">
        <w:rPr>
          <w:lang w:val="en-GB"/>
        </w:rPr>
        <w:t xml:space="preserve">is probably related to </w:t>
      </w:r>
      <w:r>
        <w:rPr>
          <w:lang w:val="en-GB"/>
        </w:rPr>
        <w:t>differences in the seabed</w:t>
      </w:r>
      <w:r w:rsidRPr="00E86891">
        <w:rPr>
          <w:lang w:val="en-GB"/>
        </w:rPr>
        <w:t xml:space="preserve"> area </w:t>
      </w:r>
      <w:r>
        <w:rPr>
          <w:lang w:val="en-GB"/>
        </w:rPr>
        <w:t>encompassed</w:t>
      </w:r>
      <w:r w:rsidRPr="00E86891">
        <w:rPr>
          <w:lang w:val="en-GB"/>
        </w:rPr>
        <w:t xml:space="preserve">, </w:t>
      </w:r>
      <w:r>
        <w:rPr>
          <w:lang w:val="en-GB"/>
        </w:rPr>
        <w:t xml:space="preserve">and the </w:t>
      </w:r>
      <w:r w:rsidRPr="00E86891">
        <w:rPr>
          <w:lang w:val="en-GB"/>
        </w:rPr>
        <w:t>relatively high camera altitude (and thus certain, smaller t</w:t>
      </w:r>
      <w:r>
        <w:rPr>
          <w:lang w:val="en-GB"/>
        </w:rPr>
        <w:t xml:space="preserve">axa may have not been </w:t>
      </w:r>
      <w:r>
        <w:rPr>
          <w:lang w:val="en-GB"/>
        </w:rPr>
        <w:lastRenderedPageBreak/>
        <w:t>captured) in the current study (Table 2).</w:t>
      </w:r>
      <w:r w:rsidRPr="00E86891">
        <w:rPr>
          <w:lang w:val="en-GB"/>
        </w:rPr>
        <w:t xml:space="preserve"> </w:t>
      </w:r>
      <w:r>
        <w:rPr>
          <w:lang w:val="en-GB"/>
        </w:rPr>
        <w:t xml:space="preserve">Moreover, </w:t>
      </w:r>
      <w:r w:rsidRPr="00E86891">
        <w:rPr>
          <w:lang w:val="en-GB"/>
        </w:rPr>
        <w:t>only two sites, which were highly comparable in terms of depth, nodule coverage and topography, were investigated here.</w:t>
      </w:r>
    </w:p>
    <w:p w14:paraId="65494AF9" w14:textId="788C35AD" w:rsidR="00EB18E7" w:rsidRDefault="00F82B46" w:rsidP="00F82B46">
      <w:pPr>
        <w:rPr>
          <w:lang w:val="en-GB"/>
        </w:rPr>
      </w:pPr>
      <w:r w:rsidRPr="00F82B46">
        <w:rPr>
          <w:lang w:val="en-GB"/>
        </w:rPr>
        <w:t>In the current study</w:t>
      </w:r>
      <w:r w:rsidR="00EB18E7">
        <w:rPr>
          <w:lang w:val="en-GB"/>
        </w:rPr>
        <w:t>,</w:t>
      </w:r>
      <w:r w:rsidRPr="00F82B46">
        <w:rPr>
          <w:lang w:val="en-GB"/>
        </w:rPr>
        <w:t xml:space="preserve"> representatives of </w:t>
      </w:r>
      <w:r w:rsidR="00C937C7">
        <w:rPr>
          <w:lang w:val="en-GB"/>
        </w:rPr>
        <w:t>8</w:t>
      </w:r>
      <w:r w:rsidRPr="00F82B46">
        <w:rPr>
          <w:lang w:val="en-GB"/>
        </w:rPr>
        <w:t xml:space="preserve"> metazoan phyla were recorded in decreasing order of importance </w:t>
      </w:r>
      <w:r w:rsidRPr="009E3B8E">
        <w:rPr>
          <w:lang w:val="en-GB"/>
        </w:rPr>
        <w:t>Echinodermata, Cnidaria, Polychaeta, Porifera, Arthropoda, Chordata,</w:t>
      </w:r>
      <w:r w:rsidR="00C937C7">
        <w:rPr>
          <w:lang w:val="en-GB"/>
        </w:rPr>
        <w:t xml:space="preserve"> Mollusca and</w:t>
      </w:r>
      <w:r w:rsidRPr="009E3B8E">
        <w:rPr>
          <w:lang w:val="en-GB"/>
        </w:rPr>
        <w:t xml:space="preserve"> Ctenophora.</w:t>
      </w:r>
      <w:r w:rsidRPr="00F82B46">
        <w:rPr>
          <w:lang w:val="en-GB"/>
        </w:rPr>
        <w:t xml:space="preserve"> They include both sessile and mobile taxa representing a mixture of traits and functional groups such as detritivores, suspension</w:t>
      </w:r>
      <w:r w:rsidR="00DA4DE8" w:rsidRPr="00F82B46">
        <w:rPr>
          <w:lang w:val="en-GB"/>
        </w:rPr>
        <w:t>- and</w:t>
      </w:r>
      <w:r w:rsidRPr="00F82B46">
        <w:rPr>
          <w:lang w:val="en-GB"/>
        </w:rPr>
        <w:t xml:space="preserve"> filter feeders and carnivores. </w:t>
      </w:r>
      <w:r w:rsidR="007C7193">
        <w:rPr>
          <w:lang w:val="en-GB"/>
        </w:rPr>
        <w:t>T</w:t>
      </w:r>
      <w:r w:rsidRPr="00F82B46">
        <w:rPr>
          <w:lang w:val="en-GB"/>
        </w:rPr>
        <w:t>he echinoderms</w:t>
      </w:r>
      <w:r w:rsidR="007C7193">
        <w:rPr>
          <w:lang w:val="en-GB"/>
        </w:rPr>
        <w:t>, including</w:t>
      </w:r>
      <w:r w:rsidRPr="00F82B46">
        <w:rPr>
          <w:lang w:val="en-GB"/>
        </w:rPr>
        <w:t xml:space="preserve"> asteroids, echinoids, ophiuroids and holothuroids, are </w:t>
      </w:r>
      <w:r w:rsidR="007C7193">
        <w:rPr>
          <w:lang w:val="en-GB"/>
        </w:rPr>
        <w:t xml:space="preserve">particularly </w:t>
      </w:r>
      <w:r w:rsidRPr="00F82B46">
        <w:rPr>
          <w:lang w:val="en-GB"/>
        </w:rPr>
        <w:t>well rep</w:t>
      </w:r>
      <w:r w:rsidR="00150554">
        <w:rPr>
          <w:lang w:val="en-GB"/>
        </w:rPr>
        <w:t xml:space="preserve">resented in terms of densities </w:t>
      </w:r>
      <w:r w:rsidRPr="00F82B46">
        <w:rPr>
          <w:lang w:val="en-GB"/>
        </w:rPr>
        <w:t xml:space="preserve">and structural and functional biodiversity compared to the other groups. </w:t>
      </w:r>
      <w:r w:rsidR="00150554">
        <w:rPr>
          <w:lang w:val="en-GB"/>
        </w:rPr>
        <w:t>Together they represent almost 7</w:t>
      </w:r>
      <w:r w:rsidRPr="00F82B46">
        <w:rPr>
          <w:lang w:val="en-GB"/>
        </w:rPr>
        <w:t xml:space="preserve">0% of the communities </w:t>
      </w:r>
      <w:r w:rsidR="00606851">
        <w:rPr>
          <w:lang w:val="en-GB"/>
        </w:rPr>
        <w:t>and</w:t>
      </w:r>
      <w:r w:rsidR="00606851" w:rsidRPr="00F82B46">
        <w:rPr>
          <w:lang w:val="en-GB"/>
        </w:rPr>
        <w:t xml:space="preserve"> </w:t>
      </w:r>
      <w:r w:rsidRPr="00F82B46">
        <w:rPr>
          <w:lang w:val="en-GB"/>
        </w:rPr>
        <w:t xml:space="preserve">their </w:t>
      </w:r>
      <w:r w:rsidR="00013859" w:rsidRPr="00F82B46">
        <w:rPr>
          <w:lang w:val="en-GB"/>
        </w:rPr>
        <w:t>morpho</w:t>
      </w:r>
      <w:r w:rsidR="00013859">
        <w:rPr>
          <w:lang w:val="en-GB"/>
        </w:rPr>
        <w:t>type</w:t>
      </w:r>
      <w:r w:rsidR="00013859" w:rsidRPr="00F82B46">
        <w:rPr>
          <w:lang w:val="en-GB"/>
        </w:rPr>
        <w:t xml:space="preserve"> </w:t>
      </w:r>
      <w:r w:rsidRPr="00F82B46">
        <w:rPr>
          <w:lang w:val="en-GB"/>
        </w:rPr>
        <w:t>richness lies higher than any other gr</w:t>
      </w:r>
      <w:r w:rsidR="00EB18E7">
        <w:rPr>
          <w:lang w:val="en-GB"/>
        </w:rPr>
        <w:t>oup observed in the study area.</w:t>
      </w:r>
    </w:p>
    <w:p w14:paraId="469221EA" w14:textId="2C0ED50C" w:rsidR="00EB18E7" w:rsidRPr="00F82B46" w:rsidRDefault="00EB18E7" w:rsidP="00EB18E7">
      <w:pPr>
        <w:rPr>
          <w:lang w:val="en-GB"/>
        </w:rPr>
      </w:pPr>
      <w:r w:rsidRPr="00F82B46">
        <w:rPr>
          <w:lang w:val="en-GB"/>
        </w:rPr>
        <w:t xml:space="preserve">The two areas that were compared in this study </w:t>
      </w:r>
      <w:r>
        <w:rPr>
          <w:lang w:val="en-GB"/>
        </w:rPr>
        <w:t>(</w:t>
      </w:r>
      <w:r w:rsidRPr="00F82B46">
        <w:rPr>
          <w:lang w:val="en-GB"/>
        </w:rPr>
        <w:t>B6S</w:t>
      </w:r>
      <w:r>
        <w:rPr>
          <w:lang w:val="en-GB"/>
        </w:rPr>
        <w:t>02</w:t>
      </w:r>
      <w:r w:rsidRPr="00F82B46">
        <w:rPr>
          <w:lang w:val="en-GB"/>
        </w:rPr>
        <w:t xml:space="preserve"> and B4S</w:t>
      </w:r>
      <w:r>
        <w:rPr>
          <w:lang w:val="en-GB"/>
        </w:rPr>
        <w:t>03)</w:t>
      </w:r>
      <w:r w:rsidRPr="00F82B46">
        <w:rPr>
          <w:lang w:val="en-GB"/>
        </w:rPr>
        <w:t xml:space="preserve"> are significantly different in nodule </w:t>
      </w:r>
      <w:r>
        <w:rPr>
          <w:lang w:val="en-GB"/>
        </w:rPr>
        <w:t>coverage</w:t>
      </w:r>
      <w:r w:rsidRPr="00F82B46">
        <w:rPr>
          <w:lang w:val="en-GB"/>
        </w:rPr>
        <w:t xml:space="preserve"> and megafauna composition. However</w:t>
      </w:r>
      <w:r>
        <w:rPr>
          <w:lang w:val="en-GB"/>
        </w:rPr>
        <w:t>, both areas were overall nodule-</w:t>
      </w:r>
      <w:r w:rsidRPr="00F82B46">
        <w:rPr>
          <w:lang w:val="en-GB"/>
        </w:rPr>
        <w:t>rich and differences in both nodules and communities are not prominent. The higher nodule abundance in B4S</w:t>
      </w:r>
      <w:r>
        <w:rPr>
          <w:lang w:val="en-GB"/>
        </w:rPr>
        <w:t>03</w:t>
      </w:r>
      <w:r w:rsidRPr="00F82B46">
        <w:rPr>
          <w:lang w:val="en-GB"/>
        </w:rPr>
        <w:t xml:space="preserve"> coincided with slightly higher abundances in Actinaria</w:t>
      </w:r>
      <w:r w:rsidR="006E31A6">
        <w:rPr>
          <w:lang w:val="en-GB"/>
        </w:rPr>
        <w:t xml:space="preserve"> </w:t>
      </w:r>
      <w:r w:rsidR="006E31A6" w:rsidRPr="0016473F">
        <w:rPr>
          <w:i/>
          <w:lang w:val="en-GB"/>
        </w:rPr>
        <w:t>mtps</w:t>
      </w:r>
      <w:r w:rsidRPr="00F82B46">
        <w:rPr>
          <w:lang w:val="en-GB"/>
        </w:rPr>
        <w:t xml:space="preserve"> but also of Aspidodiadematidae</w:t>
      </w:r>
      <w:r w:rsidR="006E31A6">
        <w:rPr>
          <w:lang w:val="en-GB"/>
        </w:rPr>
        <w:t xml:space="preserve"> </w:t>
      </w:r>
      <w:r w:rsidR="006E31A6" w:rsidRPr="0016473F">
        <w:rPr>
          <w:i/>
          <w:lang w:val="en-GB"/>
        </w:rPr>
        <w:t>mtps</w:t>
      </w:r>
      <w:r w:rsidRPr="00F82B46">
        <w:rPr>
          <w:lang w:val="en-GB"/>
        </w:rPr>
        <w:t>, a dominant echinoid family, whereas B6S</w:t>
      </w:r>
      <w:r>
        <w:rPr>
          <w:lang w:val="en-GB"/>
        </w:rPr>
        <w:t>02</w:t>
      </w:r>
      <w:r w:rsidRPr="00F82B46">
        <w:rPr>
          <w:lang w:val="en-GB"/>
        </w:rPr>
        <w:t xml:space="preserve"> is differentiated by slightly higher abundances of </w:t>
      </w:r>
      <w:r w:rsidR="006E31A6">
        <w:rPr>
          <w:lang w:val="en-GB"/>
        </w:rPr>
        <w:t>O</w:t>
      </w:r>
      <w:r w:rsidRPr="00F82B46">
        <w:rPr>
          <w:lang w:val="en-GB"/>
        </w:rPr>
        <w:t>phiuroid</w:t>
      </w:r>
      <w:r w:rsidR="006E31A6">
        <w:rPr>
          <w:lang w:val="en-GB"/>
        </w:rPr>
        <w:t xml:space="preserve">ea </w:t>
      </w:r>
      <w:r w:rsidR="006E31A6" w:rsidRPr="0016473F">
        <w:rPr>
          <w:i/>
          <w:lang w:val="en-GB"/>
        </w:rPr>
        <w:t>mtps</w:t>
      </w:r>
      <w:r w:rsidRPr="00F82B46">
        <w:rPr>
          <w:lang w:val="en-GB"/>
        </w:rPr>
        <w:t xml:space="preserve">, polychaetes but also of sponges. The local </w:t>
      </w:r>
      <w:r>
        <w:rPr>
          <w:lang w:val="en-GB"/>
        </w:rPr>
        <w:t xml:space="preserve">habitat </w:t>
      </w:r>
      <w:r w:rsidRPr="00F82B46">
        <w:rPr>
          <w:lang w:val="en-GB"/>
        </w:rPr>
        <w:t xml:space="preserve">patchiness in each area </w:t>
      </w:r>
      <w:r>
        <w:rPr>
          <w:lang w:val="en-GB"/>
        </w:rPr>
        <w:t>was</w:t>
      </w:r>
      <w:r w:rsidRPr="00F82B46">
        <w:rPr>
          <w:lang w:val="en-GB"/>
        </w:rPr>
        <w:t xml:space="preserve"> not </w:t>
      </w:r>
      <w:r>
        <w:rPr>
          <w:lang w:val="en-GB"/>
        </w:rPr>
        <w:t>mapped, but is expected to contribute</w:t>
      </w:r>
      <w:r w:rsidRPr="00F82B46">
        <w:rPr>
          <w:lang w:val="en-GB"/>
        </w:rPr>
        <w:t xml:space="preserve"> significant</w:t>
      </w:r>
      <w:r>
        <w:rPr>
          <w:lang w:val="en-GB"/>
        </w:rPr>
        <w:t>ly</w:t>
      </w:r>
      <w:r w:rsidRPr="00F82B46">
        <w:rPr>
          <w:lang w:val="en-GB"/>
        </w:rPr>
        <w:t xml:space="preserve"> to the distribution of those taxa, which is not investigated here.</w:t>
      </w:r>
    </w:p>
    <w:p w14:paraId="555DCF98" w14:textId="025D5763" w:rsidR="00F82B46" w:rsidRPr="00F82B46" w:rsidRDefault="00F82B46" w:rsidP="00F82B46">
      <w:pPr>
        <w:rPr>
          <w:lang w:val="en-GB"/>
        </w:rPr>
      </w:pPr>
      <w:r w:rsidRPr="00F82B46">
        <w:rPr>
          <w:lang w:val="en-GB"/>
        </w:rPr>
        <w:t xml:space="preserve">Echinoderms </w:t>
      </w:r>
      <w:r w:rsidR="00EB18E7">
        <w:rPr>
          <w:lang w:val="en-GB"/>
        </w:rPr>
        <w:t>were abundant at the GSR area, as is typical in other Pacific studies where they dominate the larger megafauna</w:t>
      </w:r>
      <w:r w:rsidR="00F46FEC">
        <w:rPr>
          <w:lang w:val="en-GB"/>
        </w:rPr>
        <w:t xml:space="preserve"> </w:t>
      </w:r>
      <w:r w:rsidR="00E41EAB">
        <w:rPr>
          <w:lang w:val="en-GB"/>
        </w:rPr>
        <w:fldChar w:fldCharType="begin"/>
      </w:r>
      <w:r w:rsidR="00374BE8">
        <w:rPr>
          <w:lang w:val="en-GB"/>
        </w:rPr>
        <w:instrText xml:space="preserve"> ADDIN ZOTERO_ITEM CSL_CITATION {"citationID":"tODcz6w4","properties":{"formattedCitation":"(Morgan et al., 1993; Ruhl, 2007; Smith et al., 2008; Simon-Lled\\uc0\\u243{} et al., 2019a)","plainCitation":"(Morgan et al., 1993; Ruhl, 2007; Smith et al., 2008; Simon-Lledó et al., 2019a)","noteIndex":0},"citationItems":[{"id":462,"uris":["http://zotero.org/groups/512020/items/75BZ6CF3"],"uri":["http://zotero.org/groups/512020/items/75BZ6CF3"],"itemData":{"id":462,"type":"article-journal","container-title":"Marine Georesources &amp; Geotechnology","DOI":"10.1080/10641199309379903","ISSN":"1064-119X, 1521-0618","issue":"1","language":"en","page":"1-25","source":"CrossRef","title":"Preliminary analysis of exploration data from Pacific deposits of manganese nodules","volume":"11","author":[{"family":"Morgan","given":"Charles L."},{"family":"Nichols","given":"Jean A."},{"family":"Selk","given":"Bruce W."},{"family":"Toth","given":"John R."},{"family":"Wallin","given":"Charles"}],"issued":{"date-parts":[["1993",1]]}},"label":"page"},{"id":1963,"uris":["http://zotero.org/users/2924329/items/K9C2V2CN"],"uri":["http://zotero.org/users/2924329/items/K9C2V2CN"],"itemData":{"id":1963,"type":"article-journal","abstract":"The importance of interannual variation in deep-sea abundances is now becoming recognized. There is, however, relatively little known about what processes dominate the observed fluctuations. The abundance and size distribution of the megabenthos have been examined here using a towed camera system at a deep-sea station in the northeast Pacific (Station M) from 1989 to 2004. This 16-year study included 52 roughly seasonal transects averaging 1.2 km in length with over 35 600 photographic frames analyzed. Mobile epibenthic megafauna at 4100 m depth have exhibited interannual scale changes in abundance from one to three orders of magnitude. Increases in abundance have now been significantly linked to decreases in mean body size, suggesting that accruals in abundance probably result from the recruitment of young individuals. Examinations of size-frequency histograms indicate several possible recruitment events. Shifts in size-frequency distributions were also used to make basic estimations of individual growth rates from 1 to 6 mm/month, depending on the taxon. Regional intensification in reproduction followed by recruitment within the study area could explain the majority of observed accruals in abundance. Although some adult migration is certainly probable in accounting for local variation in abundances, the slow movements of benthic life stages restrict regional migrations for most taxa. Negative competitive interactions and survivorship may explain the precipitous declines of some taxa. This and other studies have shown that abundances from protozoans to large benthic invertebrates and fishes all have undergone significant fluctuations in abundance at Station M over periods of weeks to years.","container-title":"Ecology","DOI":"10.1890/06-0890","ISSN":"1939-9170","issue":"5","language":"en","note":"_eprint: https://esajournals.onlinelibrary.wiley.com/doi/pdf/10.1890/06-0890","page":"1250-1262","source":"Wiley Online Library","title":"Abundance and Size Distribution Dynamics of Abyssal Epibenthic Megafauna in the Northeast Pacific","volume":"88","author":[{"family":"Ruhl","given":"Henry A."}],"issued":{"date-parts":[["2007"]]}},"label":"page"},{"id":"ZQeM7Wy2/Zk2hxT40","uris":["http://zotero.org/users/1851394/items/8ZTV89S7"],"uri":["http://zotero.org/users/1851394/items/8ZTV89S7"],"itemData":{"id":"mtOO3Juj/gbZCV2km","type":"article-journal","title":"Abyssal food limitation, ecosystem structure and climate change","container-title":"Trends in Ecology &amp; Evolution","page":"518-528","volume":"23","issue":"9","source":"ScienceDirect","abstract":"The abyssal seafloor covers more than 50% of the Earth and is postulated to be both a reservoir of biodiversity and a source of important ecosystem services. We show that ecosystem structure and function in the abyss are strongly modulated by the quantity and quality of detrital food material sinking from the surface ocean. Climate change and human activities (e.g. successful ocean fertilization) will alter patterns of sinking food flux to the deep ocean, substantially impacting the structure, function and biodiversity of abyssal ecosystems. Abyssal ecosystem response thus must be considered in assessments of the environmental impacts of global warming and ocean fertilization.","DOI":"10.1016/j.tree.2008.05.002","ISSN":"0169-5347","journalAbbreviation":"Trends in Ecology &amp; Evolution","author":[{"family":"Smith","given":"Craig R."},{"family":"De Leo","given":"Fabio C."},{"family":"Bernardino","given":"Angelo F."},{"family":"Sweetman","given":"Andrew K."},{"family":"Arbizu","given":"Pedro Martinez"}],"issued":{"date-parts":[["2008",9,1]]}}},{"id":1942,"uris":["http://zotero.org/users/2924329/items/FVSVS6L8"],"uri":["http://zotero.org/users/2924329/items/FVSVS6L8"],"itemData":{"id":1942,"type":"article-journal","abstract":"The potential for imminent abyssal polymetallic nodule exploitation has raised considerable scientific attention. The interface between the targeted nodule resource and sediment in this unusual mosaic habitat promotes the development of some of the most biologically diverse communities in the abyss. However, the ecology of these remote ecosystems is still poorly understood, so it is unclear to what extent and timescale these ecosystems will be affected by, and could recover from, mining disturbance. Using data inferred from seafloor photo-mosaics, we show that the effects of simulated mining impacts, induced during the “DISturbance and reCOLonization experiment” (DISCOL) conducted in 1989, were still evident in the megabenthos of the Peru Basin after 26 years. Suspension-feeder presence remained significantly reduced in disturbed areas, while deposit-feeders showed no diminished presence in disturbed areas, for the first time since the experiment began. Nevertheless, we found significantly lower heterogeneity diversity in disturbed areas and markedly distinct faunal compositions along different disturbance levels. If the results of this experiment at DISCOL can be extrapolated to the Clarion-Clipperton Zone, the impacts of polymetallic nodule mining there may be greater than expected, and could potentially lead to an irreversible loss of some ecosystem functions, especially in directly disturbed areas.","container-title":"Scientific Reports","DOI":"10.1038/s41598-019-44492-w","ISSN":"2045-2322","issue":"1","journalAbbreviation":"Sci Rep","language":"en","note":"number: 1\npublisher: Nature Publishing Group","page":"1-13","source":"www.nature.com","title":"Biological effects 26 years after simulated deep-sea mining","volume":"9","author":[{"family":"Simon-Lledó","given":"Erik"},{"family":"Bett","given":"Brian J."},{"family":"Huvenne","given":"Veerle A. I."},{"family":"Köser","given":"Kevin"},{"family":"Schoening","given":"Timm"},{"family":"Greinert","given":"Jens"},{"family":"Jones","given":"Daniel O. B."}],"issued":{"date-parts":[["2019",5,29]]}}}],"schema":"https://github.com/citation-style-language/schema/raw/master/csl-citation.json"} </w:instrText>
      </w:r>
      <w:r w:rsidR="00E41EAB">
        <w:rPr>
          <w:lang w:val="en-GB"/>
        </w:rPr>
        <w:fldChar w:fldCharType="separate"/>
      </w:r>
      <w:r w:rsidR="007C7193" w:rsidRPr="007C7193">
        <w:rPr>
          <w:rFonts w:cs="Times New Roman"/>
          <w:szCs w:val="24"/>
        </w:rPr>
        <w:t>(Morgan et al., 1993; Ruhl, 2007; Smith et al., 2008; Simon-Lledó et al., 2019a)</w:t>
      </w:r>
      <w:r w:rsidR="00E41EAB">
        <w:rPr>
          <w:lang w:val="en-GB"/>
        </w:rPr>
        <w:fldChar w:fldCharType="end"/>
      </w:r>
      <w:r w:rsidRPr="005E2741">
        <w:t xml:space="preserve">. </w:t>
      </w:r>
      <w:r w:rsidR="00EB18E7">
        <w:rPr>
          <w:lang w:val="en-GB"/>
        </w:rPr>
        <w:t>I</w:t>
      </w:r>
      <w:r w:rsidR="00EB18E7" w:rsidRPr="00F82B46">
        <w:rPr>
          <w:lang w:val="en-GB"/>
        </w:rPr>
        <w:t>n the UK</w:t>
      </w:r>
      <w:r w:rsidR="00061A63">
        <w:rPr>
          <w:lang w:val="en-GB"/>
        </w:rPr>
        <w:t>-</w:t>
      </w:r>
      <w:r w:rsidR="00EB18E7" w:rsidRPr="00F82B46">
        <w:rPr>
          <w:lang w:val="en-GB"/>
        </w:rPr>
        <w:t>1 exploration contract</w:t>
      </w:r>
      <w:r w:rsidR="00EB18E7">
        <w:rPr>
          <w:lang w:val="en-GB"/>
        </w:rPr>
        <w:t xml:space="preserve"> area just east of the GSR area,</w:t>
      </w:r>
      <w:r w:rsidR="00ED4FF5">
        <w:rPr>
          <w:lang w:val="en-GB"/>
        </w:rPr>
        <w:t xml:space="preserve"> </w:t>
      </w:r>
      <w:r w:rsidR="00EE5F70">
        <w:rPr>
          <w:lang w:val="en-GB"/>
        </w:rPr>
        <w:fldChar w:fldCharType="begin"/>
      </w:r>
      <w:r w:rsidR="00903C8C">
        <w:rPr>
          <w:lang w:val="en-GB"/>
        </w:rPr>
        <w:instrText xml:space="preserve"> ADDIN ZOTERO_ITEM CSL_CITATION {"citationID":"oyZQ5cbb","properties":{"formattedCitation":"(Amon et al., 2016)","plainCitation":"(Amon et al., 2016)","noteIndex":0},"citationItems":[{"id":734,"uris":["http://zotero.org/groups/512020/items/HVVC9STZ"],"uri":["http://zotero.org/groups/512020/items/HVVC9STZ"],"itemData":{"id":734,"type":"article-journal","call-number":"EP-A","container-title":"Scientific Reports","DOI":"10.1038/srep30492","ISSN":"2045-2322","page":"30492","source":"CrossRef","title":"Insights into the abundance and diversity of abyssal megafauna in a polymetallic-nodule region in the eastern Clarion-Clipperton Zone","volume":"6","author":[{"family":"Amon","given":"Diva J."},{"family":"Ziegler","given":"Amanda F."},{"family":"Dahlgren","given":"Thomas G."},{"family":"Glover","given":"Adrian G."},{"family":"Goineau","given":"Aurélie"},{"family":"Gooday","given":"Andrew J."},{"family":"Wiklund","given":"Helena"},{"family":"Smith","given":"Craig R."}],"issued":{"date-parts":[["2016",7,29]]}}}],"schema":"https://github.com/citation-style-language/schema/raw/master/csl-citation.json"} </w:instrText>
      </w:r>
      <w:r w:rsidR="00EE5F70">
        <w:rPr>
          <w:lang w:val="en-GB"/>
        </w:rPr>
        <w:fldChar w:fldCharType="separate"/>
      </w:r>
      <w:r w:rsidR="00903C8C" w:rsidRPr="00903C8C">
        <w:rPr>
          <w:rFonts w:cs="Times New Roman"/>
        </w:rPr>
        <w:t>(Amon et al., 2016)</w:t>
      </w:r>
      <w:r w:rsidR="00EE5F70">
        <w:rPr>
          <w:lang w:val="en-GB"/>
        </w:rPr>
        <w:fldChar w:fldCharType="end"/>
      </w:r>
      <w:r w:rsidRPr="00F82B46">
        <w:rPr>
          <w:lang w:val="en-GB"/>
        </w:rPr>
        <w:t xml:space="preserve"> echinoderms </w:t>
      </w:r>
      <w:r w:rsidR="00ED4FF5">
        <w:rPr>
          <w:lang w:val="en-GB"/>
        </w:rPr>
        <w:t xml:space="preserve">were well-represented </w:t>
      </w:r>
      <w:r w:rsidRPr="00F82B46">
        <w:rPr>
          <w:lang w:val="en-GB"/>
        </w:rPr>
        <w:t>(</w:t>
      </w:r>
      <w:r w:rsidR="00903C8C" w:rsidRPr="00F82B46">
        <w:rPr>
          <w:lang w:val="en-GB"/>
        </w:rPr>
        <w:t>0.30 ind/m²</w:t>
      </w:r>
      <w:r w:rsidR="00903C8C">
        <w:rPr>
          <w:lang w:val="en-GB"/>
        </w:rPr>
        <w:t xml:space="preserve">; </w:t>
      </w:r>
      <w:r w:rsidR="00ED4FF5">
        <w:rPr>
          <w:lang w:val="en-GB"/>
        </w:rPr>
        <w:t>20.3% of the total abundance</w:t>
      </w:r>
      <w:r w:rsidRPr="00F82B46">
        <w:rPr>
          <w:lang w:val="en-GB"/>
        </w:rPr>
        <w:t>)</w:t>
      </w:r>
      <w:r w:rsidR="00C7052C">
        <w:rPr>
          <w:lang w:val="en-GB"/>
        </w:rPr>
        <w:t>,</w:t>
      </w:r>
      <w:r w:rsidRPr="00F82B46">
        <w:rPr>
          <w:lang w:val="en-GB"/>
        </w:rPr>
        <w:t xml:space="preserve"> although cnidarians were overall slightly more abundant as a taxon (</w:t>
      </w:r>
      <w:r w:rsidR="00903C8C" w:rsidRPr="00F82B46">
        <w:rPr>
          <w:lang w:val="en-GB"/>
        </w:rPr>
        <w:t>0.33 ind/m²</w:t>
      </w:r>
      <w:r w:rsidR="00903C8C">
        <w:rPr>
          <w:lang w:val="en-GB"/>
        </w:rPr>
        <w:t xml:space="preserve">; </w:t>
      </w:r>
      <w:r w:rsidR="00ED4FF5">
        <w:rPr>
          <w:lang w:val="en-GB"/>
        </w:rPr>
        <w:t>22.3% of the total abundance</w:t>
      </w:r>
      <w:r w:rsidRPr="00F82B46">
        <w:rPr>
          <w:lang w:val="en-GB"/>
        </w:rPr>
        <w:t xml:space="preserve">). Similarly Tilot </w:t>
      </w:r>
      <w:r w:rsidRPr="00ED427D">
        <w:rPr>
          <w:i/>
          <w:lang w:val="en-GB"/>
        </w:rPr>
        <w:t>et al</w:t>
      </w:r>
      <w:r w:rsidR="00ED427D" w:rsidRPr="00ED427D">
        <w:rPr>
          <w:i/>
          <w:lang w:val="en-GB"/>
        </w:rPr>
        <w:t>.</w:t>
      </w:r>
      <w:r w:rsidRPr="00F82B46">
        <w:rPr>
          <w:lang w:val="en-GB"/>
        </w:rPr>
        <w:t xml:space="preserve"> </w:t>
      </w:r>
      <w:r w:rsidR="00ED427D">
        <w:rPr>
          <w:lang w:val="en-GB"/>
        </w:rPr>
        <w:fldChar w:fldCharType="begin"/>
      </w:r>
      <w:r w:rsidR="00ED427D">
        <w:rPr>
          <w:lang w:val="en-GB"/>
        </w:rPr>
        <w:instrText xml:space="preserve"> ADDIN ZOTERO_ITEM CSL_CITATION {"citationID":"g9FzdyyF","properties":{"formattedCitation":"(2018)","plainCitation":"(2018)","noteIndex":0},"citationItems":[{"id":623,"uris":["http://zotero.org/groups/512020/items/VMI6RP3X"],"uri":["http://zotero.org/groups/512020/items/VMI6RP3X"],"itemData":{"id":623,"type":"article-journal","abstract":"We present here the results of a comprehensive UNESCO/IOC baseline study of the megafaunal assemblages of the metallic nodule ecosystem of 5 areas within the Clarion Clipperton Fracture Zone (CCFZ) of the eastern Pacific Ocean. The work was undertaken with a view to interpreting the structure of the epifaunal populations associated with the benthic biotopes being targeted for mining and developing an appropriate set of management tools and options. The general characteristics of the nodule ecosystem and its sensitivity to deep-sea mining are discussed in relation to water masses, ocean circulation from the surface to the seabed, the nepheloid layer and processes taking place at the sediment interface. Management tools considered include species diversity, vulnerability indexes, GIS systems, zoning, and 3D rapid environmental assessment (REA). These monitoring strategies are developed for application on one of the UNESCO/IOC baseline study sites.","container-title":"Frontiers in Marine Science","DOI":"10.3389/fmars.2018.00007","ISSN":"2296-7745","journalAbbreviation":"Front. Mar. Sci.","language":"English","source":"Frontiers","title":"The Benthic Megafaunal Assemblages of the CCZ (Eastern Pacific) and an Approach to their Management in the Face of Threatened Anthropogenic Impacts","URL":"https://www.frontiersin.org/articles/10.3389/fmars.2018.00007/full","volume":"5","author":[{"family":"Tilot","given":"Virginie"},{"family":"Ormond","given":"Rupert"},{"family":"Moreno Navas","given":"Juan"},{"family":"Catalá","given":"Teresa S."}],"accessed":{"date-parts":[["2018",6,20]]},"issued":{"date-parts":[["2018"]]}},"suppress-author":true}],"schema":"https://github.com/citation-style-language/schema/raw/master/csl-citation.json"} </w:instrText>
      </w:r>
      <w:r w:rsidR="00ED427D">
        <w:rPr>
          <w:lang w:val="en-GB"/>
        </w:rPr>
        <w:fldChar w:fldCharType="separate"/>
      </w:r>
      <w:r w:rsidR="00ED427D" w:rsidRPr="00ED427D">
        <w:rPr>
          <w:rFonts w:cs="Times New Roman"/>
        </w:rPr>
        <w:t>(2018)</w:t>
      </w:r>
      <w:r w:rsidR="00ED427D">
        <w:rPr>
          <w:lang w:val="en-GB"/>
        </w:rPr>
        <w:fldChar w:fldCharType="end"/>
      </w:r>
      <w:r w:rsidRPr="00F82B46">
        <w:rPr>
          <w:lang w:val="en-GB"/>
        </w:rPr>
        <w:t xml:space="preserve"> recorded high abundances of cnidarians and echinoderms in different areas of the central CCZ compared to other taxa. The shifts in dominance from the suspension feeding cnidarians to the more deposit feeding echinoderms when comparing different areas was mainly explained by a combination of nodule abundance, currents and POC flux, with the echinoderms being more abundant at the higher range of the productivity gradient, whereas cnidarians preferred stronger currents, supplying material in </w:t>
      </w:r>
      <w:r w:rsidRPr="00F82B46">
        <w:rPr>
          <w:lang w:val="en-GB"/>
        </w:rPr>
        <w:lastRenderedPageBreak/>
        <w:t>suspension, and the presence of nodules which they use to attach</w:t>
      </w:r>
      <w:r w:rsidR="00A60BA6">
        <w:rPr>
          <w:lang w:val="en-GB"/>
        </w:rPr>
        <w:t xml:space="preserve"> to</w:t>
      </w:r>
      <w:r w:rsidRPr="00F82B46">
        <w:rPr>
          <w:lang w:val="en-GB"/>
        </w:rPr>
        <w:t xml:space="preserve"> </w:t>
      </w:r>
      <w:r w:rsidR="00ED427D">
        <w:rPr>
          <w:lang w:val="en-GB"/>
        </w:rPr>
        <w:fldChar w:fldCharType="begin"/>
      </w:r>
      <w:r w:rsidR="00ED427D">
        <w:rPr>
          <w:lang w:val="en-GB"/>
        </w:rPr>
        <w:instrText xml:space="preserve"> ADDIN ZOTERO_ITEM CSL_CITATION {"citationID":"RiIdYlhM","properties":{"formattedCitation":"(Vanreusel et al., 2016; Tilot et al., 2018)","plainCitation":"(Vanreusel et al., 2016; Tilot et al., 2018)","noteIndex":0},"citationItems":[{"id":741,"uris":["http://zotero.org/groups/512020/items/5DHCXFTK"],"uri":["http://zotero.org/groups/512020/items/5DHCXFTK"],"itemData":{"id":741,"type":"article-journal","container-title":"Scientific Reports","DOI":"10.1038/srep26808","ISSN":"2045-2322","page":"26808","source":"CrossRef","title":"Threatened by mining, polymetallic nodules are required to preserve abyssal epifauna","volume":"6","author":[{"family":"Vanreusel","given":"Ann"},{"family":"Hilario","given":"Ana"},{"family":"Ribeiro","given":"Pedro A."},{"family":"Menot","given":"Lenaick"},{"family":"Arbizu","given":"Pedro Martínez"}],"issued":{"date-parts":[["2016",6,1]]}}},{"id":623,"uris":["http://zotero.org/groups/512020/items/VMI6RP3X"],"uri":["http://zotero.org/groups/512020/items/VMI6RP3X"],"itemData":{"id":623,"type":"article-journal","abstract":"We present here the results of a comprehensive UNESCO/IOC baseline study of the megafaunal assemblages of the metallic nodule ecosystem of 5 areas within the Clarion Clipperton Fracture Zone (CCFZ) of the eastern Pacific Ocean. T</w:instrText>
      </w:r>
      <w:r w:rsidR="00ED427D" w:rsidRPr="00ED427D">
        <w:rPr>
          <w:lang w:val="nl-BE"/>
        </w:rPr>
        <w:instrText>he work was undertaken with a view to</w:instrText>
      </w:r>
      <w:r w:rsidR="00ED427D" w:rsidRPr="002345F8">
        <w:rPr>
          <w:lang w:val="nl-BE"/>
        </w:rPr>
        <w:instrText xml:space="preserve"> interpreting the structure of the epifaunal populations associated with the benthic biotopes being targeted for mining and developing an appropriate set of management tools and options. The general characteristics of the nodule ecosystem and its sensitivity to deep-sea mining are discussed in relation to water masses, ocean circulation from the surface to the seabed, the nepheloid layer and processes taking place at the sediment interface. Management tools considered include species diversity, vulnerability indexes, GIS systems, zoning, and 3D rapid environmental assessment (REA). These monitoring strategies are developed for application on one of the UNESCO/IOC baseline study sites.","container-title":"Frontiers in Marine Science","DOI":"10.3389/fmars.2018.00007","ISSN":"2296-7745","journalAbbreviation":"Front. Mar. Sci.","language":"English","source":"Frontiers","title":"The Benthic Megafaunal Assemblages of the CCZ (Eastern Pacific) and an Approach to their Management in the Face of Threatened Anthropogenic Impacts","URL":"https://www.frontiersin.org/articles/10.3389/fmars.2018.00007/full","volume":"5","author":[{"family":"Tilot","given":"Virginie"},{"family":"Ormond","given":"Rupert"},{"family":"Moreno Navas","given":"Juan"},{"family":"Catalá","given":"Teresa S."}],"accessed":{"date-parts":[["2018",6,20]]},"issued":{"date-parts":[["2018"]]}}}],"schema":"https://github.com/citation-style-language/schema/raw/master/csl-citation.json"} </w:instrText>
      </w:r>
      <w:r w:rsidR="00ED427D">
        <w:rPr>
          <w:lang w:val="en-GB"/>
        </w:rPr>
        <w:fldChar w:fldCharType="separate"/>
      </w:r>
      <w:r w:rsidR="00ED427D" w:rsidRPr="002345F8">
        <w:rPr>
          <w:rFonts w:cs="Times New Roman"/>
          <w:lang w:val="nl-BE"/>
        </w:rPr>
        <w:t>(Vanreusel et al., 2016; Tilot et al., 2018)</w:t>
      </w:r>
      <w:r w:rsidR="00ED427D">
        <w:rPr>
          <w:lang w:val="en-GB"/>
        </w:rPr>
        <w:fldChar w:fldCharType="end"/>
      </w:r>
      <w:r w:rsidRPr="002345F8">
        <w:rPr>
          <w:lang w:val="nl-BE"/>
        </w:rPr>
        <w:t xml:space="preserve">. Simon-Lledo </w:t>
      </w:r>
      <w:r w:rsidRPr="002345F8">
        <w:rPr>
          <w:i/>
          <w:lang w:val="nl-BE"/>
        </w:rPr>
        <w:t>et al</w:t>
      </w:r>
      <w:r w:rsidR="00876EBE" w:rsidRPr="002345F8">
        <w:rPr>
          <w:i/>
          <w:lang w:val="nl-BE"/>
        </w:rPr>
        <w:t>.</w:t>
      </w:r>
      <w:r w:rsidRPr="002345F8">
        <w:rPr>
          <w:lang w:val="nl-BE"/>
        </w:rPr>
        <w:t xml:space="preserve"> </w:t>
      </w:r>
      <w:r w:rsidR="00876EBE">
        <w:rPr>
          <w:lang w:val="en-GB"/>
        </w:rPr>
        <w:fldChar w:fldCharType="begin"/>
      </w:r>
      <w:r w:rsidR="00A36890">
        <w:rPr>
          <w:lang w:val="nl-BE"/>
        </w:rPr>
        <w:instrText xml:space="preserve"> ADDIN ZOTERO_ITEM CSL_CITATION {"citationID":"mzxxmwoR","properties":{"formattedCitation":"(2019b)","plainCitation":"(2019b)","noteIndex":0},"citationItems":[{"id":648,"uris":["http://zotero.org/groups/512020/items/S8WR4Q5J"],"uri":["http://zotero.org/groups/512020/items/S8WR4Q5J"],"itemData":{"id":648,"type":"article-journal","abstract":"The potential for imminent polymetallic nodule mining in the Clarion Clipperton Fracture Zone (CCZ) has attracted considerable scientific and public attention. This concern stems from both the extremely large seafloor areas that may be impacted by mining, and the very limited knowledge of the fauna and ecology of this region. The environmental factors regulating seafloor ecology are still very poorly understood. In this study, we focus on megafaunal ecology in the proposed conservation zone ‘Area of Particular Environmental Interest 6′ (study area centred 17°16′N, 122°55′W). We employ bathymetric data to objectively define three landscape types in the area (a level bottom Flat, an elevated Ridge, a depressed Trough; water depth 3950–4250 m) that are characteristic of the wider CCZ. We use direct seabed sampling to characterise the sedimentary environment in each landscape, detecting no statistically significant differences in particle size distributions or organic matter content. Additional seafloor characteristics and data on both the metazoan and xenophyophore components of the megafauna were derived by extensive photographic survey from an autonomous underwater vehicle. Image data revealed that there were statistically significant differences in seafloor cover by nodules and in the occurrence of other hard substrata habitat between landscapes. Statistically significant differences in megafauna standing stock, functional structuring, di</w:instrText>
      </w:r>
      <w:r w:rsidR="00A36890" w:rsidRPr="00A36890">
        <w:instrText xml:space="preserve">versity, and faunal composition were detected between landscapes. The Flat and Ridge areas exhibited a significantly higher standing stock and a distinct assemblage composition compared to the Trough. Geomorphological variations, presumably regulating local bottom water flows and the occurrence of nodule and xenophyophore test substrata, between study areas may be the mechanism driving these assemblage differences. We also used these data to assess the influence of sampling unit size on the estimation of ecological parameters. We discuss these results in the contexts of regional benthic ecology and the appropriate management of potential mining activities in the CCZ and elsewhere in the deep ocean.","container-title":"Progress in Oceanography","DOI":"10.1016/j.pocean.2018.11.003","ISSN":"0079-6611","journalAbbreviation":"Progress in Oceanography","page":"119-133","source":"ScienceDirect","title":"Megafaunal variation in the abyssal landscape of the Clarion Clipperton Zone","volume":"170","author":[{"family":"Simon-Lledó","given":"Erik"},{"family":"Bett","given":"Brian J."},{"family":"Huvenne","given":"Veerle A. I."},{"family":"Schoening","given":"Timm"},{"family":"Benoist","given":"Noelie M. A."},{"family":"Jeffreys","given":"Rachel M."},{"family":"Durden","given":"Jennifer M."},{"family":"Jones","given":"Daniel O. B."}],"issued":{"date-parts":[["2019",1,1]]}},"suppress-author":true}],"schema":"https://github.com/citation-style-language/schema/raw/master/csl-citation.json"} </w:instrText>
      </w:r>
      <w:r w:rsidR="00876EBE">
        <w:rPr>
          <w:lang w:val="en-GB"/>
        </w:rPr>
        <w:fldChar w:fldCharType="separate"/>
      </w:r>
      <w:r w:rsidR="00A36890" w:rsidRPr="00A36890">
        <w:rPr>
          <w:rFonts w:cs="Times New Roman"/>
        </w:rPr>
        <w:t>(2019b)</w:t>
      </w:r>
      <w:r w:rsidR="00876EBE">
        <w:rPr>
          <w:lang w:val="en-GB"/>
        </w:rPr>
        <w:fldChar w:fldCharType="end"/>
      </w:r>
      <w:r w:rsidRPr="00F82B46">
        <w:rPr>
          <w:lang w:val="en-GB"/>
        </w:rPr>
        <w:t xml:space="preserve"> mainly found cnidarians as the dominant </w:t>
      </w:r>
      <w:r w:rsidRPr="002961BE">
        <w:rPr>
          <w:lang w:val="en-GB"/>
        </w:rPr>
        <w:t>group (0.18 in</w:t>
      </w:r>
      <w:r w:rsidR="00903C8C" w:rsidRPr="002961BE">
        <w:rPr>
          <w:lang w:val="en-GB"/>
        </w:rPr>
        <w:t>d</w:t>
      </w:r>
      <w:r w:rsidRPr="002961BE">
        <w:rPr>
          <w:lang w:val="en-GB"/>
        </w:rPr>
        <w:t>/m²</w:t>
      </w:r>
      <w:r w:rsidR="00903C8C" w:rsidRPr="002961BE">
        <w:rPr>
          <w:lang w:val="en-GB"/>
        </w:rPr>
        <w:t>; 41% of the total abundance</w:t>
      </w:r>
      <w:r w:rsidRPr="002961BE">
        <w:rPr>
          <w:lang w:val="en-GB"/>
        </w:rPr>
        <w:t>) in the most north eastern APEI#6</w:t>
      </w:r>
      <w:r w:rsidR="00C51B9E" w:rsidRPr="002961BE">
        <w:rPr>
          <w:lang w:val="en-GB"/>
        </w:rPr>
        <w:t>, followed by sponges as the second most abundant group (</w:t>
      </w:r>
      <w:r w:rsidR="00903C8C" w:rsidRPr="002961BE">
        <w:rPr>
          <w:lang w:val="en-GB"/>
        </w:rPr>
        <w:t>0.08 ind/m²; 17</w:t>
      </w:r>
      <w:r w:rsidR="00C51B9E" w:rsidRPr="002961BE">
        <w:rPr>
          <w:lang w:val="en-GB"/>
        </w:rPr>
        <w:t xml:space="preserve">% of the total abundance), and </w:t>
      </w:r>
      <w:r w:rsidRPr="002961BE">
        <w:rPr>
          <w:lang w:val="en-GB"/>
        </w:rPr>
        <w:t>echinoderms</w:t>
      </w:r>
      <w:r w:rsidR="00903C8C" w:rsidRPr="002961BE">
        <w:rPr>
          <w:lang w:val="en-GB"/>
        </w:rPr>
        <w:t xml:space="preserve"> </w:t>
      </w:r>
      <w:r w:rsidRPr="002961BE">
        <w:rPr>
          <w:lang w:val="en-GB"/>
        </w:rPr>
        <w:t xml:space="preserve">and bryozoans equally ranked as </w:t>
      </w:r>
      <w:r w:rsidR="00C51B9E" w:rsidRPr="002961BE">
        <w:rPr>
          <w:lang w:val="en-GB"/>
        </w:rPr>
        <w:t xml:space="preserve">the third most abundant groups, </w:t>
      </w:r>
      <w:r w:rsidRPr="002961BE">
        <w:rPr>
          <w:lang w:val="en-GB"/>
        </w:rPr>
        <w:t xml:space="preserve">each </w:t>
      </w:r>
      <w:r w:rsidR="00C51B9E" w:rsidRPr="002961BE">
        <w:rPr>
          <w:lang w:val="en-GB"/>
        </w:rPr>
        <w:t xml:space="preserve">representing </w:t>
      </w:r>
      <w:r w:rsidR="00903C8C" w:rsidRPr="002961BE">
        <w:rPr>
          <w:lang w:val="en-GB"/>
        </w:rPr>
        <w:t>10</w:t>
      </w:r>
      <w:r w:rsidR="00C51B9E" w:rsidRPr="002961BE">
        <w:rPr>
          <w:lang w:val="en-GB"/>
        </w:rPr>
        <w:t>% of the total abundance only</w:t>
      </w:r>
      <w:r w:rsidR="00903C8C">
        <w:rPr>
          <w:lang w:val="en-GB"/>
        </w:rPr>
        <w:t xml:space="preserve"> (0.04 ind/m</w:t>
      </w:r>
      <w:r w:rsidR="00903C8C" w:rsidRPr="00AF6058">
        <w:rPr>
          <w:vertAlign w:val="superscript"/>
          <w:lang w:val="en-GB"/>
        </w:rPr>
        <w:t>2</w:t>
      </w:r>
      <w:r w:rsidR="00903C8C">
        <w:rPr>
          <w:lang w:val="en-GB"/>
        </w:rPr>
        <w:t>)</w:t>
      </w:r>
      <w:r w:rsidR="00C51B9E">
        <w:rPr>
          <w:lang w:val="en-GB"/>
        </w:rPr>
        <w:t>.</w:t>
      </w:r>
    </w:p>
    <w:p w14:paraId="1AEB3AC4" w14:textId="1A06A1C8" w:rsidR="00AE1CA2" w:rsidRPr="00F601E8" w:rsidRDefault="002961BE" w:rsidP="00804A56">
      <w:pPr>
        <w:rPr>
          <w:lang w:val="en-GB"/>
        </w:rPr>
      </w:pPr>
      <w:r>
        <w:rPr>
          <w:lang w:val="en-GB"/>
        </w:rPr>
        <w:t>The approach used here, rapid assessment of large-sized megafauna</w:t>
      </w:r>
      <w:r w:rsidR="003951F2">
        <w:rPr>
          <w:lang w:val="en-GB"/>
        </w:rPr>
        <w:t xml:space="preserve"> </w:t>
      </w:r>
      <w:r w:rsidR="003951F2">
        <w:t>(approximately &gt; 5 cm)</w:t>
      </w:r>
      <w:bookmarkStart w:id="0" w:name="_GoBack"/>
      <w:bookmarkEnd w:id="0"/>
      <w:r>
        <w:rPr>
          <w:lang w:val="en-GB"/>
        </w:rPr>
        <w:t xml:space="preserve"> during resource assessment, influences some of the results. For example, w</w:t>
      </w:r>
      <w:r w:rsidR="00F82B46" w:rsidRPr="00F82B46">
        <w:rPr>
          <w:lang w:val="en-GB"/>
        </w:rPr>
        <w:t xml:space="preserve">hile flying </w:t>
      </w:r>
      <w:r w:rsidR="00320F95">
        <w:rPr>
          <w:lang w:val="en-GB"/>
        </w:rPr>
        <w:t xml:space="preserve">the imagery platform </w:t>
      </w:r>
      <w:r w:rsidR="00F82B46" w:rsidRPr="00F82B46">
        <w:rPr>
          <w:lang w:val="en-GB"/>
        </w:rPr>
        <w:t xml:space="preserve">higher, the smaller cnidarians </w:t>
      </w:r>
      <w:r w:rsidR="008A24A5">
        <w:rPr>
          <w:lang w:val="en-GB"/>
        </w:rPr>
        <w:t>with often indistinct colours can be easily underestimated</w:t>
      </w:r>
      <w:r w:rsidR="00ED7CB8">
        <w:rPr>
          <w:lang w:val="en-GB"/>
        </w:rPr>
        <w:t>,</w:t>
      </w:r>
      <w:r>
        <w:rPr>
          <w:lang w:val="en-GB"/>
        </w:rPr>
        <w:t xml:space="preserve"> as appears to be the case </w:t>
      </w:r>
      <w:r w:rsidR="00AA388B">
        <w:rPr>
          <w:lang w:val="en-GB"/>
        </w:rPr>
        <w:t xml:space="preserve">in this study </w:t>
      </w:r>
      <w:r>
        <w:rPr>
          <w:lang w:val="en-GB"/>
        </w:rPr>
        <w:t>from comparison with other nearby areas</w:t>
      </w:r>
      <w:r w:rsidR="008A24A5">
        <w:rPr>
          <w:lang w:val="en-GB"/>
        </w:rPr>
        <w:t xml:space="preserve">. The more robust larger organisms, such as many </w:t>
      </w:r>
      <w:r w:rsidR="00F82B46" w:rsidRPr="00F82B46">
        <w:rPr>
          <w:lang w:val="en-GB"/>
        </w:rPr>
        <w:t>echinoderms</w:t>
      </w:r>
      <w:r w:rsidR="00ED7CB8">
        <w:rPr>
          <w:lang w:val="en-GB"/>
        </w:rPr>
        <w:t>,</w:t>
      </w:r>
      <w:r w:rsidR="008A24A5">
        <w:rPr>
          <w:lang w:val="en-GB"/>
        </w:rPr>
        <w:t xml:space="preserve"> are easier to observe and can be detected more consistently. Low flying altitudes are important for full estimation of epibenthic diversity</w:t>
      </w:r>
      <w:r>
        <w:rPr>
          <w:lang w:val="en-GB"/>
        </w:rPr>
        <w:t xml:space="preserve"> (usually regarded as a sensitive indicator of change; </w:t>
      </w:r>
      <w:r>
        <w:rPr>
          <w:lang w:val="en-GB"/>
        </w:rPr>
        <w:fldChar w:fldCharType="begin"/>
      </w:r>
      <w:r>
        <w:rPr>
          <w:lang w:val="en-GB"/>
        </w:rPr>
        <w:instrText xml:space="preserve"> ADDIN ZOTERO_ITEM CSL_CITATION {"citationID":"kTzXT5zI","properties":{"custom":"Clarke, 1993)","formattedCitation":"Clarke, 1993)","plainCitation":"Clarke, 1993)","noteIndex":0},"citationItems":[{"id":2003,"uris":["http://zotero.org/users/2924329/items/3IXUCB6D"],"uri":["http://zotero.org/users/2924329/items/3IXUCB6D"],"itemData":{"id":2003,"type":"article-journal","abstract":"In the early 1980s, a strategy for graphical representation of multivariate (multi-species) abundance data was introduced into marine ecology by, among others, Field, et al. (1982). A decade on, it is instructive to: (i) identify which elements of this often-quoted strategy have proved most useful in practical assessment of community change resulting from pollution impact; and (ii) ask to what extent evolution of techniques in the intervening years has added self-consistency and comprehensiveness to the approach. The pivotal concept has proved to be that of a biologically-relevant definition of similarity of two samples, and its utilization mainly in simple rank form, for example ‘sample A is more similar to sample B than it is to sample C’. Statistical assumptions about the data are thus minimized and the resulting non-parametric techniques will be of very general applicability. From such a starting point, a unified framework needs to encompass: (i) the display of community patterns through clustering and ordination of samples; (ii) identification of species principally responsible for determining sample groupings; (iii) statistical tests for differences in space and time (multivariate analogues of analysis of variance, based on rank similarities); and (iv) the linking of community differences to patterns in the physical and chemical environment (the latter also dictated by rank similarities between samples). Techniques are described that bring such a framework into place, and areas in which problems remain are identified. Accumulated practical experience with these methods is discussed, in particular applications to marine benthos, and it is concluded that they have much to offer practitioners of environmental impact studies on communities.","container-title":"Australian Journal of Ecology","DOI":"10.1111/j.1442-9993.1993.tb00438.x","ISSN":"1442-9993","issue":"1","language":"en","note":"_eprint: https://onlinelibrary.wiley.com/doi/pdf/10.1111/j.1442-9993.1993.tb00438.x","page":"117-143","source":"Wiley Online Library","title":"Non-parametric multivariate analyses of changes in community structure","volume":"18","author":[{"family":"Clarke","given":"K. R."}],"issued":{"date-parts":[["1993"]]}}}],"schema":"https://github.com/citation-style-language/schema/raw/master/csl-citation.json"} </w:instrText>
      </w:r>
      <w:r>
        <w:rPr>
          <w:lang w:val="en-GB"/>
        </w:rPr>
        <w:fldChar w:fldCharType="separate"/>
      </w:r>
      <w:r w:rsidRPr="002961BE">
        <w:rPr>
          <w:rFonts w:cs="Times New Roman"/>
        </w:rPr>
        <w:t>Clarke, 1993)</w:t>
      </w:r>
      <w:r>
        <w:rPr>
          <w:lang w:val="en-GB"/>
        </w:rPr>
        <w:fldChar w:fldCharType="end"/>
      </w:r>
      <w:r w:rsidR="008A24A5">
        <w:rPr>
          <w:lang w:val="en-GB"/>
        </w:rPr>
        <w:t>, but require greater time for data acquisition. H</w:t>
      </w:r>
      <w:r w:rsidR="00F82B46" w:rsidRPr="00F82B46">
        <w:rPr>
          <w:lang w:val="en-GB"/>
        </w:rPr>
        <w:t xml:space="preserve">igher observation distance </w:t>
      </w:r>
      <w:r w:rsidR="008A24A5">
        <w:rPr>
          <w:lang w:val="en-GB"/>
        </w:rPr>
        <w:t>more efficiently covers larger areas, which have larger numbers of individual organisms.</w:t>
      </w:r>
      <w:r w:rsidR="00F82B46" w:rsidRPr="00F82B46">
        <w:rPr>
          <w:lang w:val="en-GB"/>
        </w:rPr>
        <w:t xml:space="preserve"> </w:t>
      </w:r>
      <w:r w:rsidR="00736057">
        <w:rPr>
          <w:lang w:val="en-GB"/>
        </w:rPr>
        <w:t>The desired balance between survey efficiency and detection depends on the monitoring requirement. Taxon-specific responses to disturbance will al</w:t>
      </w:r>
      <w:r w:rsidR="00ED7CB8">
        <w:rPr>
          <w:lang w:val="en-GB"/>
        </w:rPr>
        <w:t>so influence this:</w:t>
      </w:r>
      <w:r w:rsidR="00736057">
        <w:rPr>
          <w:lang w:val="en-GB"/>
        </w:rPr>
        <w:t xml:space="preserve"> with less clear responses more taxonomic resolution may be needed for effective monitoring. Cnidarians, for example, are </w:t>
      </w:r>
      <w:r w:rsidR="00736057" w:rsidRPr="00F82B46">
        <w:rPr>
          <w:lang w:val="en-GB"/>
        </w:rPr>
        <w:t>mostly associated with nodules</w:t>
      </w:r>
      <w:r w:rsidR="00736057">
        <w:rPr>
          <w:lang w:val="en-GB"/>
        </w:rPr>
        <w:t xml:space="preserve"> and may be particularly impacted by sediment disturbance </w:t>
      </w:r>
      <w:r w:rsidR="00736057">
        <w:rPr>
          <w:lang w:val="en-GB"/>
        </w:rPr>
        <w:fldChar w:fldCharType="begin"/>
      </w:r>
      <w:r w:rsidR="00736057">
        <w:rPr>
          <w:lang w:val="en-GB"/>
        </w:rPr>
        <w:instrText xml:space="preserve"> ADDIN ZOTERO_ITEM CSL_CITATION {"citationID":"HueDt2Ms","properties":{"formattedCitation":"(Erftemeijer et al., 2012)","plainCitation":"(Erftemeijer et al., 2012)","noteIndex":0},"citationItems":[{"id":1988,"uris":["http://zotero.org/groups/512020/items/43CIW8G3"],"uri":["http://zotero.org/groups/512020/items/43CIW8G3"],"itemData":{"id":1988,"type":"article-journal","abstract":"A review of published literature on the sensitivity of corals to turbidity and sedimentation is presented, with an emphasis on the effects of dredging. The risks and severity of impact from dredging (and other sediment disturbances) on corals are primarily related to the intensity, duration and frequency of exposure to increased turbidity and sedimentation. The sensitivity of a coral reef to dredging impacts and its ability to recover depend on the antecedent ecological conditions of the reef, its resilience and the ambient conditions normally experienced. Effects of sediment stress have so far been investigated in 89 coral species (</w:instrText>
      </w:r>
      <w:r w:rsidR="00736057">
        <w:rPr>
          <w:rFonts w:ascii="Cambria Math" w:hAnsi="Cambria Math" w:cs="Cambria Math"/>
          <w:lang w:val="en-GB"/>
        </w:rPr>
        <w:instrText>∼</w:instrText>
      </w:r>
      <w:r w:rsidR="00736057">
        <w:rPr>
          <w:lang w:val="en-GB"/>
        </w:rPr>
        <w:instrText xml:space="preserve">10% of all known reef-building corals). Results of these investigations have provided a generic understanding of tolerance levels, response mechanisms, adaptations and threshold levels of corals to the effects of natural and anthropogenic sediment disturbances. Coral polyps undergo stress from high suspended-sediment concentrations and the subsequent effects on light attenuation which affect their algal symbionts. Minimum light requirements of corals range from &lt;1% to as much as 60% of surface irradiance. Reported tolerance limits of coral reef systems for chronic suspended-sediment concentrations range from &lt;10mgL−1 in pristine offshore reef areas to &gt;100mgL−1 in marginal nearshore reefs. Some individual coral species can tolerate short-term exposure (days) to suspended-sediment concentrations as high as 1000mgL−1 while others show mortality after exposure (weeks) to concentrations as low as 30mgL−1. The duration that corals can survive high turbidities ranges from several days (sensitive species) to at least 5–6weeks (tolerant species). Increased sedimentation can cause smothering and burial of coral polyps, shading, tissue necrosis and population explosions of bacteria in coral mucus. Fine sediments tend to have greater effects on corals than coarse sediments. Turbidity and sedimentation also reduce the recruitment, survival and settlement of coral larvae. Maximum sedimentation rates that can be tolerated by different corals range from &lt;10mgcm−2d−1 to &gt;400mgcm−2d−1. The durations that corals can survive high sedimentation rates range from &lt;24h for sensitive species to a few weeks (&gt;4weeks of high sedimentation or &gt;14days complete burial) for very tolerant species. Hypotheses to explain substantial differences in sensitivity between different coral species include the growth form of coral colonies and the size of the coral polyp or calyx. The validity of these hypotheses was tested on the basis of 77 published studies on the effects of turbidity and sedimentation on 89 coral species. The results of this analysis reveal a significant relationship of coral sensitivity to turbidity and sedimentation with growth form, but not with calyx size. Some of the variation in sensitivities reported in the literature may have been caused by differences in the type and particle size of sediments applied in experiments. The ability of many corals (in varying degrees) to actively reject sediment through polyp inflation, mucus production, ciliary and tentacular action (at considerable energetic cost), as well as intraspecific morphological variation and the mobility of free-living mushroom corals, further contribute to the observed differences. Given the wide range of sensitivity levels among coral species and in baseline water quality conditions among reefs, meaningful criteria to limit the extent and turbidity of dredging plumes and their effects on corals will always require site-specific evaluations, taking into account the species assemblage present at the site and the natural variability of local background turbidity and sedimentation.","container-title":"Marine Pollution Bulletin","DOI":"https://doi.org/10.1016/j.marpolbul.2012.05.008","ISSN":"0025-326X","issue":"9","page":"1737 - 1765","title":"Environmental impacts of dredging and other sediment disturbances on corals: A review","volume":"64","author":[{"family":"Erftemeijer","given":"Paul L. A."},{"family":"Riegl","given":"Bernhard"},{"family":"Hoeksema","given":"Bert W."},{"family":"Todd","given":"Peter A."}],"issued":{"date-parts":[["2012"]]}}}],"schema":"https://github.com/citation-style-language/schema/raw/master/csl-citation.json"} </w:instrText>
      </w:r>
      <w:r w:rsidR="00736057">
        <w:rPr>
          <w:lang w:val="en-GB"/>
        </w:rPr>
        <w:fldChar w:fldCharType="separate"/>
      </w:r>
      <w:r w:rsidR="00736057" w:rsidRPr="00736057">
        <w:rPr>
          <w:rFonts w:cs="Times New Roman"/>
        </w:rPr>
        <w:t>(Erftemeijer et al., 2012)</w:t>
      </w:r>
      <w:r w:rsidR="00736057">
        <w:rPr>
          <w:lang w:val="en-GB"/>
        </w:rPr>
        <w:fldChar w:fldCharType="end"/>
      </w:r>
      <w:r w:rsidR="00736057">
        <w:rPr>
          <w:lang w:val="en-GB"/>
        </w:rPr>
        <w:t xml:space="preserve"> and so may be an effective disturbance indicator. However, they are more difficult to detect and appear underestimated in higher-altitude studies such as </w:t>
      </w:r>
      <w:r w:rsidR="00613DED">
        <w:rPr>
          <w:lang w:val="en-GB"/>
        </w:rPr>
        <w:t>in the current study</w:t>
      </w:r>
      <w:r w:rsidR="00736057">
        <w:rPr>
          <w:lang w:val="en-GB"/>
        </w:rPr>
        <w:t xml:space="preserve">. </w:t>
      </w:r>
      <w:r w:rsidR="00515878">
        <w:rPr>
          <w:lang w:val="en-GB"/>
        </w:rPr>
        <w:t xml:space="preserve">Echinoderms </w:t>
      </w:r>
      <w:r w:rsidR="00F82B46" w:rsidRPr="00F82B46">
        <w:rPr>
          <w:lang w:val="en-GB"/>
        </w:rPr>
        <w:t xml:space="preserve">may seem </w:t>
      </w:r>
      <w:r w:rsidR="00515878">
        <w:rPr>
          <w:lang w:val="en-GB"/>
        </w:rPr>
        <w:t>l</w:t>
      </w:r>
      <w:r w:rsidR="00515878" w:rsidRPr="00F82B46">
        <w:rPr>
          <w:lang w:val="en-GB"/>
        </w:rPr>
        <w:t>ess sensitive</w:t>
      </w:r>
      <w:r w:rsidR="00F82B46" w:rsidRPr="00F82B46">
        <w:rPr>
          <w:lang w:val="en-GB"/>
        </w:rPr>
        <w:t xml:space="preserve"> </w:t>
      </w:r>
      <w:r w:rsidR="00515878">
        <w:rPr>
          <w:lang w:val="en-GB"/>
        </w:rPr>
        <w:t xml:space="preserve">to </w:t>
      </w:r>
      <w:r w:rsidR="00515878" w:rsidRPr="00F82B46">
        <w:rPr>
          <w:lang w:val="en-GB"/>
        </w:rPr>
        <w:t xml:space="preserve">sediment resuspension </w:t>
      </w:r>
      <w:r w:rsidR="00515878">
        <w:rPr>
          <w:lang w:val="en-GB"/>
        </w:rPr>
        <w:t xml:space="preserve">since they are </w:t>
      </w:r>
      <w:r w:rsidR="00F82B46" w:rsidRPr="00F82B46">
        <w:rPr>
          <w:lang w:val="en-GB"/>
        </w:rPr>
        <w:t>detritivores, more opportunistic in their population dynamics and less e</w:t>
      </w:r>
      <w:r w:rsidR="00E645D9">
        <w:rPr>
          <w:lang w:val="en-GB"/>
        </w:rPr>
        <w:t xml:space="preserve">xclusive for nodule rich areas. They are also </w:t>
      </w:r>
      <w:r w:rsidR="00ED7CB8">
        <w:rPr>
          <w:lang w:val="en-GB"/>
        </w:rPr>
        <w:t xml:space="preserve">amongst the most </w:t>
      </w:r>
      <w:r w:rsidR="00E645D9">
        <w:rPr>
          <w:lang w:val="en-GB"/>
        </w:rPr>
        <w:t xml:space="preserve">mobile invertebrate megafauna and are able to recover their densities relatively quickly (tens of years) in disturbed areas </w:t>
      </w:r>
      <w:r w:rsidR="00E645D9">
        <w:rPr>
          <w:lang w:val="en-GB"/>
        </w:rPr>
        <w:fldChar w:fldCharType="begin"/>
      </w:r>
      <w:r w:rsidR="00E645D9">
        <w:rPr>
          <w:lang w:val="en-GB"/>
        </w:rPr>
        <w:instrText xml:space="preserve"> ADDIN ZOTERO_ITEM CSL_CITATION {"citationID":"cjivcIP9","properties":{"formattedCitation":"(Stratmann et al., 2018b; Simon-Lled\\uc0\\u243{} et al., 2019a)","plainCitation":"(Stratmann et al., 2018b; Simon-Lledó et al., 2019a)","noteIndex":0},"citationItems":[{"id":1997,"uris":["http://zotero.org/users/2924329/items/MWRY8YWG"],"uri":["http://zotero.org/users/2924329/items/MWRY8YWG"],"itemData":{"id":1997,"type":"article-journal","abstract":"Mining polymetallic nodules on abyssal plains will have adverse impacts on deep-sea ecosystems, but it is largely unknown whether the impacted ecosystem will recover, and if so at what rate. In 1989 the “DISturbance and reCOLonization” (DISCOL) experiment was conducted in the Peru Basin where the seafloor was disturbed with a plough harrow construction to explore the effect of small-scale sediment disturbance from deep-sea mining. Densities of Holothuroidea in the region were last investigated 7 yr post-disturbance, before 19 yr later, the DISCOL site was re-visited in 2015. An “ocean floor observatory system” was used to photograph the seabed across ploughed and unploughed seafloor and at reference sites. The images were analyzed to determine the Holothuroidea population density and community composition, which were combined with in situ respiration measurements of individual Holothuroidea to generate a respiration budget of the study area. For the first time since the experimental disturbance, similar Holothuroidea densities were observed at the DISCOL site and at reference sites. The Holothuroidea assemblage was dominated by Amperima sp., Mesothuria sp., and Benthodytes typica, together contributing 46% to the Holothuroidea population density. Biomass and respiration were similar among sites, with a Holothuroidea community respiration of 5.84 10−4 ± 8.74 10−5 mmol C m−2 d−1 at reference sites. Although these results indicate recovery of Holothuroidea, extrapolations regarding recovery from deep-sea mining activities must be made with caution: results presented here are based on a relatively small-scale disturbance experiment as compared to industrial-scale nodule mining, and also only represent one taxonomic class of the megafauna.","container-title":"Limnology and Oceanography","DOI":"10.1002/lno.10929","ISSN":"1939-5590","issue":"5","language":"en","note":"_eprint: https://aslopubs.onlinelibrary.wiley.com/doi/pdf/10.1002/lno.10929","page":"2140-2153","source":"Wiley Online Library","title":"Recovery of Holothuroidea population density, community composition, and respiration activity after a deep-sea disturbance experiment","volume":"63","author":[{"family":"Stratmann","given":"Tanja"},{"family":"Voorsmit","given":"Ilja"},{"family":"Gebruk","given":"Andrey"},{"family":"Brown","given":"Alastair"},{"family":"Purser","given":"Autun"},{"family":"Marcon","given":"Yann"},{"family":"Sweetman","given":"Andrew K."},{"family":"Jones","given":"Daniel O. B."},{"family":"Oevelen","given":"Dick","dropping-particle":"van"}],"issued":{"date-parts":[["2018"]]}},"label":"page"},{"id":1942,"uris":["http://zotero.org/users/2924329/items/FVSVS6L8"],"uri":["http://zotero.org/users/2924329/items/FVSVS6L8"],"itemData":{"id":1942,"type":"article-journal","abstract":"The potential for imminent abyssal polymetallic nodule exploitation has raised considerable scientific attention. The interface between the targeted nodule resource and sediment in this unusual mosaic habitat promotes the development of some of the most biologically diverse communities in the abyss. However, the ecology of these remote ecosystems is still poorly understood, so it is unclear to what extent and timescale these ecosystems will be affected by, and could recover from, mining disturbance. Using data inferred from seafloor photo-mosaics, we show that the effects of simulated mining impacts, induced during the “DISturbance and reCOLonization experiment” (DISCOL) conducted in 1989, were still evident in the megabenthos of the Peru Basin after 26 years. Suspension-feeder presence remained significantly reduced in disturbed areas, while deposit-feeders showed no diminished presence in disturbed areas, for the first time since the experiment began. Nevertheless, we found significantly lower heterogeneity diversity in disturbed areas and markedly distinct faunal compositions along different disturbance levels. If the results of this experiment at DISCOL can be extrapolated to the Clarion-Clipperton Zone, the impacts of polymetallic nodule mining there may be greater than expected, and could potentially lead to an irreversible loss of some ecosystem functions, especially in directly disturbed areas.","container-title":"Scientific Reports","DOI":"10.1038/s41598-019-44492-w","ISSN":"2045-2322","issue":"1","journalAbbreviation":"Sci Rep","language":"en","note":"number: 1\npublisher: Nature Publishing Group","page":"1-13","source":"www.nature.com","title":"Biological effects 26 years after simulated deep-sea mining","volume":"9","author":[{"family":"Simon-Lledó","given":"Erik"},{"family":"Bett","given":"Brian J."},{"family":"Huvenne","given":"Veerle A. I."},{"family":"Köser","given":"Kevin"},{"family":"Schoening","given":"Timm"},{"family":"Greinert","given":"Jens"},{"family":"Jones","given":"Daniel O. B."}],"issued":{"date-parts":[["2019",5,29]]}},"label":"page"}],"schema":"https://github.com/citation-style-language/schema/raw/master/csl-citation.json"} </w:instrText>
      </w:r>
      <w:r w:rsidR="00E645D9">
        <w:rPr>
          <w:lang w:val="en-GB"/>
        </w:rPr>
        <w:fldChar w:fldCharType="separate"/>
      </w:r>
      <w:r w:rsidR="00E645D9" w:rsidRPr="00E645D9">
        <w:rPr>
          <w:rFonts w:cs="Times New Roman"/>
          <w:szCs w:val="24"/>
        </w:rPr>
        <w:t>(Stratmann et al., 2018b; Simon-Lledó et al., 2019a)</w:t>
      </w:r>
      <w:r w:rsidR="00E645D9">
        <w:rPr>
          <w:lang w:val="en-GB"/>
        </w:rPr>
        <w:fldChar w:fldCharType="end"/>
      </w:r>
      <w:r w:rsidR="00E645D9">
        <w:rPr>
          <w:lang w:val="en-GB"/>
        </w:rPr>
        <w:t>.</w:t>
      </w:r>
      <w:r w:rsidR="006638A8">
        <w:rPr>
          <w:lang w:val="en-GB"/>
        </w:rPr>
        <w:t xml:space="preserve"> </w:t>
      </w:r>
      <w:r w:rsidR="006638A8" w:rsidRPr="006638A8">
        <w:rPr>
          <w:lang w:val="en-GB"/>
        </w:rPr>
        <w:t xml:space="preserve">An approach analysing a number of </w:t>
      </w:r>
      <w:r w:rsidR="00526E6D">
        <w:rPr>
          <w:lang w:val="en-GB"/>
        </w:rPr>
        <w:t xml:space="preserve">different taxa that display </w:t>
      </w:r>
      <w:r w:rsidR="00526E6D" w:rsidRPr="00526E6D">
        <w:rPr>
          <w:lang w:val="en-GB"/>
        </w:rPr>
        <w:t>different functional traits and/or life history strategies</w:t>
      </w:r>
      <w:r w:rsidR="006638A8" w:rsidRPr="00526E6D">
        <w:rPr>
          <w:lang w:val="en-GB"/>
        </w:rPr>
        <w:t xml:space="preserve"> </w:t>
      </w:r>
      <w:r w:rsidR="006638A8" w:rsidRPr="006638A8">
        <w:rPr>
          <w:lang w:val="en-GB"/>
        </w:rPr>
        <w:t>might be the way to go to assess the extent of the response to recent major disturbance events.</w:t>
      </w:r>
      <w:r w:rsidR="009D671C">
        <w:rPr>
          <w:lang w:val="en-GB"/>
        </w:rPr>
        <w:t xml:space="preserve"> </w:t>
      </w:r>
    </w:p>
    <w:p w14:paraId="68BAD6DE" w14:textId="2CD8A9A5" w:rsidR="00AE1CA2" w:rsidRDefault="00AE1CA2" w:rsidP="006601C6">
      <w:pPr>
        <w:pStyle w:val="Kop1"/>
      </w:pPr>
      <w:r>
        <w:t>Conclusion</w:t>
      </w:r>
    </w:p>
    <w:p w14:paraId="4E159E4B" w14:textId="1EDE297D" w:rsidR="00D32681" w:rsidRPr="00FD3202" w:rsidRDefault="00CA7951" w:rsidP="00AE1CA2">
      <w:r w:rsidRPr="00FD3202">
        <w:lastRenderedPageBreak/>
        <w:t xml:space="preserve">This study </w:t>
      </w:r>
      <w:r>
        <w:t xml:space="preserve">presents the first </w:t>
      </w:r>
      <w:r w:rsidR="003A1ED8">
        <w:t xml:space="preserve">rapid </w:t>
      </w:r>
      <w:r>
        <w:t>quantitative assessment of</w:t>
      </w:r>
      <w:r w:rsidRPr="00FD3202">
        <w:t xml:space="preserve"> the megabenthic community in the </w:t>
      </w:r>
      <w:r w:rsidR="003C6586">
        <w:t xml:space="preserve">nodule-rich </w:t>
      </w:r>
      <w:r w:rsidRPr="00FD3202">
        <w:t xml:space="preserve">GSR </w:t>
      </w:r>
      <w:r w:rsidR="00B73220">
        <w:rPr>
          <w:lang w:val="en-GB"/>
        </w:rPr>
        <w:t>contract</w:t>
      </w:r>
      <w:r w:rsidRPr="00FD3202">
        <w:t xml:space="preserve"> area within the CCZ</w:t>
      </w:r>
      <w:r>
        <w:t>.</w:t>
      </w:r>
      <w:r w:rsidR="00DF5470">
        <w:t xml:space="preserve"> </w:t>
      </w:r>
      <w:r w:rsidR="00362A13">
        <w:t>B</w:t>
      </w:r>
      <w:r w:rsidR="00362A13">
        <w:rPr>
          <w:lang w:val="en-GB"/>
        </w:rPr>
        <w:t>ased on seafloor image analysis below 8 m,</w:t>
      </w:r>
      <w:r w:rsidR="00362A13">
        <w:t xml:space="preserve"> t</w:t>
      </w:r>
      <w:r w:rsidR="00F64D64">
        <w:t>he</w:t>
      </w:r>
      <w:r w:rsidR="00F64D64">
        <w:rPr>
          <w:lang w:val="en-GB"/>
        </w:rPr>
        <w:t xml:space="preserve"> megabenthic community </w:t>
      </w:r>
      <w:r w:rsidR="00362A13">
        <w:rPr>
          <w:lang w:val="en-GB"/>
        </w:rPr>
        <w:t>was observed to be</w:t>
      </w:r>
      <w:r w:rsidR="00B938CF">
        <w:rPr>
          <w:lang w:val="en-GB"/>
        </w:rPr>
        <w:t xml:space="preserve"> moderately</w:t>
      </w:r>
      <w:r w:rsidR="00F64D64">
        <w:rPr>
          <w:lang w:val="en-GB"/>
        </w:rPr>
        <w:t xml:space="preserve"> different </w:t>
      </w:r>
      <w:r w:rsidR="008416DC">
        <w:rPr>
          <w:lang w:val="en-GB"/>
        </w:rPr>
        <w:t xml:space="preserve">between </w:t>
      </w:r>
      <w:r w:rsidR="00F64D64">
        <w:rPr>
          <w:lang w:val="en-GB"/>
        </w:rPr>
        <w:t>sites</w:t>
      </w:r>
      <w:r w:rsidR="00362A13">
        <w:rPr>
          <w:lang w:val="en-GB"/>
        </w:rPr>
        <w:t xml:space="preserve"> in the study area,</w:t>
      </w:r>
      <w:r w:rsidR="00B938CF">
        <w:rPr>
          <w:lang w:val="en-GB"/>
        </w:rPr>
        <w:t xml:space="preserve"> while</w:t>
      </w:r>
      <w:r w:rsidR="00362A13">
        <w:rPr>
          <w:lang w:val="en-GB"/>
        </w:rPr>
        <w:t xml:space="preserve"> a</w:t>
      </w:r>
      <w:r w:rsidR="00DF5470">
        <w:rPr>
          <w:lang w:val="en-GB"/>
        </w:rPr>
        <w:t xml:space="preserve"> positive relationship between nodule coverage and megafauna abundance was observed.</w:t>
      </w:r>
      <w:r w:rsidR="00F64D64">
        <w:rPr>
          <w:lang w:val="en-GB"/>
        </w:rPr>
        <w:t xml:space="preserve"> </w:t>
      </w:r>
      <w:r w:rsidR="00DC2061">
        <w:rPr>
          <w:lang w:val="en-GB"/>
        </w:rPr>
        <w:t>This finding shows</w:t>
      </w:r>
      <w:r w:rsidR="00DF5470">
        <w:rPr>
          <w:lang w:val="en-GB"/>
        </w:rPr>
        <w:t xml:space="preserve"> the role of nodule coverage in structuring the megabenthic community.</w:t>
      </w:r>
      <w:r w:rsidR="00362A13">
        <w:rPr>
          <w:lang w:val="en-GB"/>
        </w:rPr>
        <w:t xml:space="preserve"> Almost 70% of the megabenthic community </w:t>
      </w:r>
      <w:r w:rsidR="003C6586">
        <w:rPr>
          <w:lang w:val="en-GB"/>
        </w:rPr>
        <w:t xml:space="preserve">in nodule-rich areas </w:t>
      </w:r>
      <w:r w:rsidR="00362A13">
        <w:rPr>
          <w:lang w:val="en-GB"/>
        </w:rPr>
        <w:t>was dominated by Echinoderms</w:t>
      </w:r>
      <w:r w:rsidR="0044625A">
        <w:rPr>
          <w:lang w:val="en-GB"/>
        </w:rPr>
        <w:t xml:space="preserve">. A taxon that </w:t>
      </w:r>
      <w:r w:rsidR="003C6586">
        <w:t>may respond quickly to the changing environments in the abyss.</w:t>
      </w:r>
      <w:r w:rsidR="0044625A">
        <w:t xml:space="preserve"> A crucial factor in the monitoring of the seafloor by AUV image analysis is t</w:t>
      </w:r>
      <w:r w:rsidRPr="00FD3202">
        <w:rPr>
          <w:lang w:val="en-GB"/>
        </w:rPr>
        <w:t xml:space="preserve">he </w:t>
      </w:r>
      <w:r w:rsidR="00721DAF">
        <w:rPr>
          <w:lang w:val="en-GB"/>
        </w:rPr>
        <w:t>altitude</w:t>
      </w:r>
      <w:r>
        <w:t xml:space="preserve"> at </w:t>
      </w:r>
      <w:r w:rsidR="00721DAF">
        <w:t>which</w:t>
      </w:r>
      <w:r>
        <w:t xml:space="preserve"> the images were </w:t>
      </w:r>
      <w:r w:rsidR="0044625A">
        <w:t>taken. We showed that the altitude</w:t>
      </w:r>
      <w:r>
        <w:t xml:space="preserve"> </w:t>
      </w:r>
      <w:r w:rsidR="00721DAF">
        <w:t>largely affect</w:t>
      </w:r>
      <w:r w:rsidR="003C6586">
        <w:t>ed</w:t>
      </w:r>
      <w:r>
        <w:t xml:space="preserve"> </w:t>
      </w:r>
      <w:r w:rsidR="00CC0105">
        <w:rPr>
          <w:lang w:val="en-GB"/>
        </w:rPr>
        <w:t xml:space="preserve">the megafauna density </w:t>
      </w:r>
      <w:r w:rsidR="00721DAF">
        <w:rPr>
          <w:lang w:val="en-GB"/>
        </w:rPr>
        <w:t xml:space="preserve">and community composition. </w:t>
      </w:r>
      <w:r w:rsidR="0003326E" w:rsidRPr="00CC0105">
        <w:rPr>
          <w:lang w:val="en-GB"/>
        </w:rPr>
        <w:t>In order to estimate the epibenthic diversity to the fullest</w:t>
      </w:r>
      <w:r w:rsidR="00ED7CB8">
        <w:rPr>
          <w:lang w:val="en-GB"/>
        </w:rPr>
        <w:t xml:space="preserve"> (which may be required for more sensitive impact assessment)</w:t>
      </w:r>
      <w:r w:rsidR="0003326E" w:rsidRPr="00CC0105">
        <w:rPr>
          <w:lang w:val="en-GB"/>
        </w:rPr>
        <w:t>, the optimal altitude has to be set at the minimum possible distance from the bottom to allow the highest detail of identification for the larger organisms and the possibility to record also smaller and less obvious groups.</w:t>
      </w:r>
      <w:r w:rsidR="0003326E" w:rsidRPr="0003326E">
        <w:rPr>
          <w:lang w:val="en-GB"/>
        </w:rPr>
        <w:t xml:space="preserve"> However, higher observation distance may save time by covering larger areas</w:t>
      </w:r>
      <w:r w:rsidR="0003326E">
        <w:rPr>
          <w:lang w:val="en-GB"/>
        </w:rPr>
        <w:t>.</w:t>
      </w:r>
      <w:r w:rsidR="0003326E" w:rsidRPr="0003326E">
        <w:rPr>
          <w:lang w:val="en-GB"/>
        </w:rPr>
        <w:t xml:space="preserve"> </w:t>
      </w:r>
      <w:r w:rsidR="0003326E">
        <w:rPr>
          <w:lang w:val="en-GB"/>
        </w:rPr>
        <w:t>T</w:t>
      </w:r>
      <w:r w:rsidR="0003326E" w:rsidRPr="0003326E">
        <w:rPr>
          <w:lang w:val="en-GB"/>
        </w:rPr>
        <w:t>herefore</w:t>
      </w:r>
      <w:r w:rsidR="0003326E">
        <w:rPr>
          <w:lang w:val="en-GB"/>
        </w:rPr>
        <w:t>,</w:t>
      </w:r>
      <w:r w:rsidR="0003326E" w:rsidRPr="0003326E">
        <w:rPr>
          <w:lang w:val="en-GB"/>
        </w:rPr>
        <w:t xml:space="preserve"> the final methodology </w:t>
      </w:r>
      <w:r w:rsidR="0003326E">
        <w:rPr>
          <w:lang w:val="en-GB"/>
        </w:rPr>
        <w:t xml:space="preserve">selected </w:t>
      </w:r>
      <w:r w:rsidR="0003326E" w:rsidRPr="0003326E">
        <w:rPr>
          <w:lang w:val="en-GB"/>
        </w:rPr>
        <w:t xml:space="preserve">should </w:t>
      </w:r>
      <w:r w:rsidR="0003326E">
        <w:rPr>
          <w:lang w:val="en-GB"/>
        </w:rPr>
        <w:t>take</w:t>
      </w:r>
      <w:r w:rsidR="0003326E" w:rsidRPr="0003326E">
        <w:rPr>
          <w:lang w:val="en-GB"/>
        </w:rPr>
        <w:t xml:space="preserve"> all these aspects in consideration, </w:t>
      </w:r>
      <w:r w:rsidR="00CB3DE6">
        <w:rPr>
          <w:lang w:val="en-GB"/>
        </w:rPr>
        <w:t xml:space="preserve">and </w:t>
      </w:r>
      <w:r w:rsidR="00CB3DE6" w:rsidRPr="0003326E">
        <w:rPr>
          <w:lang w:val="en-GB"/>
        </w:rPr>
        <w:t>for</w:t>
      </w:r>
      <w:r w:rsidR="00CB3DE6">
        <w:rPr>
          <w:lang w:val="en-GB"/>
        </w:rPr>
        <w:t xml:space="preserve"> long-term monitoring, we advise </w:t>
      </w:r>
      <w:r w:rsidR="0003326E" w:rsidRPr="0003326E">
        <w:rPr>
          <w:lang w:val="en-GB"/>
        </w:rPr>
        <w:t xml:space="preserve">to </w:t>
      </w:r>
      <w:r w:rsidR="00CB3DE6">
        <w:rPr>
          <w:lang w:val="en-GB"/>
        </w:rPr>
        <w:t xml:space="preserve">be </w:t>
      </w:r>
      <w:r w:rsidR="0003326E" w:rsidRPr="0003326E">
        <w:rPr>
          <w:lang w:val="en-GB"/>
        </w:rPr>
        <w:t>consistent with the chosen methodology.</w:t>
      </w:r>
    </w:p>
    <w:p w14:paraId="2E668EEB" w14:textId="77777777" w:rsidR="00BD0D9B" w:rsidRPr="00FD3202" w:rsidRDefault="00BD0D9B" w:rsidP="006601C6">
      <w:pPr>
        <w:pStyle w:val="Kop1"/>
      </w:pPr>
      <w:r w:rsidRPr="00FD3202">
        <w:t>Acknowledgements</w:t>
      </w:r>
    </w:p>
    <w:p w14:paraId="35867320" w14:textId="2163891B" w:rsidR="00A77C90" w:rsidRPr="00FD3202" w:rsidRDefault="00C42E6A" w:rsidP="00C42E6A">
      <w:r w:rsidRPr="00C42E6A">
        <w:rPr>
          <w:lang w:val="en-GB"/>
        </w:rPr>
        <w:t xml:space="preserve">The authors would like to thank the Remus 6000 AUV technical team of Woodshole Oceanographic Institution (Greg Packard, Mark Dennet, Eric Hayden, Fred Jaffre) and OFG (Alison Proctor) for operating the AUV and </w:t>
      </w:r>
      <w:r w:rsidR="00F601E8" w:rsidRPr="00C42E6A">
        <w:rPr>
          <w:lang w:val="en-GB"/>
        </w:rPr>
        <w:t>colour</w:t>
      </w:r>
      <w:r w:rsidRPr="00C42E6A">
        <w:rPr>
          <w:lang w:val="en-GB"/>
        </w:rPr>
        <w:t>-correcting the pictures.</w:t>
      </w:r>
      <w:r>
        <w:rPr>
          <w:lang w:val="en-GB"/>
        </w:rPr>
        <w:t xml:space="preserve"> Moreover,</w:t>
      </w:r>
      <w:r w:rsidR="00D32681" w:rsidRPr="00FD3202">
        <w:rPr>
          <w:lang w:val="en-GB"/>
        </w:rPr>
        <w:t xml:space="preserve"> </w:t>
      </w:r>
      <w:r w:rsidR="00F74433" w:rsidRPr="00FD3202">
        <w:rPr>
          <w:lang w:val="en-GB"/>
        </w:rPr>
        <w:t xml:space="preserve">the captain and the crew of the </w:t>
      </w:r>
      <w:r w:rsidR="00F74433" w:rsidRPr="009251EF">
        <w:rPr>
          <w:i/>
          <w:lang w:val="en-GB"/>
        </w:rPr>
        <w:t>RV</w:t>
      </w:r>
      <w:r w:rsidR="00F74433" w:rsidRPr="00FD3202">
        <w:rPr>
          <w:lang w:val="en-GB"/>
        </w:rPr>
        <w:t xml:space="preserve"> ‘Mt. Mitchell’, </w:t>
      </w:r>
      <w:r w:rsidR="0064159E" w:rsidRPr="00FD3202">
        <w:rPr>
          <w:lang w:val="en-GB"/>
        </w:rPr>
        <w:t xml:space="preserve">François Charlet (GSR), Tom De Wachter (GSR), Alison Proctor (OFG), Phil and Tony Wass (OFG), and Nick Eloot (G-TEC) </w:t>
      </w:r>
      <w:r>
        <w:rPr>
          <w:lang w:val="en-GB"/>
        </w:rPr>
        <w:t xml:space="preserve">are acknowledged </w:t>
      </w:r>
      <w:r w:rsidR="00F74433" w:rsidRPr="00FD3202">
        <w:rPr>
          <w:lang w:val="en-GB"/>
        </w:rPr>
        <w:t xml:space="preserve">for their help </w:t>
      </w:r>
      <w:r>
        <w:rPr>
          <w:lang w:val="en-GB"/>
        </w:rPr>
        <w:t>during the GSRNOD15A expedition</w:t>
      </w:r>
      <w:r w:rsidR="00F74433" w:rsidRPr="00FD3202">
        <w:rPr>
          <w:lang w:val="en-GB"/>
        </w:rPr>
        <w:t>.</w:t>
      </w:r>
      <w:r w:rsidR="0064159E" w:rsidRPr="00FD3202">
        <w:rPr>
          <w:lang w:val="en-GB"/>
        </w:rPr>
        <w:t xml:space="preserve"> </w:t>
      </w:r>
      <w:r w:rsidR="001B4A46">
        <w:rPr>
          <w:lang w:val="en-GB"/>
        </w:rPr>
        <w:t xml:space="preserve">We thank </w:t>
      </w:r>
      <w:r w:rsidR="00BE3B02" w:rsidRPr="001B4A46">
        <w:rPr>
          <w:lang w:val="en-GB"/>
        </w:rPr>
        <w:t xml:space="preserve">Karen Soenen </w:t>
      </w:r>
      <w:r w:rsidR="004349D7" w:rsidRPr="001B4A46">
        <w:rPr>
          <w:lang w:val="en-GB"/>
        </w:rPr>
        <w:t xml:space="preserve">(G-TEC) </w:t>
      </w:r>
      <w:r w:rsidR="00BE3B02" w:rsidRPr="001B4A46">
        <w:rPr>
          <w:lang w:val="en-GB"/>
        </w:rPr>
        <w:t>for</w:t>
      </w:r>
      <w:r w:rsidR="00440BA0" w:rsidRPr="001B4A46">
        <w:rPr>
          <w:lang w:val="en-GB"/>
        </w:rPr>
        <w:t xml:space="preserve"> providing bathymetry data</w:t>
      </w:r>
      <w:r w:rsidR="001B4A46">
        <w:rPr>
          <w:lang w:val="en-GB"/>
        </w:rPr>
        <w:t xml:space="preserve"> and </w:t>
      </w:r>
      <w:r w:rsidR="0079518C" w:rsidRPr="001B4A46">
        <w:rPr>
          <w:lang w:val="en-GB"/>
        </w:rPr>
        <w:t>Timm Schoening</w:t>
      </w:r>
      <w:r w:rsidR="004349D7" w:rsidRPr="00FD3202">
        <w:rPr>
          <w:lang w:val="en-GB"/>
        </w:rPr>
        <w:t xml:space="preserve"> (GEOMAR)</w:t>
      </w:r>
      <w:r w:rsidR="00440BA0">
        <w:rPr>
          <w:lang w:val="en-GB"/>
        </w:rPr>
        <w:t xml:space="preserve"> for assist</w:t>
      </w:r>
      <w:r w:rsidR="001B4A46">
        <w:rPr>
          <w:lang w:val="en-GB"/>
        </w:rPr>
        <w:t>ing</w:t>
      </w:r>
      <w:r w:rsidR="00440BA0">
        <w:rPr>
          <w:lang w:val="en-GB"/>
        </w:rPr>
        <w:t xml:space="preserve"> with the </w:t>
      </w:r>
      <w:r w:rsidR="001B4A46" w:rsidRPr="00FD3202">
        <w:rPr>
          <w:lang w:val="en-GB"/>
        </w:rPr>
        <w:t>BIIGLE 2.0</w:t>
      </w:r>
      <w:r w:rsidR="00440BA0">
        <w:rPr>
          <w:lang w:val="en-GB"/>
        </w:rPr>
        <w:t xml:space="preserve"> software</w:t>
      </w:r>
      <w:r w:rsidR="001B4A46">
        <w:rPr>
          <w:lang w:val="en-GB"/>
        </w:rPr>
        <w:t xml:space="preserve"> tool</w:t>
      </w:r>
      <w:r w:rsidR="00440BA0">
        <w:rPr>
          <w:lang w:val="en-GB"/>
        </w:rPr>
        <w:t xml:space="preserve"> and </w:t>
      </w:r>
      <w:r w:rsidR="001B4A46">
        <w:rPr>
          <w:lang w:val="en-GB"/>
        </w:rPr>
        <w:t>arranging</w:t>
      </w:r>
      <w:r w:rsidR="00440BA0">
        <w:rPr>
          <w:lang w:val="en-GB"/>
        </w:rPr>
        <w:t xml:space="preserve"> </w:t>
      </w:r>
      <w:r w:rsidR="004520B6">
        <w:rPr>
          <w:lang w:val="en-GB"/>
        </w:rPr>
        <w:t xml:space="preserve">storage space </w:t>
      </w:r>
      <w:r w:rsidR="004520B6" w:rsidRPr="00FD3202">
        <w:rPr>
          <w:lang w:val="en-GB"/>
        </w:rPr>
        <w:t xml:space="preserve">on </w:t>
      </w:r>
      <w:r w:rsidR="004520B6">
        <w:rPr>
          <w:lang w:val="en-GB"/>
        </w:rPr>
        <w:t xml:space="preserve">the Geomar server. </w:t>
      </w:r>
      <w:r w:rsidR="0064159E" w:rsidRPr="00FD3202">
        <w:rPr>
          <w:lang w:val="en-GB"/>
        </w:rPr>
        <w:t xml:space="preserve">The environmental baseline survey in the GSR </w:t>
      </w:r>
      <w:r w:rsidR="00B73220">
        <w:rPr>
          <w:lang w:val="en-GB"/>
        </w:rPr>
        <w:t>contract</w:t>
      </w:r>
      <w:r w:rsidR="0064159E" w:rsidRPr="00FD3202">
        <w:rPr>
          <w:lang w:val="en-GB"/>
        </w:rPr>
        <w:t xml:space="preserve"> area is supported by a service </w:t>
      </w:r>
      <w:r w:rsidR="000656A8">
        <w:rPr>
          <w:lang w:val="en-GB"/>
        </w:rPr>
        <w:t xml:space="preserve">agreement </w:t>
      </w:r>
      <w:r w:rsidR="0064159E" w:rsidRPr="00FD3202">
        <w:rPr>
          <w:lang w:val="en-GB"/>
        </w:rPr>
        <w:t>between Global Sea Mineral Reso</w:t>
      </w:r>
      <w:r w:rsidR="00CC3F60" w:rsidRPr="00FD3202">
        <w:rPr>
          <w:lang w:val="en-GB"/>
        </w:rPr>
        <w:t>urces N.V. and Ghent University.</w:t>
      </w:r>
      <w:r w:rsidR="00A77C90" w:rsidRPr="00FD3202">
        <w:br w:type="page"/>
      </w:r>
    </w:p>
    <w:p w14:paraId="01FB6D4B" w14:textId="77777777" w:rsidR="00F15790" w:rsidRPr="00FD3202" w:rsidRDefault="00665DF1" w:rsidP="006601C6">
      <w:pPr>
        <w:pStyle w:val="Kop1"/>
      </w:pPr>
      <w:r w:rsidRPr="00FD3202">
        <w:lastRenderedPageBreak/>
        <w:t>References</w:t>
      </w:r>
    </w:p>
    <w:p w14:paraId="03CD2D77" w14:textId="77777777" w:rsidR="00EA47C0" w:rsidRDefault="0074422D" w:rsidP="00EA47C0">
      <w:pPr>
        <w:pStyle w:val="Bibliography"/>
      </w:pPr>
      <w:r w:rsidRPr="00FD3202">
        <w:rPr>
          <w:lang w:val="en-GB"/>
        </w:rPr>
        <w:fldChar w:fldCharType="begin"/>
      </w:r>
      <w:r w:rsidR="00D15CD2" w:rsidRPr="006601C6">
        <w:rPr>
          <w:lang w:val="nl-BE"/>
        </w:rPr>
        <w:instrText xml:space="preserve"> ADDIN ZOTERO_BIBL {"uncited":[],"omitted":[],"custom":[]} CSL_BIBLIOGRAPHY </w:instrText>
      </w:r>
      <w:r w:rsidRPr="00FD3202">
        <w:rPr>
          <w:lang w:val="en-GB"/>
        </w:rPr>
        <w:fldChar w:fldCharType="separate"/>
      </w:r>
      <w:r w:rsidR="00EA47C0" w:rsidRPr="00EA47C0">
        <w:rPr>
          <w:lang w:val="nl-BE"/>
        </w:rPr>
        <w:t xml:space="preserve">Amon, D. J., Ziegler, A. F., Dahlgren, T. G., Glover, A. G., Goineau, A., Gooday, A. J., et al. </w:t>
      </w:r>
      <w:r w:rsidR="00EA47C0">
        <w:t xml:space="preserve">(2016). Insights into the abundance and diversity of abyssal megafauna in a polymetallic-nodule region in the eastern Clarion-Clipperton Zone. </w:t>
      </w:r>
      <w:r w:rsidR="00EA47C0">
        <w:rPr>
          <w:i/>
          <w:iCs/>
        </w:rPr>
        <w:t>Sci. Rep.</w:t>
      </w:r>
      <w:r w:rsidR="00EA47C0">
        <w:t xml:space="preserve"> 6, 30492. doi:10.1038/srep30492.</w:t>
      </w:r>
    </w:p>
    <w:p w14:paraId="7155E3A7" w14:textId="77777777" w:rsidR="00EA47C0" w:rsidRDefault="00EA47C0" w:rsidP="00EA47C0">
      <w:pPr>
        <w:pStyle w:val="Bibliography"/>
      </w:pPr>
      <w:r>
        <w:t xml:space="preserve">Anderson, M. J., Gorley, R. N., and Clarke, K. R. (2008). </w:t>
      </w:r>
      <w:r>
        <w:rPr>
          <w:i/>
          <w:iCs/>
        </w:rPr>
        <w:t>PERMANOVA+ for PRIMER: guide for software and statistical methods</w:t>
      </w:r>
      <w:r>
        <w:t>. Plymouth: Primer-E Ltd Available at: file:///D:/Elpape/My Documents/Ellen.Data/PDF/permanova+_for_primer_2008-3210213892/permanova+_for_primer_2008.pdf.</w:t>
      </w:r>
    </w:p>
    <w:p w14:paraId="070B6B11" w14:textId="77777777" w:rsidR="00EA47C0" w:rsidRDefault="00EA47C0" w:rsidP="00EA47C0">
      <w:pPr>
        <w:pStyle w:val="Bibliography"/>
      </w:pPr>
      <w:r>
        <w:t xml:space="preserve">Billett, D. S. M., Bett, B. J., Reid, W. D. K., Boorman, B., and Priede, I. G. (2010). Long-term change in the abyssal NE Atlantic: The ‘Amperima Event’ revisited. </w:t>
      </w:r>
      <w:r>
        <w:rPr>
          <w:i/>
          <w:iCs/>
        </w:rPr>
        <w:t>Deep Sea Res. Part II Top. Stud. Oceanogr.</w:t>
      </w:r>
      <w:r>
        <w:t xml:space="preserve"> 57, 1406–1417. doi:10.1016/j.dsr2.2009.02.001.</w:t>
      </w:r>
    </w:p>
    <w:p w14:paraId="5C172625" w14:textId="77777777" w:rsidR="00EA47C0" w:rsidRDefault="00EA47C0" w:rsidP="00EA47C0">
      <w:pPr>
        <w:pStyle w:val="Bibliography"/>
      </w:pPr>
      <w:r>
        <w:t xml:space="preserve">Clarke, K., and Gorley, R. (2006). </w:t>
      </w:r>
      <w:r>
        <w:rPr>
          <w:i/>
          <w:iCs/>
        </w:rPr>
        <w:t>PRIMER v6: User Manual/tutorial</w:t>
      </w:r>
      <w:r>
        <w:t>. Plymouth: Primer-E Ltd Available at: file:///D:/Elpape/My Documents/Ellen.Data/PDF/Primer_v6_manual_2-0211588865/Primer_v6_manual_2.pdf.</w:t>
      </w:r>
    </w:p>
    <w:p w14:paraId="7F1F3167" w14:textId="77777777" w:rsidR="00EA47C0" w:rsidRDefault="00EA47C0" w:rsidP="00EA47C0">
      <w:pPr>
        <w:pStyle w:val="Bibliography"/>
      </w:pPr>
      <w:r>
        <w:t xml:space="preserve">Clarke, K. R. (1993). Non-parametric multivariate analyses of changes in community structure. </w:t>
      </w:r>
      <w:r>
        <w:rPr>
          <w:i/>
          <w:iCs/>
        </w:rPr>
        <w:t>Aust. J. Ecol.</w:t>
      </w:r>
      <w:r>
        <w:t xml:space="preserve"> 18, 117–143. doi:10.1111/j.1442-9993.1993.tb00438.x.</w:t>
      </w:r>
    </w:p>
    <w:p w14:paraId="6AB7460F" w14:textId="77777777" w:rsidR="00EA47C0" w:rsidRDefault="00EA47C0" w:rsidP="00EA47C0">
      <w:pPr>
        <w:pStyle w:val="Bibliography"/>
      </w:pPr>
      <w:r>
        <w:t xml:space="preserve">Cuvelier, D., Ribeiro, P. A., Ramalho, S. P., Kersken, D., Martinez Arbizu, P., and Colaço, A. (2020). Are seamounts refuge areas for fauna from polymetallic nodule fields? </w:t>
      </w:r>
      <w:r>
        <w:rPr>
          <w:i/>
          <w:iCs/>
        </w:rPr>
        <w:t>Biogeosciences</w:t>
      </w:r>
      <w:r>
        <w:t xml:space="preserve"> 17, 2657–2680. doi:https://doi.org/10.5194/bg-17-2657-2020.</w:t>
      </w:r>
    </w:p>
    <w:p w14:paraId="1407A137" w14:textId="77777777" w:rsidR="00EA47C0" w:rsidRDefault="00EA47C0" w:rsidP="00EA47C0">
      <w:pPr>
        <w:pStyle w:val="Bibliography"/>
      </w:pPr>
      <w:r>
        <w:t xml:space="preserve">De Smet, B., Pape, E., Riehl, T., Bonifácio, P., Colson, L., and Vanreusel, A. (2017). The Community Structure of Deep-Sea Macrofauna Associated with Polymetallic Nodules in the Eastern Part of the Clarion-Clipperton Fracture Zone. </w:t>
      </w:r>
      <w:r>
        <w:rPr>
          <w:i/>
          <w:iCs/>
        </w:rPr>
        <w:t>Front. Mar. Sci.</w:t>
      </w:r>
      <w:r>
        <w:t xml:space="preserve"> 4. doi:10.3389/fmars.2017.00103.</w:t>
      </w:r>
    </w:p>
    <w:p w14:paraId="03C086D0" w14:textId="77777777" w:rsidR="00EA47C0" w:rsidRPr="00EA47C0" w:rsidRDefault="00EA47C0" w:rsidP="00EA47C0">
      <w:pPr>
        <w:pStyle w:val="Bibliography"/>
        <w:rPr>
          <w:lang w:val="nl-BE"/>
        </w:rPr>
      </w:pPr>
      <w:r>
        <w:t xml:space="preserve">Durden, J., Bett, B., Schoening, T., Morris, K., Nattkemper, T., and Ruhl, H. (2016a). Comparison of image annotation data generated by multiple investigators for benthic ecology. </w:t>
      </w:r>
      <w:r w:rsidRPr="00EA47C0">
        <w:rPr>
          <w:i/>
          <w:iCs/>
          <w:lang w:val="nl-BE"/>
        </w:rPr>
        <w:t>Mar. Ecol. Prog. Ser.</w:t>
      </w:r>
      <w:r w:rsidRPr="00EA47C0">
        <w:rPr>
          <w:lang w:val="nl-BE"/>
        </w:rPr>
        <w:t xml:space="preserve"> 552, 61–70. doi:10.3354/meps11775.</w:t>
      </w:r>
    </w:p>
    <w:p w14:paraId="0C008626" w14:textId="77777777" w:rsidR="00EA47C0" w:rsidRDefault="00EA47C0" w:rsidP="00EA47C0">
      <w:pPr>
        <w:pStyle w:val="Bibliography"/>
      </w:pPr>
      <w:r w:rsidRPr="00EA47C0">
        <w:rPr>
          <w:lang w:val="nl-BE"/>
        </w:rPr>
        <w:t xml:space="preserve">Durden, J. M., Murphy, K., Jaeckel, A., Van Dover, C. L., Christiansen, S., Gjerde, K., et al. </w:t>
      </w:r>
      <w:r>
        <w:t xml:space="preserve">(2017). A procedural framework for robust environmental management of deep-sea mining projects using a conceptual model. </w:t>
      </w:r>
      <w:r>
        <w:rPr>
          <w:i/>
          <w:iCs/>
        </w:rPr>
        <w:t>Mar. Policy</w:t>
      </w:r>
      <w:r>
        <w:t xml:space="preserve"> 84, 193–201. doi:10.1016/j.marpol.2017.07.002.</w:t>
      </w:r>
    </w:p>
    <w:p w14:paraId="0B271635" w14:textId="77777777" w:rsidR="00EA47C0" w:rsidRDefault="00EA47C0" w:rsidP="00EA47C0">
      <w:pPr>
        <w:pStyle w:val="Bibliography"/>
      </w:pPr>
      <w:r>
        <w:t xml:space="preserve">Durden, J. M., Schoening, T., Althaus, F., Friedman, A., Garcia, R., Glover, A. G., et al. (2016b). Perspectives in Visual Imaging for Marine Biology and Ecology: From Acquisition to Understanding. </w:t>
      </w:r>
      <w:r>
        <w:rPr>
          <w:i/>
          <w:iCs/>
        </w:rPr>
        <w:t>Oceanogr. Mar. Biol.</w:t>
      </w:r>
      <w:r>
        <w:t xml:space="preserve"> 54, 1–72. doi:10.1201/9781315368597-6.</w:t>
      </w:r>
    </w:p>
    <w:p w14:paraId="758B9DC8" w14:textId="77777777" w:rsidR="00EA47C0" w:rsidRDefault="00EA47C0" w:rsidP="00EA47C0">
      <w:pPr>
        <w:pStyle w:val="Bibliography"/>
      </w:pPr>
      <w:r>
        <w:t xml:space="preserve">Erftemeijer, P. L. A., Riegl, B., Hoeksema, B. W., and Todd, P. A. (2012). Environmental impacts of dredging and other sediment disturbances on corals: A review. </w:t>
      </w:r>
      <w:r>
        <w:rPr>
          <w:i/>
          <w:iCs/>
        </w:rPr>
        <w:t>Mar. Pollut. Bull.</w:t>
      </w:r>
      <w:r>
        <w:t xml:space="preserve"> 64, 1737–1765. doi:https://doi.org/10.1016/j.marpolbul.2012.05.008.</w:t>
      </w:r>
    </w:p>
    <w:p w14:paraId="0830FA25" w14:textId="77777777" w:rsidR="00EA47C0" w:rsidRDefault="00EA47C0" w:rsidP="00EA47C0">
      <w:pPr>
        <w:pStyle w:val="Bibliography"/>
      </w:pPr>
      <w:r>
        <w:t xml:space="preserve">Fukushima, T., Shirayama, Y., and Kuboki, E. (2000). The characteristics of deep-sea epifaunal megabenthos community two years after an artificial rapid deposition event. </w:t>
      </w:r>
      <w:r>
        <w:rPr>
          <w:i/>
          <w:iCs/>
        </w:rPr>
        <w:t>Publ. Seto Mar. Biol. Lab.</w:t>
      </w:r>
      <w:r>
        <w:t xml:space="preserve"> 39, 17–27.</w:t>
      </w:r>
    </w:p>
    <w:p w14:paraId="59F913EA" w14:textId="77777777" w:rsidR="00EA47C0" w:rsidRPr="00EA47C0" w:rsidRDefault="00EA47C0" w:rsidP="00EA47C0">
      <w:pPr>
        <w:pStyle w:val="Bibliography"/>
        <w:rPr>
          <w:lang w:val="nl-BE"/>
        </w:rPr>
      </w:pPr>
      <w:r>
        <w:t xml:space="preserve">Glover, A., Dahlgren, T. G., Wiklund, H., and Smith, C. R. (2015). An end-to-end DNA taxonomy methodology for biodiversity survey in the central Pacific abyssal plain. </w:t>
      </w:r>
      <w:r w:rsidRPr="00EA47C0">
        <w:rPr>
          <w:i/>
          <w:iCs/>
          <w:lang w:val="nl-BE"/>
        </w:rPr>
        <w:t>J. Mar. Sci. Eng.</w:t>
      </w:r>
      <w:r w:rsidRPr="00EA47C0">
        <w:rPr>
          <w:lang w:val="nl-BE"/>
        </w:rPr>
        <w:t xml:space="preserve"> 4, 1–34. doi:10.3390/jmse4010002.</w:t>
      </w:r>
    </w:p>
    <w:p w14:paraId="437DD3DF" w14:textId="77777777" w:rsidR="00EA47C0" w:rsidRDefault="00EA47C0" w:rsidP="00EA47C0">
      <w:pPr>
        <w:pStyle w:val="Bibliography"/>
      </w:pPr>
      <w:r w:rsidRPr="00EA47C0">
        <w:rPr>
          <w:lang w:val="nl-BE"/>
        </w:rPr>
        <w:lastRenderedPageBreak/>
        <w:t xml:space="preserve">Gollner, S., Kaiser, S., Menzel, L., Jones, D. O. B., Brown, A., Mestre, N. C., et al. </w:t>
      </w:r>
      <w:r>
        <w:t xml:space="preserve">(2017). Resilience of benthic deep-sea fauna to mining activities. </w:t>
      </w:r>
      <w:r>
        <w:rPr>
          <w:i/>
          <w:iCs/>
        </w:rPr>
        <w:t>Mar. Environ. Res.</w:t>
      </w:r>
      <w:r>
        <w:t xml:space="preserve"> doi:10.1016/j.marenvres.2017.04.010.</w:t>
      </w:r>
    </w:p>
    <w:p w14:paraId="4D35E003" w14:textId="77777777" w:rsidR="00EA47C0" w:rsidRDefault="00EA47C0" w:rsidP="00EA47C0">
      <w:pPr>
        <w:pStyle w:val="Bibliography"/>
      </w:pPr>
      <w:r>
        <w:t xml:space="preserve">Hein, J. R., Mizell, K., Koschinsky, A., and Conrad, T. A. (2013). Deep-ocean mineral deposits as a source of critical metals for high- and green-technology applications: Comparison with land-based resources. </w:t>
      </w:r>
      <w:r>
        <w:rPr>
          <w:i/>
          <w:iCs/>
        </w:rPr>
        <w:t>Ore Geol. Rev.</w:t>
      </w:r>
      <w:r>
        <w:t xml:space="preserve"> 51, 1–14. doi:10.1016/j.oregeorev.2012.12.001.</w:t>
      </w:r>
    </w:p>
    <w:p w14:paraId="26DFB04D" w14:textId="77777777" w:rsidR="00EA47C0" w:rsidRDefault="00EA47C0" w:rsidP="00EA47C0">
      <w:pPr>
        <w:pStyle w:val="Bibliography"/>
      </w:pPr>
      <w:r>
        <w:t xml:space="preserve">Howell, K. L., Bullimore, R. D., and Foster, N. L. (2014). Quality assurance in the identification of deep-sea taxa from video and image analysis: response to Henry and Roberts. </w:t>
      </w:r>
      <w:r>
        <w:rPr>
          <w:i/>
          <w:iCs/>
        </w:rPr>
        <w:t>ICES J. Mar. Sci.</w:t>
      </w:r>
      <w:r>
        <w:t xml:space="preserve"> 71, 899–906. doi:10.1093/icesjms/fsu052.</w:t>
      </w:r>
    </w:p>
    <w:p w14:paraId="6E7B5250" w14:textId="77777777" w:rsidR="00EA47C0" w:rsidRDefault="00EA47C0" w:rsidP="00EA47C0">
      <w:pPr>
        <w:pStyle w:val="Bibliography"/>
      </w:pPr>
      <w:r>
        <w:t xml:space="preserve">Hughes, J. A., and Gooday, A. J. (2004). The influence of dead Syringammina fragilissima (Xenophyophorea) tests on the distribution of benthic foraminifera in the Darwin Mounds region (NE Atlantic). </w:t>
      </w:r>
      <w:r>
        <w:rPr>
          <w:i/>
          <w:iCs/>
        </w:rPr>
        <w:t>Deep-Sea Res. I</w:t>
      </w:r>
      <w:r>
        <w:t xml:space="preserve"> 51, 1741–1758.</w:t>
      </w:r>
    </w:p>
    <w:p w14:paraId="0C11A6D3" w14:textId="77777777" w:rsidR="00EA47C0" w:rsidRDefault="00EA47C0" w:rsidP="00EA47C0">
      <w:pPr>
        <w:pStyle w:val="Bibliography"/>
      </w:pPr>
      <w:r>
        <w:t>International Seabed Authority (2019). ISBA/25/LTC/8 Recommendations for the guidance of contractors for the assessment of the possible environmental impacts arising from exploration for marine minerals in the Area.</w:t>
      </w:r>
    </w:p>
    <w:p w14:paraId="1C39A587" w14:textId="77777777" w:rsidR="00EA47C0" w:rsidRDefault="00EA47C0" w:rsidP="00EA47C0">
      <w:pPr>
        <w:pStyle w:val="Bibliography"/>
      </w:pPr>
      <w:r>
        <w:t>Jones, D. O. B., Bett, B. J., Wynn, R. B., and Masson, D. G. (2009). The use of towed camera platforms in deep-water science. doi:info:doi/10.3723/ut.28.041.</w:t>
      </w:r>
    </w:p>
    <w:p w14:paraId="6A8FDA59" w14:textId="77777777" w:rsidR="00EA47C0" w:rsidRDefault="00EA47C0" w:rsidP="00EA47C0">
      <w:pPr>
        <w:pStyle w:val="Bibliography"/>
      </w:pPr>
      <w:r w:rsidRPr="00EA47C0">
        <w:rPr>
          <w:lang w:val="nl-BE"/>
        </w:rPr>
        <w:t xml:space="preserve">Jones, D. O. B., Kaiser, S., Sweetman, A. K., Smith, C. R., Menot, L., Vink, A., et al. </w:t>
      </w:r>
      <w:r>
        <w:t xml:space="preserve">(2017). Biological responses to disturbance from simulated deep-sea polymetallic nodule mining. </w:t>
      </w:r>
      <w:r>
        <w:rPr>
          <w:i/>
          <w:iCs/>
        </w:rPr>
        <w:t>PLOS ONE</w:t>
      </w:r>
      <w:r>
        <w:t xml:space="preserve"> 12, e0171750. doi:10.1371/journal.pone.0171750.</w:t>
      </w:r>
    </w:p>
    <w:p w14:paraId="2BB86BEA" w14:textId="77777777" w:rsidR="00EA47C0" w:rsidRDefault="00EA47C0" w:rsidP="00EA47C0">
      <w:pPr>
        <w:pStyle w:val="Bibliography"/>
      </w:pPr>
      <w:r>
        <w:t xml:space="preserve">Langenkämper, D., Zurowietz, M., Schoening, T., and Nattkemper, T. W. (2017). BIIGLE 2.0 - Browsing and Annotating Large Marine Image Collections. </w:t>
      </w:r>
      <w:r>
        <w:rPr>
          <w:i/>
          <w:iCs/>
        </w:rPr>
        <w:t>Front. Mar. Sci.</w:t>
      </w:r>
      <w:r>
        <w:t xml:space="preserve"> 4. doi:10.3389/fmars.2017.00083.</w:t>
      </w:r>
    </w:p>
    <w:p w14:paraId="5D10B2D8" w14:textId="77777777" w:rsidR="00EA47C0" w:rsidRDefault="00EA47C0" w:rsidP="00EA47C0">
      <w:pPr>
        <w:pStyle w:val="Bibliography"/>
      </w:pPr>
      <w:r>
        <w:t xml:space="preserve">Lutz, M. J., Caldeira, K., Dunbar, R. B., and Behrenfeld, M. J. (2007). Seasonal rhythms of net primary production and particulate organic carbon flux to depth describe the efficiency of biological pump in the global ocean. </w:t>
      </w:r>
      <w:r>
        <w:rPr>
          <w:i/>
          <w:iCs/>
        </w:rPr>
        <w:t>J. Geophys. Res. Oceans</w:t>
      </w:r>
      <w:r>
        <w:t xml:space="preserve"> 112, C10011. doi:10.1029/2006JC003706.</w:t>
      </w:r>
    </w:p>
    <w:p w14:paraId="64A9E334" w14:textId="77777777" w:rsidR="00EA47C0" w:rsidRDefault="00EA47C0" w:rsidP="00EA47C0">
      <w:pPr>
        <w:pStyle w:val="Bibliography"/>
      </w:pPr>
      <w:r>
        <w:t xml:space="preserve">Mewes, K., Mogollón, J. M., Picard, A., Rühlemann, C., Kuhn, T., Nöthen, K., et al. (2014). Impact of depositional and biogeochemical processes on small scale variations in nodule abundance in the Clarion‐Clipperton Fracture Zone. </w:t>
      </w:r>
      <w:r>
        <w:rPr>
          <w:i/>
          <w:iCs/>
        </w:rPr>
        <w:t>Deep Sea Res. Part Oceanogr. Res. Pap.</w:t>
      </w:r>
      <w:r>
        <w:t xml:space="preserve"> 91, 125–141. doi:10.1016/j.dsr.2014.06.001.</w:t>
      </w:r>
    </w:p>
    <w:p w14:paraId="647E40D1" w14:textId="77777777" w:rsidR="00EA47C0" w:rsidRDefault="00EA47C0" w:rsidP="00EA47C0">
      <w:pPr>
        <w:pStyle w:val="Bibliography"/>
      </w:pPr>
      <w:r>
        <w:t xml:space="preserve">Morgan, C. L., Nichols, J. A., Selk, B. W., Toth, J. R., and Wallin, C. (1993). Preliminary analysis of exploration data from Pacific deposits of manganese nodules. </w:t>
      </w:r>
      <w:r>
        <w:rPr>
          <w:i/>
          <w:iCs/>
        </w:rPr>
        <w:t>Mar. Georesources Geotechnol.</w:t>
      </w:r>
      <w:r>
        <w:t xml:space="preserve"> 11, 1–25. doi:10.1080/10641199309379903.</w:t>
      </w:r>
    </w:p>
    <w:p w14:paraId="5A898696" w14:textId="77777777" w:rsidR="00EA47C0" w:rsidRDefault="00EA47C0" w:rsidP="00EA47C0">
      <w:pPr>
        <w:pStyle w:val="Bibliography"/>
      </w:pPr>
      <w:r>
        <w:t xml:space="preserve">Morris, K. J., Bett, B. J., Durden, J. M., Huvenne, V. A. I., Milligan, R., Jones, D. O. B., et al. (2014). A new method for ecological surveying of the abyss using autonomous underwater vehicle photography. </w:t>
      </w:r>
      <w:r>
        <w:rPr>
          <w:i/>
          <w:iCs/>
        </w:rPr>
        <w:t>Limnol. Oceanogr. Methods</w:t>
      </w:r>
      <w:r>
        <w:t xml:space="preserve"> 12, 795–809. doi:10.4319/lom.2014.12.795.</w:t>
      </w:r>
    </w:p>
    <w:p w14:paraId="68FD2193" w14:textId="77777777" w:rsidR="00EA47C0" w:rsidRDefault="00EA47C0" w:rsidP="00EA47C0">
      <w:pPr>
        <w:pStyle w:val="Bibliography"/>
      </w:pPr>
      <w:r>
        <w:t>Nautilus Minerals (2016). NI 43-101 Technical Report TOML Clarion Clipperton Zone Project, Pacific Ocean.</w:t>
      </w:r>
    </w:p>
    <w:p w14:paraId="51FDF29F" w14:textId="77777777" w:rsidR="00EA47C0" w:rsidRDefault="00EA47C0" w:rsidP="00EA47C0">
      <w:pPr>
        <w:pStyle w:val="Bibliography"/>
      </w:pPr>
      <w:r>
        <w:t xml:space="preserve">Oebius, H. U., Becker, H. J., Rolinski, S., and Jankowski, J. A. (2001). Parametrization and evaluation of marine environmental impacts produced by deep-sea manganese nodule mining. </w:t>
      </w:r>
      <w:r>
        <w:rPr>
          <w:i/>
          <w:iCs/>
        </w:rPr>
        <w:t>Deep Sea Res. Part II Top. Stud. Oceanogr.</w:t>
      </w:r>
      <w:r>
        <w:t xml:space="preserve"> 48, 3453–3467. doi:10.1016/S0967-0645(01)00052-2.</w:t>
      </w:r>
    </w:p>
    <w:p w14:paraId="16519F06" w14:textId="77777777" w:rsidR="00EA47C0" w:rsidRDefault="00EA47C0" w:rsidP="00EA47C0">
      <w:pPr>
        <w:pStyle w:val="Bibliography"/>
      </w:pPr>
      <w:r>
        <w:lastRenderedPageBreak/>
        <w:t xml:space="preserve">Pape, E., Bezerra, T. N., Hauquier, F., and Vanreusel, A. (2017). Limited Spatial and Temporal Variability in Meiofauna and Nematode Communities at Distant but Environmentally Similar Sites in an Area of Interest for Deep-Sea Mining. </w:t>
      </w:r>
      <w:r>
        <w:rPr>
          <w:i/>
          <w:iCs/>
        </w:rPr>
        <w:t>Front. Mar. Sci.</w:t>
      </w:r>
      <w:r>
        <w:t xml:space="preserve"> 4. doi:10.3389/fmars.2017.00205.</w:t>
      </w:r>
    </w:p>
    <w:p w14:paraId="544E53D0" w14:textId="77777777" w:rsidR="00EA47C0" w:rsidRDefault="00EA47C0" w:rsidP="00EA47C0">
      <w:pPr>
        <w:pStyle w:val="Bibliography"/>
      </w:pPr>
      <w:r>
        <w:t xml:space="preserve">Petersen, S., Krätschell, A., Augustin, N., Jamieson, J., Hein, J. R., and Hannington, M. D. (2016). News from the seabed – Geological characteristics and resource potential of deep-sea mineral resources. </w:t>
      </w:r>
      <w:r>
        <w:rPr>
          <w:i/>
          <w:iCs/>
        </w:rPr>
        <w:t>Mar. Policy</w:t>
      </w:r>
      <w:r>
        <w:t xml:space="preserve"> 70, 175–187. doi:10.1016/j.marpol.2016.03.012.</w:t>
      </w:r>
    </w:p>
    <w:p w14:paraId="5BF239F6" w14:textId="77777777" w:rsidR="00EA47C0" w:rsidRDefault="00EA47C0" w:rsidP="00EA47C0">
      <w:pPr>
        <w:pStyle w:val="Bibliography"/>
      </w:pPr>
      <w:r>
        <w:t xml:space="preserve">Peukert, A., Schoening, T., Alevizos, E., Köser, K., Kwasnitschka, T., and Greinert, J. (2018). Understanding Mn-nodule distribution and evaluation of related deep-sea mining impacts using AUV-based hydroacoustic and optical data. </w:t>
      </w:r>
      <w:r>
        <w:rPr>
          <w:i/>
          <w:iCs/>
        </w:rPr>
        <w:t>Biogeosciences</w:t>
      </w:r>
      <w:r>
        <w:t xml:space="preserve"> 15, 2525–2549. doi:10.5194/bg-15-2525-2018.</w:t>
      </w:r>
    </w:p>
    <w:p w14:paraId="76A685AE" w14:textId="77777777" w:rsidR="00EA47C0" w:rsidRDefault="00EA47C0" w:rsidP="00EA47C0">
      <w:pPr>
        <w:pStyle w:val="Bibliography"/>
      </w:pPr>
      <w:r>
        <w:t xml:space="preserve">R Development Core Team (2015). </w:t>
      </w:r>
      <w:r>
        <w:rPr>
          <w:i/>
          <w:iCs/>
        </w:rPr>
        <w:t>R: A language and environment for statistical computing. R Foundation for Statistical Computing, Vienna, Austria. URL http://www.R-project.org/.</w:t>
      </w:r>
    </w:p>
    <w:p w14:paraId="6D6352F4" w14:textId="77777777" w:rsidR="00EA47C0" w:rsidRDefault="00EA47C0" w:rsidP="00EA47C0">
      <w:pPr>
        <w:pStyle w:val="Bibliography"/>
      </w:pPr>
      <w:r>
        <w:t xml:space="preserve">Radziejewska, T., and Stoyanova, V. (2000). Abyssal epibenthic megafauna of the Clarion-Clipperton area (NE Pacific): changes in time and space versus anthropogenic environmental disturbance. </w:t>
      </w:r>
      <w:r>
        <w:rPr>
          <w:i/>
          <w:iCs/>
        </w:rPr>
        <w:t>Oceanol. Stud.</w:t>
      </w:r>
      <w:r>
        <w:t xml:space="preserve"> 29, 83–101.</w:t>
      </w:r>
    </w:p>
    <w:p w14:paraId="16724677" w14:textId="77777777" w:rsidR="00EA47C0" w:rsidRDefault="00EA47C0" w:rsidP="00EA47C0">
      <w:pPr>
        <w:pStyle w:val="Bibliography"/>
      </w:pPr>
      <w:r>
        <w:t xml:space="preserve">Ruhl, H. A. (2007). Abundance and Size Distribution Dynamics of Abyssal Epibenthic Megafauna in the Northeast Pacific. </w:t>
      </w:r>
      <w:r>
        <w:rPr>
          <w:i/>
          <w:iCs/>
        </w:rPr>
        <w:t>Ecology</w:t>
      </w:r>
      <w:r>
        <w:t xml:space="preserve"> 88, 1250–1262. doi:10.1890/06-0890.</w:t>
      </w:r>
    </w:p>
    <w:p w14:paraId="39060565" w14:textId="77777777" w:rsidR="00EA47C0" w:rsidRDefault="00EA47C0" w:rsidP="00EA47C0">
      <w:pPr>
        <w:pStyle w:val="Bibliography"/>
      </w:pPr>
      <w:r>
        <w:t xml:space="preserve">Ruhl, H. A., and Smith, K. L. (2004). Shifts in Deep-Sea Community Structure Linked to Climate and Food Supply. </w:t>
      </w:r>
      <w:r>
        <w:rPr>
          <w:i/>
          <w:iCs/>
        </w:rPr>
        <w:t>Science</w:t>
      </w:r>
      <w:r>
        <w:t xml:space="preserve"> 305, 513–515. doi:10.1126/science.1099759.</w:t>
      </w:r>
    </w:p>
    <w:p w14:paraId="3709B614" w14:textId="77777777" w:rsidR="00EA47C0" w:rsidRDefault="00EA47C0" w:rsidP="00EA47C0">
      <w:pPr>
        <w:pStyle w:val="Bibliography"/>
      </w:pPr>
      <w:r>
        <w:t xml:space="preserve">Schoening, T., Bergmann, M., Ontrup, J., Taylor, J., Dannheim, J., Gutt, J., et al. (2012). Semi-Automated Image Analysis for the Assessment of Megafaunal Densities at the Arctic Deep-Sea Observatory HAUSGARTEN. </w:t>
      </w:r>
      <w:r>
        <w:rPr>
          <w:i/>
          <w:iCs/>
        </w:rPr>
        <w:t>PLoS ONE</w:t>
      </w:r>
      <w:r>
        <w:t xml:space="preserve"> 7. doi:10.1371/journal.pone.0038179.</w:t>
      </w:r>
    </w:p>
    <w:p w14:paraId="0A9AF490" w14:textId="77777777" w:rsidR="00EA47C0" w:rsidRDefault="00EA47C0" w:rsidP="00EA47C0">
      <w:pPr>
        <w:pStyle w:val="Bibliography"/>
      </w:pPr>
      <w:r>
        <w:t xml:space="preserve">Schoening, T., Osterloff, J., and Nattkemper, T. W. (2016). RecoMIA—Recommendations for Marine Image Annotation: Lessons Learned and Future Directions. </w:t>
      </w:r>
      <w:r>
        <w:rPr>
          <w:i/>
          <w:iCs/>
        </w:rPr>
        <w:t>Front. Mar. Sci.</w:t>
      </w:r>
      <w:r>
        <w:t xml:space="preserve"> 3. doi:10.3389/fmars.2016.00059.</w:t>
      </w:r>
    </w:p>
    <w:p w14:paraId="75A4DCE0" w14:textId="77777777" w:rsidR="00EA47C0" w:rsidRPr="00EA47C0" w:rsidRDefault="00EA47C0" w:rsidP="00EA47C0">
      <w:pPr>
        <w:pStyle w:val="Bibliography"/>
        <w:rPr>
          <w:lang w:val="nl-BE"/>
        </w:rPr>
      </w:pPr>
      <w:r>
        <w:t xml:space="preserve">Schoening, T., Purser, A., Langenkämper, D., Suck, I., Taylor, J., Cuvelier, D., et al. (2020). Megafauna community assessment of polymetallic-nodule fields with cameras: platform and methodology comparison. </w:t>
      </w:r>
      <w:r w:rsidRPr="00EA47C0">
        <w:rPr>
          <w:i/>
          <w:iCs/>
          <w:lang w:val="nl-BE"/>
        </w:rPr>
        <w:t>Biogeosciences</w:t>
      </w:r>
      <w:r w:rsidRPr="00EA47C0">
        <w:rPr>
          <w:lang w:val="nl-BE"/>
        </w:rPr>
        <w:t xml:space="preserve"> 17, 3115–3133. doi:https://doi.org/10.5194/bg-17-3115-2020.</w:t>
      </w:r>
    </w:p>
    <w:p w14:paraId="50BA6FCA" w14:textId="77777777" w:rsidR="00EA47C0" w:rsidRDefault="00EA47C0" w:rsidP="00EA47C0">
      <w:pPr>
        <w:pStyle w:val="Bibliography"/>
      </w:pPr>
      <w:r w:rsidRPr="00EA47C0">
        <w:rPr>
          <w:lang w:val="nl-BE"/>
        </w:rPr>
        <w:t xml:space="preserve">Simon-Lledó, E., Bett, B. J., Huvenne, V. A. I., Köser, K., Schoening, T., Greinert, J., et al. </w:t>
      </w:r>
      <w:r>
        <w:t xml:space="preserve">(2019a). Biological effects 26 years after simulated deep-sea mining. </w:t>
      </w:r>
      <w:r>
        <w:rPr>
          <w:i/>
          <w:iCs/>
        </w:rPr>
        <w:t>Sci. Rep.</w:t>
      </w:r>
      <w:r>
        <w:t xml:space="preserve"> 9, 1–13. doi:10.1038/s41598-019-44492-w.</w:t>
      </w:r>
    </w:p>
    <w:p w14:paraId="1B5F8050" w14:textId="77777777" w:rsidR="00EA47C0" w:rsidRDefault="00EA47C0" w:rsidP="00EA47C0">
      <w:pPr>
        <w:pStyle w:val="Bibliography"/>
      </w:pPr>
      <w:r>
        <w:t xml:space="preserve">Simon-Lledó, E., Bett, B. J., Huvenne, V. A. I., Schoening, T., Benoist, N. M. A., Jeffreys, R. M., et al. (2019b). Megafaunal variation in the abyssal landscape of the Clarion Clipperton Zone. </w:t>
      </w:r>
      <w:r>
        <w:rPr>
          <w:i/>
          <w:iCs/>
        </w:rPr>
        <w:t>Prog. Oceanogr.</w:t>
      </w:r>
      <w:r>
        <w:t xml:space="preserve"> 170, 119–133. doi:10.1016/j.pocean.2018.11.003.</w:t>
      </w:r>
    </w:p>
    <w:p w14:paraId="39CA2E11" w14:textId="77777777" w:rsidR="00EA47C0" w:rsidRDefault="00EA47C0" w:rsidP="00EA47C0">
      <w:pPr>
        <w:pStyle w:val="Bibliography"/>
      </w:pPr>
      <w:r>
        <w:t xml:space="preserve">Simon‐Lledó, E., Bett, B. J., Huvenne, V. A. I., Schoening, T., Benoist, N. M. A., and Jones, D. O. B. (2019). Ecology of a polymetallic nodule occurrence gradient: Implications for deep-sea mining. </w:t>
      </w:r>
      <w:r>
        <w:rPr>
          <w:i/>
          <w:iCs/>
        </w:rPr>
        <w:t>Limnol. Oceanogr.</w:t>
      </w:r>
      <w:r>
        <w:t xml:space="preserve"> 64. doi:10.1002/lno.11157.</w:t>
      </w:r>
    </w:p>
    <w:p w14:paraId="1C561413" w14:textId="77777777" w:rsidR="00EA47C0" w:rsidRDefault="00EA47C0" w:rsidP="00EA47C0">
      <w:pPr>
        <w:pStyle w:val="Bibliography"/>
      </w:pPr>
      <w:r>
        <w:t xml:space="preserve">Simon-Lledó, E., Pomee, C., Ahokava, A., Drazen, J. C., Leitner, A. B., Flynn, A., et al. (2020). Multi-scale variations in invertebrate and fish megafauna in the mid-eastern Clarion Clipperton Zone. </w:t>
      </w:r>
      <w:r>
        <w:rPr>
          <w:i/>
          <w:iCs/>
        </w:rPr>
        <w:t>Prog. Oceanogr.</w:t>
      </w:r>
      <w:r>
        <w:t xml:space="preserve"> 187, 102405. doi:10.1016/j.pocean.2020.102405.</w:t>
      </w:r>
    </w:p>
    <w:p w14:paraId="2D4CE4D6" w14:textId="77777777" w:rsidR="00EA47C0" w:rsidRDefault="00EA47C0" w:rsidP="00EA47C0">
      <w:pPr>
        <w:pStyle w:val="Bibliography"/>
      </w:pPr>
      <w:r>
        <w:lastRenderedPageBreak/>
        <w:t xml:space="preserve">Simon-Lledó, E., Thompson, S., Yool, A., Flynn, A., Pomee, C., Parianos, J., et al. (2019c). Preliminary Observations of the Abyssal Megafauna of Kiribati. </w:t>
      </w:r>
      <w:r>
        <w:rPr>
          <w:i/>
          <w:iCs/>
        </w:rPr>
        <w:t>Front. Mar. Sci.</w:t>
      </w:r>
      <w:r>
        <w:t xml:space="preserve"> 6. doi:10.3389/fmars.2019.00605.</w:t>
      </w:r>
    </w:p>
    <w:p w14:paraId="79F3A79A" w14:textId="77777777" w:rsidR="00EA47C0" w:rsidRPr="00EA47C0" w:rsidRDefault="00EA47C0" w:rsidP="00EA47C0">
      <w:pPr>
        <w:pStyle w:val="Bibliography"/>
        <w:rPr>
          <w:lang w:val="nl-BE"/>
        </w:rPr>
      </w:pPr>
      <w:r>
        <w:t xml:space="preserve">Smith, C. R., De Leo, F. C., Bernardino, A. F., Sweetman, A. K., and Arbizu, P. M. (2008). Abyssal food limitation, ecosystem structure and climate change. </w:t>
      </w:r>
      <w:r>
        <w:rPr>
          <w:i/>
          <w:iCs/>
        </w:rPr>
        <w:t xml:space="preserve">Trends Ecol. </w:t>
      </w:r>
      <w:r w:rsidRPr="00EA47C0">
        <w:rPr>
          <w:i/>
          <w:iCs/>
          <w:lang w:val="nl-BE"/>
        </w:rPr>
        <w:t>Evol.</w:t>
      </w:r>
      <w:r w:rsidRPr="00EA47C0">
        <w:rPr>
          <w:lang w:val="nl-BE"/>
        </w:rPr>
        <w:t xml:space="preserve"> 23, 518–528. doi:10.1016/j.tree.2008.05.002.</w:t>
      </w:r>
    </w:p>
    <w:p w14:paraId="1371B230" w14:textId="77777777" w:rsidR="00EA47C0" w:rsidRDefault="00EA47C0" w:rsidP="00EA47C0">
      <w:pPr>
        <w:pStyle w:val="Bibliography"/>
      </w:pPr>
      <w:r w:rsidRPr="00EA47C0">
        <w:rPr>
          <w:lang w:val="nl-BE"/>
        </w:rPr>
        <w:t xml:space="preserve">Stratmann, T., Mevenkamp, L., Sweetman, A. K., Vanreusel, A., and van Oevelen, D. (2018a). </w:t>
      </w:r>
      <w:r>
        <w:t xml:space="preserve">Has Phytodetritus Processing by an Abyssal Soft-Sediment Community Recovered 26 Years after an Experimental Disturbance? </w:t>
      </w:r>
      <w:r>
        <w:rPr>
          <w:i/>
          <w:iCs/>
        </w:rPr>
        <w:t>Front. Mar. Sci.</w:t>
      </w:r>
      <w:r>
        <w:t xml:space="preserve"> 5. doi:10.3389/fmars.2018.00059.</w:t>
      </w:r>
    </w:p>
    <w:p w14:paraId="0BCD9D01" w14:textId="77777777" w:rsidR="00EA47C0" w:rsidRDefault="00EA47C0" w:rsidP="00EA47C0">
      <w:pPr>
        <w:pStyle w:val="Bibliography"/>
      </w:pPr>
      <w:r>
        <w:t xml:space="preserve">Stratmann, T., Voorsmit, I., Gebruk, A., Brown, A., Purser, A., Marcon, Y., et al. (2018b). Recovery of Holothuroidea population density, community composition, and respiration activity after a deep-sea disturbance experiment. </w:t>
      </w:r>
      <w:r>
        <w:rPr>
          <w:i/>
          <w:iCs/>
        </w:rPr>
        <w:t>Limnol. Oceanogr.</w:t>
      </w:r>
      <w:r>
        <w:t xml:space="preserve"> 63, 2140–2153. doi:10.1002/lno.10929.</w:t>
      </w:r>
    </w:p>
    <w:p w14:paraId="6A0CE05D" w14:textId="77777777" w:rsidR="00EA47C0" w:rsidRDefault="00EA47C0" w:rsidP="00EA47C0">
      <w:pPr>
        <w:pStyle w:val="Bibliography"/>
      </w:pPr>
      <w:r>
        <w:t>Tilot, V. (2006). Biodiversity and distribution of the megafauna. Vol. 1: the polymetallic nodule ecosystem of the Eastern Equatorial Pacific Ocean. Paris: UNESCO.</w:t>
      </w:r>
    </w:p>
    <w:p w14:paraId="0B08480C" w14:textId="77777777" w:rsidR="00EA47C0" w:rsidRDefault="00EA47C0" w:rsidP="00EA47C0">
      <w:pPr>
        <w:pStyle w:val="Bibliography"/>
      </w:pPr>
      <w:r>
        <w:t xml:space="preserve">Tilot, V., Ormond, R., Moreno Navas, J., and Catalá, T. S. (2018). The Benthic Megafaunal Assemblages of the CCZ (Eastern Pacific) and an Approach to their Management in the Face of Threatened Anthropogenic Impacts. </w:t>
      </w:r>
      <w:r>
        <w:rPr>
          <w:i/>
          <w:iCs/>
        </w:rPr>
        <w:t>Front. Mar. Sci.</w:t>
      </w:r>
      <w:r>
        <w:t xml:space="preserve"> 5. doi:10.3389/fmars.2018.00007.</w:t>
      </w:r>
    </w:p>
    <w:p w14:paraId="57C0BC4A" w14:textId="77777777" w:rsidR="00EA47C0" w:rsidRDefault="00EA47C0" w:rsidP="00EA47C0">
      <w:pPr>
        <w:pStyle w:val="Bibliography"/>
      </w:pPr>
      <w:r>
        <w:t xml:space="preserve">Tkatchenko, and Radziejewska, T. (1998). Recovery and recolonization process in the area disturbed by a polymetallic nodule collector simulator. in </w:t>
      </w:r>
      <w:r>
        <w:rPr>
          <w:i/>
          <w:iCs/>
        </w:rPr>
        <w:t>Proceedings of the eight international offshore and polar engineering conference</w:t>
      </w:r>
      <w:r>
        <w:t xml:space="preserve"> (Montreal, Canada).</w:t>
      </w:r>
    </w:p>
    <w:p w14:paraId="18044B1C" w14:textId="77777777" w:rsidR="00EA47C0" w:rsidRDefault="00EA47C0" w:rsidP="00EA47C0">
      <w:pPr>
        <w:pStyle w:val="Bibliography"/>
      </w:pPr>
      <w:r>
        <w:t xml:space="preserve">Vanreusel, A., Fonseca, G., Danovaro, R., da Silva, M. C., Esteves, A. M., Ferrero, T., et al. (2010). The contribution of deep-sea macrohabitat heterogeneity to global nematode diversity. </w:t>
      </w:r>
      <w:r>
        <w:rPr>
          <w:i/>
          <w:iCs/>
        </w:rPr>
        <w:t>Mar. Ecol.- Evol. Perspect.</w:t>
      </w:r>
      <w:r>
        <w:t xml:space="preserve"> 31, 6–20. doi:10.1111/j.1439-0485.2009.00352.x.</w:t>
      </w:r>
    </w:p>
    <w:p w14:paraId="77C23E0C" w14:textId="77777777" w:rsidR="00EA47C0" w:rsidRPr="00EA47C0" w:rsidRDefault="00EA47C0" w:rsidP="00EA47C0">
      <w:pPr>
        <w:pStyle w:val="Bibliography"/>
        <w:rPr>
          <w:lang w:val="nl-BE"/>
        </w:rPr>
      </w:pPr>
      <w:r>
        <w:t xml:space="preserve">Vanreusel, A., Hilario, A., Ribeiro, P. A., Menot, L., and Arbizu, P. M. (2016). Threatened by mining, polymetallic nodules are required to preserve abyssal epifauna. </w:t>
      </w:r>
      <w:r w:rsidRPr="00EA47C0">
        <w:rPr>
          <w:i/>
          <w:iCs/>
          <w:lang w:val="nl-BE"/>
        </w:rPr>
        <w:t>Sci. Rep.</w:t>
      </w:r>
      <w:r w:rsidRPr="00EA47C0">
        <w:rPr>
          <w:lang w:val="nl-BE"/>
        </w:rPr>
        <w:t xml:space="preserve"> 6, 26808. doi:10.1038/srep26808.</w:t>
      </w:r>
    </w:p>
    <w:p w14:paraId="71D33A22" w14:textId="77777777" w:rsidR="00EA47C0" w:rsidRDefault="00EA47C0" w:rsidP="00EA47C0">
      <w:pPr>
        <w:pStyle w:val="Bibliography"/>
      </w:pPr>
      <w:r w:rsidRPr="00EA47C0">
        <w:rPr>
          <w:lang w:val="nl-BE"/>
        </w:rPr>
        <w:t xml:space="preserve">Volz, J. B., Mogollón, J. M., Geibert, W., Arbizu, P. M., Koschinsky, A., and Kasten, S. (2018). </w:t>
      </w:r>
      <w:r>
        <w:t xml:space="preserve">Natural spatial variability of depositional conditions, biogeochemical processes and element fluxes in sediments of the eastern Clarion-Clipperton Zone, Pacific Ocean. </w:t>
      </w:r>
      <w:r>
        <w:rPr>
          <w:i/>
          <w:iCs/>
        </w:rPr>
        <w:t>Deep Sea Res. Part Oceanogr. Res. Pap.</w:t>
      </w:r>
      <w:r>
        <w:t xml:space="preserve"> 140, 159–172. doi:10.1016/j.dsr.2018.08.006.</w:t>
      </w:r>
    </w:p>
    <w:p w14:paraId="4F6A1A38" w14:textId="77777777" w:rsidR="00EA47C0" w:rsidRDefault="00EA47C0" w:rsidP="00EA47C0">
      <w:pPr>
        <w:pStyle w:val="Bibliography"/>
      </w:pPr>
      <w:r>
        <w:t xml:space="preserve">Wedding, L. M., Friedlander, A. M., Kittinger, J. N., Watling, L., Gaines, S. D., Bennett, M., et al. (2013). From principles to practice: a spatial approach to systematic conservation planning in the deep sea. </w:t>
      </w:r>
      <w:r>
        <w:rPr>
          <w:i/>
          <w:iCs/>
        </w:rPr>
        <w:t>Proc. R. Soc. B Biol. Sci.</w:t>
      </w:r>
      <w:r>
        <w:t xml:space="preserve"> 280, 20131684. doi:10.1098/rspb.2013.1684.</w:t>
      </w:r>
    </w:p>
    <w:p w14:paraId="152DC818" w14:textId="347CB787" w:rsidR="000E466F" w:rsidRPr="00CF3316" w:rsidRDefault="0074422D" w:rsidP="00CF3316">
      <w:pPr>
        <w:pStyle w:val="Bibliography"/>
        <w:rPr>
          <w:lang w:val="en-GB"/>
        </w:rPr>
        <w:sectPr w:rsidR="000E466F" w:rsidRPr="00CF3316" w:rsidSect="00DF4A4D">
          <w:pgSz w:w="11906" w:h="16838"/>
          <w:pgMar w:top="1417" w:right="1417" w:bottom="1417" w:left="1417" w:header="708" w:footer="708" w:gutter="0"/>
          <w:lnNumType w:countBy="1" w:restart="continuous"/>
          <w:cols w:space="708"/>
          <w:docGrid w:linePitch="360"/>
        </w:sectPr>
      </w:pPr>
      <w:r w:rsidRPr="00FD3202">
        <w:rPr>
          <w:lang w:val="en-GB"/>
        </w:rPr>
        <w:fldChar w:fldCharType="end"/>
      </w:r>
      <w:r w:rsidR="00F15790" w:rsidRPr="00FD3202">
        <w:rPr>
          <w:rFonts w:cs="Times New Roman"/>
          <w:lang w:val="en-GB"/>
        </w:rPr>
        <w:fldChar w:fldCharType="begin"/>
      </w:r>
      <w:r w:rsidR="00F15790" w:rsidRPr="00FD3202">
        <w:rPr>
          <w:rFonts w:cs="Times New Roman"/>
          <w:lang w:val="en-GB"/>
        </w:rPr>
        <w:instrText xml:space="preserve"> ADDIN EN.REFLIST </w:instrText>
      </w:r>
      <w:r w:rsidR="00F15790" w:rsidRPr="00FD3202">
        <w:rPr>
          <w:rFonts w:cs="Times New Roman"/>
          <w:lang w:val="en-GB"/>
        </w:rPr>
        <w:fldChar w:fldCharType="end"/>
      </w:r>
      <w:r w:rsidR="00F93E73" w:rsidRPr="00FD3202">
        <w:rPr>
          <w:lang w:val="en-GB"/>
        </w:rPr>
        <w:br w:type="page"/>
      </w:r>
    </w:p>
    <w:p w14:paraId="6C673A84" w14:textId="79BB4B9F" w:rsidR="00AE18ED" w:rsidRPr="00FD3202" w:rsidRDefault="00AE18ED" w:rsidP="006601C6">
      <w:pPr>
        <w:pStyle w:val="Kop1"/>
      </w:pPr>
      <w:r w:rsidRPr="00FD3202">
        <w:lastRenderedPageBreak/>
        <w:t>Supplementary Material</w:t>
      </w:r>
    </w:p>
    <w:p w14:paraId="13B14313" w14:textId="0C99648C" w:rsidR="00813769" w:rsidRDefault="00813769" w:rsidP="00170AD7">
      <w:pPr>
        <w:spacing w:after="160" w:line="259" w:lineRule="auto"/>
        <w:rPr>
          <w:rFonts w:cs="Times New Roman"/>
          <w:lang w:val="en-GB"/>
        </w:rPr>
      </w:pPr>
      <w:r>
        <w:rPr>
          <w:rFonts w:cs="Times New Roman"/>
          <w:lang w:val="en-GB"/>
        </w:rPr>
        <w:t>Supplementary material 1</w:t>
      </w:r>
      <w:r w:rsidRPr="00FD3202">
        <w:rPr>
          <w:rFonts w:cs="Times New Roman"/>
          <w:lang w:val="en-GB"/>
        </w:rPr>
        <w:t xml:space="preserve">. </w:t>
      </w:r>
      <w:r>
        <w:rPr>
          <w:rFonts w:cs="Times New Roman"/>
          <w:lang w:val="en-GB"/>
        </w:rPr>
        <w:t xml:space="preserve">An example of </w:t>
      </w:r>
      <w:r w:rsidR="00FE2B8D">
        <w:rPr>
          <w:rFonts w:cs="Times New Roman"/>
          <w:lang w:val="en-GB"/>
        </w:rPr>
        <w:t xml:space="preserve">(left) </w:t>
      </w:r>
      <w:r>
        <w:rPr>
          <w:rFonts w:cs="Times New Roman"/>
          <w:lang w:val="en-GB"/>
        </w:rPr>
        <w:t>an AUV picture taken below 8m altitude (</w:t>
      </w:r>
      <w:r w:rsidR="00AD599F">
        <w:rPr>
          <w:rFonts w:cs="Times New Roman"/>
          <w:lang w:val="en-GB"/>
        </w:rPr>
        <w:t xml:space="preserve">AUV005; B6S02; </w:t>
      </w:r>
      <w:r w:rsidR="00FE2B8D">
        <w:rPr>
          <w:rFonts w:cs="Times New Roman"/>
          <w:lang w:val="en-GB"/>
        </w:rPr>
        <w:t>4.99m</w:t>
      </w:r>
      <w:r>
        <w:rPr>
          <w:rFonts w:cs="Times New Roman"/>
          <w:lang w:val="en-GB"/>
        </w:rPr>
        <w:t xml:space="preserve">) and </w:t>
      </w:r>
      <w:r w:rsidR="00FE2B8D">
        <w:rPr>
          <w:rFonts w:cs="Times New Roman"/>
          <w:lang w:val="en-GB"/>
        </w:rPr>
        <w:t xml:space="preserve">(right) </w:t>
      </w:r>
      <w:r>
        <w:rPr>
          <w:rFonts w:cs="Times New Roman"/>
          <w:lang w:val="en-GB"/>
        </w:rPr>
        <w:t>an AUV picture taken above 8m altitude</w:t>
      </w:r>
      <w:r w:rsidR="00AD599F">
        <w:rPr>
          <w:rFonts w:cs="Times New Roman"/>
          <w:lang w:val="en-GB"/>
        </w:rPr>
        <w:t xml:space="preserve"> (AUV0</w:t>
      </w:r>
      <w:r w:rsidR="00FE2B8D">
        <w:rPr>
          <w:rFonts w:cs="Times New Roman"/>
          <w:lang w:val="en-GB"/>
        </w:rPr>
        <w:t>05; B6S02</w:t>
      </w:r>
      <w:r w:rsidR="00AD599F">
        <w:rPr>
          <w:rFonts w:cs="Times New Roman"/>
          <w:lang w:val="en-GB"/>
        </w:rPr>
        <w:t xml:space="preserve">; </w:t>
      </w:r>
      <w:r w:rsidR="00FE2B8D">
        <w:rPr>
          <w:rFonts w:cs="Times New Roman"/>
          <w:lang w:val="en-GB"/>
        </w:rPr>
        <w:t>9.98m</w:t>
      </w:r>
      <w:r w:rsidR="00AD599F">
        <w:rPr>
          <w:rFonts w:cs="Times New Roman"/>
          <w:lang w:val="en-GB"/>
        </w:rPr>
        <w:t>)</w:t>
      </w:r>
      <w:r>
        <w:rPr>
          <w:rFonts w:cs="Times New Roman"/>
          <w:lang w:val="en-GB"/>
        </w:rPr>
        <w:t xml:space="preserve">. </w:t>
      </w:r>
      <w:r w:rsidR="00AD599F">
        <w:rPr>
          <w:rFonts w:cs="Times New Roman"/>
          <w:lang w:val="en-GB"/>
        </w:rPr>
        <w:t xml:space="preserve">Blue marks are annotations made by observer 1; yellow marks are annotations made by observer 2. </w:t>
      </w:r>
      <w:r>
        <w:rPr>
          <w:rFonts w:cs="Times New Roman"/>
          <w:lang w:val="en-GB"/>
        </w:rPr>
        <w:t xml:space="preserve">Scale bar = </w:t>
      </w:r>
      <w:r w:rsidR="00AD599F">
        <w:rPr>
          <w:rFonts w:cs="Times New Roman"/>
          <w:lang w:val="en-GB"/>
        </w:rPr>
        <w:t>0.5m.</w:t>
      </w:r>
    </w:p>
    <w:p w14:paraId="127029B9" w14:textId="7AE61BB8" w:rsidR="00813769" w:rsidRDefault="00813769">
      <w:pPr>
        <w:spacing w:after="160" w:line="259" w:lineRule="auto"/>
        <w:jc w:val="left"/>
        <w:rPr>
          <w:rFonts w:cs="Times New Roman"/>
          <w:lang w:val="en-GB"/>
        </w:rPr>
      </w:pPr>
      <w:r>
        <w:rPr>
          <w:rFonts w:cs="Times New Roman"/>
          <w:noProof/>
        </w:rPr>
        <w:drawing>
          <wp:inline distT="0" distB="0" distL="0" distR="0" wp14:anchorId="4A374644" wp14:editId="4FD0E3D3">
            <wp:extent cx="4155360" cy="271447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nvas.png"/>
                    <pic:cNvPicPr/>
                  </pic:nvPicPr>
                  <pic:blipFill>
                    <a:blip r:embed="rId23">
                      <a:extLst>
                        <a:ext uri="{28A0092B-C50C-407E-A947-70E740481C1C}">
                          <a14:useLocalDpi xmlns:a14="http://schemas.microsoft.com/office/drawing/2010/main" val="0"/>
                        </a:ext>
                      </a:extLst>
                    </a:blip>
                    <a:stretch>
                      <a:fillRect/>
                    </a:stretch>
                  </pic:blipFill>
                  <pic:spPr>
                    <a:xfrm>
                      <a:off x="0" y="0"/>
                      <a:ext cx="4155360" cy="2714473"/>
                    </a:xfrm>
                    <a:prstGeom prst="rect">
                      <a:avLst/>
                    </a:prstGeom>
                  </pic:spPr>
                </pic:pic>
              </a:graphicData>
            </a:graphic>
          </wp:inline>
        </w:drawing>
      </w:r>
      <w:r w:rsidR="00AD599F">
        <w:rPr>
          <w:rFonts w:cs="Times New Roman"/>
          <w:noProof/>
        </w:rPr>
        <w:drawing>
          <wp:inline distT="0" distB="0" distL="0" distR="0" wp14:anchorId="68C24E1D" wp14:editId="1B079D24">
            <wp:extent cx="4123039" cy="27139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pplementary_material_1B.jpg"/>
                    <pic:cNvPicPr/>
                  </pic:nvPicPr>
                  <pic:blipFill>
                    <a:blip r:embed="rId24">
                      <a:extLst>
                        <a:ext uri="{28A0092B-C50C-407E-A947-70E740481C1C}">
                          <a14:useLocalDpi xmlns:a14="http://schemas.microsoft.com/office/drawing/2010/main" val="0"/>
                        </a:ext>
                      </a:extLst>
                    </a:blip>
                    <a:stretch>
                      <a:fillRect/>
                    </a:stretch>
                  </pic:blipFill>
                  <pic:spPr>
                    <a:xfrm>
                      <a:off x="0" y="0"/>
                      <a:ext cx="4134055" cy="2721241"/>
                    </a:xfrm>
                    <a:prstGeom prst="rect">
                      <a:avLst/>
                    </a:prstGeom>
                  </pic:spPr>
                </pic:pic>
              </a:graphicData>
            </a:graphic>
          </wp:inline>
        </w:drawing>
      </w:r>
      <w:r>
        <w:rPr>
          <w:rFonts w:cs="Times New Roman"/>
          <w:lang w:val="en-GB"/>
        </w:rPr>
        <w:br w:type="page"/>
      </w:r>
    </w:p>
    <w:p w14:paraId="1AA01941" w14:textId="4B443348" w:rsidR="00930F83" w:rsidRDefault="00813769" w:rsidP="00170AD7">
      <w:pPr>
        <w:spacing w:after="160" w:line="259" w:lineRule="auto"/>
        <w:rPr>
          <w:rFonts w:cs="Times New Roman"/>
          <w:lang w:val="en-GB"/>
        </w:rPr>
      </w:pPr>
      <w:r>
        <w:rPr>
          <w:rFonts w:cs="Times New Roman"/>
          <w:lang w:val="en-GB"/>
        </w:rPr>
        <w:lastRenderedPageBreak/>
        <w:t>Supplementary material 2</w:t>
      </w:r>
      <w:r w:rsidR="00930F83" w:rsidRPr="00FD3202">
        <w:rPr>
          <w:rFonts w:cs="Times New Roman"/>
          <w:lang w:val="en-GB"/>
        </w:rPr>
        <w:t xml:space="preserve">. </w:t>
      </w:r>
      <w:r w:rsidR="00930F83">
        <w:rPr>
          <w:rFonts w:cs="Times New Roman"/>
          <w:lang w:val="en-GB"/>
        </w:rPr>
        <w:t>The surface area (in m</w:t>
      </w:r>
      <w:r w:rsidR="00930F83" w:rsidRPr="00930F83">
        <w:rPr>
          <w:rFonts w:cs="Times New Roman"/>
          <w:vertAlign w:val="superscript"/>
          <w:lang w:val="en-GB"/>
        </w:rPr>
        <w:t>2</w:t>
      </w:r>
      <w:r w:rsidR="00930F83">
        <w:rPr>
          <w:rFonts w:cs="Times New Roman"/>
          <w:lang w:val="en-GB"/>
        </w:rPr>
        <w:t>) covered by each of the 20 sets of 50 randomly selected images, for the different combinations of site and altitude.</w:t>
      </w:r>
    </w:p>
    <w:tbl>
      <w:tblPr>
        <w:tblW w:w="7951" w:type="dxa"/>
        <w:tblLook w:val="04A0" w:firstRow="1" w:lastRow="0" w:firstColumn="1" w:lastColumn="0" w:noHBand="0" w:noVBand="1"/>
      </w:tblPr>
      <w:tblGrid>
        <w:gridCol w:w="960"/>
        <w:gridCol w:w="1783"/>
        <w:gridCol w:w="1360"/>
        <w:gridCol w:w="1088"/>
        <w:gridCol w:w="2760"/>
      </w:tblGrid>
      <w:tr w:rsidR="00930F83" w:rsidRPr="00930F83" w14:paraId="40CD8120" w14:textId="77777777" w:rsidTr="00930F83">
        <w:trPr>
          <w:trHeight w:val="324"/>
        </w:trPr>
        <w:tc>
          <w:tcPr>
            <w:tcW w:w="960" w:type="dxa"/>
            <w:tcBorders>
              <w:top w:val="single" w:sz="4" w:space="0" w:color="auto"/>
              <w:left w:val="nil"/>
              <w:bottom w:val="single" w:sz="4" w:space="0" w:color="auto"/>
              <w:right w:val="nil"/>
            </w:tcBorders>
            <w:shd w:val="clear" w:color="000000" w:fill="F2F2F2"/>
            <w:vAlign w:val="bottom"/>
            <w:hideMark/>
          </w:tcPr>
          <w:p w14:paraId="5D4CB8A7"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Site</w:t>
            </w:r>
          </w:p>
        </w:tc>
        <w:tc>
          <w:tcPr>
            <w:tcW w:w="1783" w:type="dxa"/>
            <w:tcBorders>
              <w:top w:val="single" w:sz="4" w:space="0" w:color="auto"/>
              <w:left w:val="nil"/>
              <w:bottom w:val="single" w:sz="4" w:space="0" w:color="auto"/>
              <w:right w:val="nil"/>
            </w:tcBorders>
            <w:shd w:val="clear" w:color="000000" w:fill="F2F2F2"/>
            <w:vAlign w:val="bottom"/>
            <w:hideMark/>
          </w:tcPr>
          <w:p w14:paraId="6354D0EF"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AUV Dive</w:t>
            </w:r>
          </w:p>
        </w:tc>
        <w:tc>
          <w:tcPr>
            <w:tcW w:w="1360" w:type="dxa"/>
            <w:tcBorders>
              <w:top w:val="single" w:sz="4" w:space="0" w:color="auto"/>
              <w:left w:val="nil"/>
              <w:bottom w:val="single" w:sz="4" w:space="0" w:color="auto"/>
              <w:right w:val="nil"/>
            </w:tcBorders>
            <w:shd w:val="clear" w:color="000000" w:fill="F2F2F2"/>
            <w:vAlign w:val="bottom"/>
            <w:hideMark/>
          </w:tcPr>
          <w:p w14:paraId="47E03ABD"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Altitude</w:t>
            </w:r>
          </w:p>
        </w:tc>
        <w:tc>
          <w:tcPr>
            <w:tcW w:w="1088" w:type="dxa"/>
            <w:tcBorders>
              <w:top w:val="single" w:sz="4" w:space="0" w:color="auto"/>
              <w:left w:val="nil"/>
              <w:bottom w:val="single" w:sz="4" w:space="0" w:color="auto"/>
              <w:right w:val="nil"/>
            </w:tcBorders>
            <w:shd w:val="clear" w:color="000000" w:fill="F2F2F2"/>
            <w:vAlign w:val="bottom"/>
            <w:hideMark/>
          </w:tcPr>
          <w:p w14:paraId="003A3D4E"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Image set</w:t>
            </w:r>
          </w:p>
        </w:tc>
        <w:tc>
          <w:tcPr>
            <w:tcW w:w="2760" w:type="dxa"/>
            <w:tcBorders>
              <w:top w:val="single" w:sz="4" w:space="0" w:color="auto"/>
              <w:left w:val="nil"/>
              <w:bottom w:val="single" w:sz="4" w:space="0" w:color="auto"/>
              <w:right w:val="nil"/>
            </w:tcBorders>
            <w:shd w:val="clear" w:color="000000" w:fill="F2F2F2"/>
            <w:vAlign w:val="bottom"/>
            <w:hideMark/>
          </w:tcPr>
          <w:p w14:paraId="554E883D"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Total surface area covered (m</w:t>
            </w:r>
            <w:r w:rsidRPr="00930F83">
              <w:rPr>
                <w:rFonts w:eastAsia="Times New Roman" w:cs="Times New Roman"/>
                <w:color w:val="000000"/>
                <w:kern w:val="0"/>
                <w:sz w:val="20"/>
                <w:szCs w:val="20"/>
                <w:vertAlign w:val="superscript"/>
                <w14:ligatures w14:val="none"/>
              </w:rPr>
              <w:t>2</w:t>
            </w:r>
            <w:r w:rsidRPr="00930F83">
              <w:rPr>
                <w:rFonts w:eastAsia="Times New Roman" w:cs="Times New Roman"/>
                <w:color w:val="000000"/>
                <w:kern w:val="0"/>
                <w:sz w:val="20"/>
                <w:szCs w:val="20"/>
                <w14:ligatures w14:val="none"/>
              </w:rPr>
              <w:t>)</w:t>
            </w:r>
          </w:p>
        </w:tc>
      </w:tr>
      <w:tr w:rsidR="00930F83" w:rsidRPr="00930F83" w14:paraId="38CBFB33" w14:textId="77777777" w:rsidTr="00930F83">
        <w:trPr>
          <w:trHeight w:val="288"/>
        </w:trPr>
        <w:tc>
          <w:tcPr>
            <w:tcW w:w="960" w:type="dxa"/>
            <w:tcBorders>
              <w:top w:val="nil"/>
              <w:left w:val="nil"/>
              <w:bottom w:val="nil"/>
              <w:right w:val="nil"/>
            </w:tcBorders>
            <w:shd w:val="clear" w:color="000000" w:fill="FFFFFF"/>
            <w:noWrap/>
            <w:vAlign w:val="bottom"/>
            <w:hideMark/>
          </w:tcPr>
          <w:p w14:paraId="26DF7F3E"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B6S02</w:t>
            </w:r>
          </w:p>
        </w:tc>
        <w:tc>
          <w:tcPr>
            <w:tcW w:w="1783" w:type="dxa"/>
            <w:tcBorders>
              <w:top w:val="nil"/>
              <w:left w:val="nil"/>
              <w:bottom w:val="nil"/>
              <w:right w:val="nil"/>
            </w:tcBorders>
            <w:shd w:val="clear" w:color="000000" w:fill="FFFFFF"/>
            <w:noWrap/>
            <w:vAlign w:val="bottom"/>
            <w:hideMark/>
          </w:tcPr>
          <w:p w14:paraId="67214676"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AUV005</w:t>
            </w:r>
          </w:p>
        </w:tc>
        <w:tc>
          <w:tcPr>
            <w:tcW w:w="1360" w:type="dxa"/>
            <w:tcBorders>
              <w:top w:val="nil"/>
              <w:left w:val="nil"/>
              <w:bottom w:val="nil"/>
              <w:right w:val="nil"/>
            </w:tcBorders>
            <w:shd w:val="clear" w:color="000000" w:fill="FFFFFF"/>
            <w:noWrap/>
            <w:vAlign w:val="bottom"/>
            <w:hideMark/>
          </w:tcPr>
          <w:p w14:paraId="02990E03"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&lt;8m</w:t>
            </w:r>
          </w:p>
        </w:tc>
        <w:tc>
          <w:tcPr>
            <w:tcW w:w="1088" w:type="dxa"/>
            <w:tcBorders>
              <w:top w:val="nil"/>
              <w:left w:val="nil"/>
              <w:bottom w:val="nil"/>
              <w:right w:val="nil"/>
            </w:tcBorders>
            <w:shd w:val="clear" w:color="000000" w:fill="FFFFFF"/>
            <w:noWrap/>
            <w:vAlign w:val="bottom"/>
            <w:hideMark/>
          </w:tcPr>
          <w:p w14:paraId="44BB4735"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1</w:t>
            </w:r>
          </w:p>
        </w:tc>
        <w:tc>
          <w:tcPr>
            <w:tcW w:w="2760" w:type="dxa"/>
            <w:tcBorders>
              <w:top w:val="nil"/>
              <w:left w:val="nil"/>
              <w:bottom w:val="nil"/>
              <w:right w:val="nil"/>
            </w:tcBorders>
            <w:shd w:val="clear" w:color="000000" w:fill="FFFFFF"/>
            <w:noWrap/>
            <w:vAlign w:val="bottom"/>
            <w:hideMark/>
          </w:tcPr>
          <w:p w14:paraId="5FA785FC"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416.93</w:t>
            </w:r>
          </w:p>
        </w:tc>
      </w:tr>
      <w:tr w:rsidR="00930F83" w:rsidRPr="00930F83" w14:paraId="4BFF8437" w14:textId="77777777" w:rsidTr="00930F83">
        <w:trPr>
          <w:trHeight w:val="288"/>
        </w:trPr>
        <w:tc>
          <w:tcPr>
            <w:tcW w:w="960" w:type="dxa"/>
            <w:tcBorders>
              <w:top w:val="nil"/>
              <w:left w:val="nil"/>
              <w:bottom w:val="nil"/>
              <w:right w:val="nil"/>
            </w:tcBorders>
            <w:shd w:val="clear" w:color="000000" w:fill="FFFFFF"/>
            <w:noWrap/>
            <w:vAlign w:val="bottom"/>
            <w:hideMark/>
          </w:tcPr>
          <w:p w14:paraId="0470A787"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B6S02</w:t>
            </w:r>
          </w:p>
        </w:tc>
        <w:tc>
          <w:tcPr>
            <w:tcW w:w="1783" w:type="dxa"/>
            <w:tcBorders>
              <w:top w:val="nil"/>
              <w:left w:val="nil"/>
              <w:bottom w:val="nil"/>
              <w:right w:val="nil"/>
            </w:tcBorders>
            <w:shd w:val="clear" w:color="000000" w:fill="FFFFFF"/>
            <w:noWrap/>
            <w:vAlign w:val="bottom"/>
            <w:hideMark/>
          </w:tcPr>
          <w:p w14:paraId="70D78AE8"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AUV005</w:t>
            </w:r>
          </w:p>
        </w:tc>
        <w:tc>
          <w:tcPr>
            <w:tcW w:w="1360" w:type="dxa"/>
            <w:tcBorders>
              <w:top w:val="nil"/>
              <w:left w:val="nil"/>
              <w:bottom w:val="nil"/>
              <w:right w:val="nil"/>
            </w:tcBorders>
            <w:shd w:val="clear" w:color="000000" w:fill="FFFFFF"/>
            <w:noWrap/>
            <w:vAlign w:val="bottom"/>
            <w:hideMark/>
          </w:tcPr>
          <w:p w14:paraId="17F8CE36"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&lt;8m</w:t>
            </w:r>
          </w:p>
        </w:tc>
        <w:tc>
          <w:tcPr>
            <w:tcW w:w="1088" w:type="dxa"/>
            <w:tcBorders>
              <w:top w:val="nil"/>
              <w:left w:val="nil"/>
              <w:bottom w:val="nil"/>
              <w:right w:val="nil"/>
            </w:tcBorders>
            <w:shd w:val="clear" w:color="000000" w:fill="FFFFFF"/>
            <w:noWrap/>
            <w:vAlign w:val="bottom"/>
            <w:hideMark/>
          </w:tcPr>
          <w:p w14:paraId="3F0B9EB2"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2</w:t>
            </w:r>
          </w:p>
        </w:tc>
        <w:tc>
          <w:tcPr>
            <w:tcW w:w="2760" w:type="dxa"/>
            <w:tcBorders>
              <w:top w:val="nil"/>
              <w:left w:val="nil"/>
              <w:bottom w:val="nil"/>
              <w:right w:val="nil"/>
            </w:tcBorders>
            <w:shd w:val="clear" w:color="000000" w:fill="FFFFFF"/>
            <w:noWrap/>
            <w:vAlign w:val="bottom"/>
            <w:hideMark/>
          </w:tcPr>
          <w:p w14:paraId="3BD3EB88"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408.83</w:t>
            </w:r>
          </w:p>
        </w:tc>
      </w:tr>
      <w:tr w:rsidR="00930F83" w:rsidRPr="00930F83" w14:paraId="42029AFD" w14:textId="77777777" w:rsidTr="00930F83">
        <w:trPr>
          <w:trHeight w:val="288"/>
        </w:trPr>
        <w:tc>
          <w:tcPr>
            <w:tcW w:w="960" w:type="dxa"/>
            <w:tcBorders>
              <w:top w:val="nil"/>
              <w:left w:val="nil"/>
              <w:bottom w:val="nil"/>
              <w:right w:val="nil"/>
            </w:tcBorders>
            <w:shd w:val="clear" w:color="000000" w:fill="FFFFFF"/>
            <w:noWrap/>
            <w:vAlign w:val="bottom"/>
            <w:hideMark/>
          </w:tcPr>
          <w:p w14:paraId="24801A95"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B6S02</w:t>
            </w:r>
          </w:p>
        </w:tc>
        <w:tc>
          <w:tcPr>
            <w:tcW w:w="1783" w:type="dxa"/>
            <w:tcBorders>
              <w:top w:val="nil"/>
              <w:left w:val="nil"/>
              <w:bottom w:val="nil"/>
              <w:right w:val="nil"/>
            </w:tcBorders>
            <w:shd w:val="clear" w:color="000000" w:fill="FFFFFF"/>
            <w:noWrap/>
            <w:vAlign w:val="bottom"/>
            <w:hideMark/>
          </w:tcPr>
          <w:p w14:paraId="61888F7B"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AUV005</w:t>
            </w:r>
          </w:p>
        </w:tc>
        <w:tc>
          <w:tcPr>
            <w:tcW w:w="1360" w:type="dxa"/>
            <w:tcBorders>
              <w:top w:val="nil"/>
              <w:left w:val="nil"/>
              <w:bottom w:val="nil"/>
              <w:right w:val="nil"/>
            </w:tcBorders>
            <w:shd w:val="clear" w:color="000000" w:fill="FFFFFF"/>
            <w:noWrap/>
            <w:vAlign w:val="bottom"/>
            <w:hideMark/>
          </w:tcPr>
          <w:p w14:paraId="4EF55B37"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&lt;8m</w:t>
            </w:r>
          </w:p>
        </w:tc>
        <w:tc>
          <w:tcPr>
            <w:tcW w:w="1088" w:type="dxa"/>
            <w:tcBorders>
              <w:top w:val="nil"/>
              <w:left w:val="nil"/>
              <w:bottom w:val="nil"/>
              <w:right w:val="nil"/>
            </w:tcBorders>
            <w:shd w:val="clear" w:color="000000" w:fill="FFFFFF"/>
            <w:noWrap/>
            <w:vAlign w:val="bottom"/>
            <w:hideMark/>
          </w:tcPr>
          <w:p w14:paraId="35B93EA6"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3</w:t>
            </w:r>
          </w:p>
        </w:tc>
        <w:tc>
          <w:tcPr>
            <w:tcW w:w="2760" w:type="dxa"/>
            <w:tcBorders>
              <w:top w:val="nil"/>
              <w:left w:val="nil"/>
              <w:bottom w:val="nil"/>
              <w:right w:val="nil"/>
            </w:tcBorders>
            <w:shd w:val="clear" w:color="000000" w:fill="FFFFFF"/>
            <w:noWrap/>
            <w:vAlign w:val="bottom"/>
            <w:hideMark/>
          </w:tcPr>
          <w:p w14:paraId="1EA52ED6"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416.58</w:t>
            </w:r>
          </w:p>
        </w:tc>
      </w:tr>
      <w:tr w:rsidR="00930F83" w:rsidRPr="00930F83" w14:paraId="23F12269" w14:textId="77777777" w:rsidTr="00930F83">
        <w:trPr>
          <w:trHeight w:val="288"/>
        </w:trPr>
        <w:tc>
          <w:tcPr>
            <w:tcW w:w="960" w:type="dxa"/>
            <w:tcBorders>
              <w:top w:val="nil"/>
              <w:left w:val="nil"/>
              <w:bottom w:val="nil"/>
              <w:right w:val="nil"/>
            </w:tcBorders>
            <w:shd w:val="clear" w:color="000000" w:fill="FFFFFF"/>
            <w:noWrap/>
            <w:vAlign w:val="bottom"/>
            <w:hideMark/>
          </w:tcPr>
          <w:p w14:paraId="7900AE2E"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B6S02</w:t>
            </w:r>
          </w:p>
        </w:tc>
        <w:tc>
          <w:tcPr>
            <w:tcW w:w="1783" w:type="dxa"/>
            <w:tcBorders>
              <w:top w:val="nil"/>
              <w:left w:val="nil"/>
              <w:bottom w:val="nil"/>
              <w:right w:val="nil"/>
            </w:tcBorders>
            <w:shd w:val="clear" w:color="000000" w:fill="FFFFFF"/>
            <w:noWrap/>
            <w:vAlign w:val="bottom"/>
            <w:hideMark/>
          </w:tcPr>
          <w:p w14:paraId="2A27057C"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AUV005</w:t>
            </w:r>
          </w:p>
        </w:tc>
        <w:tc>
          <w:tcPr>
            <w:tcW w:w="1360" w:type="dxa"/>
            <w:tcBorders>
              <w:top w:val="nil"/>
              <w:left w:val="nil"/>
              <w:bottom w:val="nil"/>
              <w:right w:val="nil"/>
            </w:tcBorders>
            <w:shd w:val="clear" w:color="000000" w:fill="FFFFFF"/>
            <w:noWrap/>
            <w:vAlign w:val="bottom"/>
            <w:hideMark/>
          </w:tcPr>
          <w:p w14:paraId="360A39BE"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&lt;8m</w:t>
            </w:r>
          </w:p>
        </w:tc>
        <w:tc>
          <w:tcPr>
            <w:tcW w:w="1088" w:type="dxa"/>
            <w:tcBorders>
              <w:top w:val="nil"/>
              <w:left w:val="nil"/>
              <w:bottom w:val="nil"/>
              <w:right w:val="nil"/>
            </w:tcBorders>
            <w:shd w:val="clear" w:color="000000" w:fill="FFFFFF"/>
            <w:noWrap/>
            <w:vAlign w:val="bottom"/>
            <w:hideMark/>
          </w:tcPr>
          <w:p w14:paraId="415603BE"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4</w:t>
            </w:r>
          </w:p>
        </w:tc>
        <w:tc>
          <w:tcPr>
            <w:tcW w:w="2760" w:type="dxa"/>
            <w:tcBorders>
              <w:top w:val="nil"/>
              <w:left w:val="nil"/>
              <w:bottom w:val="nil"/>
              <w:right w:val="nil"/>
            </w:tcBorders>
            <w:shd w:val="clear" w:color="000000" w:fill="FFFFFF"/>
            <w:noWrap/>
            <w:vAlign w:val="bottom"/>
            <w:hideMark/>
          </w:tcPr>
          <w:p w14:paraId="1BDA6213"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414.94</w:t>
            </w:r>
          </w:p>
        </w:tc>
      </w:tr>
      <w:tr w:rsidR="00930F83" w:rsidRPr="00930F83" w14:paraId="5EAD8F46" w14:textId="77777777" w:rsidTr="00930F83">
        <w:trPr>
          <w:trHeight w:val="288"/>
        </w:trPr>
        <w:tc>
          <w:tcPr>
            <w:tcW w:w="960" w:type="dxa"/>
            <w:tcBorders>
              <w:top w:val="nil"/>
              <w:left w:val="nil"/>
              <w:bottom w:val="single" w:sz="4" w:space="0" w:color="auto"/>
              <w:right w:val="nil"/>
            </w:tcBorders>
            <w:shd w:val="clear" w:color="000000" w:fill="FFFFFF"/>
            <w:noWrap/>
            <w:vAlign w:val="bottom"/>
            <w:hideMark/>
          </w:tcPr>
          <w:p w14:paraId="74C1CFC3"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B6S02</w:t>
            </w:r>
          </w:p>
        </w:tc>
        <w:tc>
          <w:tcPr>
            <w:tcW w:w="1783" w:type="dxa"/>
            <w:tcBorders>
              <w:top w:val="nil"/>
              <w:left w:val="nil"/>
              <w:bottom w:val="single" w:sz="4" w:space="0" w:color="auto"/>
              <w:right w:val="nil"/>
            </w:tcBorders>
            <w:shd w:val="clear" w:color="000000" w:fill="FFFFFF"/>
            <w:noWrap/>
            <w:vAlign w:val="bottom"/>
            <w:hideMark/>
          </w:tcPr>
          <w:p w14:paraId="4A4C5FD4"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AUV005</w:t>
            </w:r>
          </w:p>
        </w:tc>
        <w:tc>
          <w:tcPr>
            <w:tcW w:w="1360" w:type="dxa"/>
            <w:tcBorders>
              <w:top w:val="nil"/>
              <w:left w:val="nil"/>
              <w:bottom w:val="single" w:sz="4" w:space="0" w:color="auto"/>
              <w:right w:val="nil"/>
            </w:tcBorders>
            <w:shd w:val="clear" w:color="000000" w:fill="FFFFFF"/>
            <w:noWrap/>
            <w:vAlign w:val="bottom"/>
            <w:hideMark/>
          </w:tcPr>
          <w:p w14:paraId="6F0528BF"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&lt;8m</w:t>
            </w:r>
          </w:p>
        </w:tc>
        <w:tc>
          <w:tcPr>
            <w:tcW w:w="1088" w:type="dxa"/>
            <w:tcBorders>
              <w:top w:val="nil"/>
              <w:left w:val="nil"/>
              <w:bottom w:val="single" w:sz="4" w:space="0" w:color="auto"/>
              <w:right w:val="nil"/>
            </w:tcBorders>
            <w:shd w:val="clear" w:color="000000" w:fill="FFFFFF"/>
            <w:noWrap/>
            <w:vAlign w:val="bottom"/>
            <w:hideMark/>
          </w:tcPr>
          <w:p w14:paraId="33F91455"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5</w:t>
            </w:r>
          </w:p>
        </w:tc>
        <w:tc>
          <w:tcPr>
            <w:tcW w:w="2760" w:type="dxa"/>
            <w:tcBorders>
              <w:top w:val="nil"/>
              <w:left w:val="nil"/>
              <w:bottom w:val="single" w:sz="4" w:space="0" w:color="auto"/>
              <w:right w:val="nil"/>
            </w:tcBorders>
            <w:shd w:val="clear" w:color="000000" w:fill="FFFFFF"/>
            <w:noWrap/>
            <w:vAlign w:val="bottom"/>
            <w:hideMark/>
          </w:tcPr>
          <w:p w14:paraId="758DDEE9"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419.55</w:t>
            </w:r>
          </w:p>
        </w:tc>
      </w:tr>
      <w:tr w:rsidR="00930F83" w:rsidRPr="00930F83" w14:paraId="154C4002" w14:textId="77777777" w:rsidTr="00930F83">
        <w:trPr>
          <w:trHeight w:val="288"/>
        </w:trPr>
        <w:tc>
          <w:tcPr>
            <w:tcW w:w="960" w:type="dxa"/>
            <w:tcBorders>
              <w:top w:val="nil"/>
              <w:left w:val="nil"/>
              <w:bottom w:val="nil"/>
              <w:right w:val="nil"/>
            </w:tcBorders>
            <w:shd w:val="clear" w:color="000000" w:fill="FFFFFF"/>
            <w:noWrap/>
            <w:vAlign w:val="bottom"/>
            <w:hideMark/>
          </w:tcPr>
          <w:p w14:paraId="435E495F"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B6S02</w:t>
            </w:r>
          </w:p>
        </w:tc>
        <w:tc>
          <w:tcPr>
            <w:tcW w:w="1783" w:type="dxa"/>
            <w:tcBorders>
              <w:top w:val="nil"/>
              <w:left w:val="nil"/>
              <w:bottom w:val="nil"/>
              <w:right w:val="nil"/>
            </w:tcBorders>
            <w:shd w:val="clear" w:color="000000" w:fill="FFFFFF"/>
            <w:noWrap/>
            <w:vAlign w:val="bottom"/>
            <w:hideMark/>
          </w:tcPr>
          <w:p w14:paraId="13318C4B"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AUV005</w:t>
            </w:r>
          </w:p>
        </w:tc>
        <w:tc>
          <w:tcPr>
            <w:tcW w:w="1360" w:type="dxa"/>
            <w:tcBorders>
              <w:top w:val="nil"/>
              <w:left w:val="nil"/>
              <w:bottom w:val="nil"/>
              <w:right w:val="nil"/>
            </w:tcBorders>
            <w:shd w:val="clear" w:color="000000" w:fill="FFFFFF"/>
            <w:noWrap/>
            <w:vAlign w:val="bottom"/>
            <w:hideMark/>
          </w:tcPr>
          <w:p w14:paraId="6EDFD75C"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&gt;8m</w:t>
            </w:r>
          </w:p>
        </w:tc>
        <w:tc>
          <w:tcPr>
            <w:tcW w:w="1088" w:type="dxa"/>
            <w:tcBorders>
              <w:top w:val="nil"/>
              <w:left w:val="nil"/>
              <w:bottom w:val="nil"/>
              <w:right w:val="nil"/>
            </w:tcBorders>
            <w:shd w:val="clear" w:color="000000" w:fill="FFFFFF"/>
            <w:noWrap/>
            <w:vAlign w:val="bottom"/>
            <w:hideMark/>
          </w:tcPr>
          <w:p w14:paraId="1C55D484"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1</w:t>
            </w:r>
          </w:p>
        </w:tc>
        <w:tc>
          <w:tcPr>
            <w:tcW w:w="2760" w:type="dxa"/>
            <w:tcBorders>
              <w:top w:val="nil"/>
              <w:left w:val="nil"/>
              <w:bottom w:val="nil"/>
              <w:right w:val="nil"/>
            </w:tcBorders>
            <w:shd w:val="clear" w:color="000000" w:fill="FFFFFF"/>
            <w:noWrap/>
            <w:vAlign w:val="bottom"/>
            <w:hideMark/>
          </w:tcPr>
          <w:p w14:paraId="23C69B9B"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1638.68</w:t>
            </w:r>
          </w:p>
        </w:tc>
      </w:tr>
      <w:tr w:rsidR="00930F83" w:rsidRPr="00930F83" w14:paraId="1E918E85" w14:textId="77777777" w:rsidTr="00930F83">
        <w:trPr>
          <w:trHeight w:val="288"/>
        </w:trPr>
        <w:tc>
          <w:tcPr>
            <w:tcW w:w="960" w:type="dxa"/>
            <w:tcBorders>
              <w:top w:val="nil"/>
              <w:left w:val="nil"/>
              <w:bottom w:val="nil"/>
              <w:right w:val="nil"/>
            </w:tcBorders>
            <w:shd w:val="clear" w:color="000000" w:fill="FFFFFF"/>
            <w:noWrap/>
            <w:vAlign w:val="bottom"/>
            <w:hideMark/>
          </w:tcPr>
          <w:p w14:paraId="29405722"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B6S02</w:t>
            </w:r>
          </w:p>
        </w:tc>
        <w:tc>
          <w:tcPr>
            <w:tcW w:w="1783" w:type="dxa"/>
            <w:tcBorders>
              <w:top w:val="nil"/>
              <w:left w:val="nil"/>
              <w:bottom w:val="nil"/>
              <w:right w:val="nil"/>
            </w:tcBorders>
            <w:shd w:val="clear" w:color="000000" w:fill="FFFFFF"/>
            <w:noWrap/>
            <w:vAlign w:val="bottom"/>
            <w:hideMark/>
          </w:tcPr>
          <w:p w14:paraId="245B74FE"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AUV005</w:t>
            </w:r>
          </w:p>
        </w:tc>
        <w:tc>
          <w:tcPr>
            <w:tcW w:w="1360" w:type="dxa"/>
            <w:tcBorders>
              <w:top w:val="nil"/>
              <w:left w:val="nil"/>
              <w:bottom w:val="nil"/>
              <w:right w:val="nil"/>
            </w:tcBorders>
            <w:shd w:val="clear" w:color="000000" w:fill="FFFFFF"/>
            <w:noWrap/>
            <w:vAlign w:val="bottom"/>
            <w:hideMark/>
          </w:tcPr>
          <w:p w14:paraId="63A3EC3E"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&gt;8m</w:t>
            </w:r>
          </w:p>
        </w:tc>
        <w:tc>
          <w:tcPr>
            <w:tcW w:w="1088" w:type="dxa"/>
            <w:tcBorders>
              <w:top w:val="nil"/>
              <w:left w:val="nil"/>
              <w:bottom w:val="nil"/>
              <w:right w:val="nil"/>
            </w:tcBorders>
            <w:shd w:val="clear" w:color="000000" w:fill="FFFFFF"/>
            <w:noWrap/>
            <w:vAlign w:val="bottom"/>
            <w:hideMark/>
          </w:tcPr>
          <w:p w14:paraId="22AAFAAA"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2</w:t>
            </w:r>
          </w:p>
        </w:tc>
        <w:tc>
          <w:tcPr>
            <w:tcW w:w="2760" w:type="dxa"/>
            <w:tcBorders>
              <w:top w:val="nil"/>
              <w:left w:val="nil"/>
              <w:bottom w:val="nil"/>
              <w:right w:val="nil"/>
            </w:tcBorders>
            <w:shd w:val="clear" w:color="000000" w:fill="FFFFFF"/>
            <w:noWrap/>
            <w:vAlign w:val="bottom"/>
            <w:hideMark/>
          </w:tcPr>
          <w:p w14:paraId="145F1411"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1597.65</w:t>
            </w:r>
          </w:p>
        </w:tc>
      </w:tr>
      <w:tr w:rsidR="00930F83" w:rsidRPr="00930F83" w14:paraId="138469F4" w14:textId="77777777" w:rsidTr="00930F83">
        <w:trPr>
          <w:trHeight w:val="288"/>
        </w:trPr>
        <w:tc>
          <w:tcPr>
            <w:tcW w:w="960" w:type="dxa"/>
            <w:tcBorders>
              <w:top w:val="nil"/>
              <w:left w:val="nil"/>
              <w:bottom w:val="nil"/>
              <w:right w:val="nil"/>
            </w:tcBorders>
            <w:shd w:val="clear" w:color="000000" w:fill="FFFFFF"/>
            <w:noWrap/>
            <w:vAlign w:val="bottom"/>
            <w:hideMark/>
          </w:tcPr>
          <w:p w14:paraId="51153C96"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B6S02</w:t>
            </w:r>
          </w:p>
        </w:tc>
        <w:tc>
          <w:tcPr>
            <w:tcW w:w="1783" w:type="dxa"/>
            <w:tcBorders>
              <w:top w:val="nil"/>
              <w:left w:val="nil"/>
              <w:bottom w:val="nil"/>
              <w:right w:val="nil"/>
            </w:tcBorders>
            <w:shd w:val="clear" w:color="000000" w:fill="FFFFFF"/>
            <w:noWrap/>
            <w:vAlign w:val="bottom"/>
            <w:hideMark/>
          </w:tcPr>
          <w:p w14:paraId="36C23024"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AUV005</w:t>
            </w:r>
          </w:p>
        </w:tc>
        <w:tc>
          <w:tcPr>
            <w:tcW w:w="1360" w:type="dxa"/>
            <w:tcBorders>
              <w:top w:val="nil"/>
              <w:left w:val="nil"/>
              <w:bottom w:val="nil"/>
              <w:right w:val="nil"/>
            </w:tcBorders>
            <w:shd w:val="clear" w:color="000000" w:fill="FFFFFF"/>
            <w:noWrap/>
            <w:vAlign w:val="bottom"/>
            <w:hideMark/>
          </w:tcPr>
          <w:p w14:paraId="52BDB343"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&gt;8m</w:t>
            </w:r>
          </w:p>
        </w:tc>
        <w:tc>
          <w:tcPr>
            <w:tcW w:w="1088" w:type="dxa"/>
            <w:tcBorders>
              <w:top w:val="nil"/>
              <w:left w:val="nil"/>
              <w:bottom w:val="nil"/>
              <w:right w:val="nil"/>
            </w:tcBorders>
            <w:shd w:val="clear" w:color="000000" w:fill="FFFFFF"/>
            <w:noWrap/>
            <w:vAlign w:val="bottom"/>
            <w:hideMark/>
          </w:tcPr>
          <w:p w14:paraId="5292F78B"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3</w:t>
            </w:r>
          </w:p>
        </w:tc>
        <w:tc>
          <w:tcPr>
            <w:tcW w:w="2760" w:type="dxa"/>
            <w:tcBorders>
              <w:top w:val="nil"/>
              <w:left w:val="nil"/>
              <w:bottom w:val="nil"/>
              <w:right w:val="nil"/>
            </w:tcBorders>
            <w:shd w:val="clear" w:color="000000" w:fill="FFFFFF"/>
            <w:noWrap/>
            <w:vAlign w:val="bottom"/>
            <w:hideMark/>
          </w:tcPr>
          <w:p w14:paraId="6B2F600B"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1619.35</w:t>
            </w:r>
          </w:p>
        </w:tc>
      </w:tr>
      <w:tr w:rsidR="00930F83" w:rsidRPr="00930F83" w14:paraId="6C8A1ECE" w14:textId="77777777" w:rsidTr="00930F83">
        <w:trPr>
          <w:trHeight w:val="288"/>
        </w:trPr>
        <w:tc>
          <w:tcPr>
            <w:tcW w:w="960" w:type="dxa"/>
            <w:tcBorders>
              <w:top w:val="nil"/>
              <w:left w:val="nil"/>
              <w:bottom w:val="nil"/>
              <w:right w:val="nil"/>
            </w:tcBorders>
            <w:shd w:val="clear" w:color="000000" w:fill="FFFFFF"/>
            <w:noWrap/>
            <w:vAlign w:val="bottom"/>
            <w:hideMark/>
          </w:tcPr>
          <w:p w14:paraId="59E1751B"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B6S02</w:t>
            </w:r>
          </w:p>
        </w:tc>
        <w:tc>
          <w:tcPr>
            <w:tcW w:w="1783" w:type="dxa"/>
            <w:tcBorders>
              <w:top w:val="nil"/>
              <w:left w:val="nil"/>
              <w:bottom w:val="nil"/>
              <w:right w:val="nil"/>
            </w:tcBorders>
            <w:shd w:val="clear" w:color="000000" w:fill="FFFFFF"/>
            <w:noWrap/>
            <w:vAlign w:val="bottom"/>
            <w:hideMark/>
          </w:tcPr>
          <w:p w14:paraId="395660E1"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AUV005</w:t>
            </w:r>
          </w:p>
        </w:tc>
        <w:tc>
          <w:tcPr>
            <w:tcW w:w="1360" w:type="dxa"/>
            <w:tcBorders>
              <w:top w:val="nil"/>
              <w:left w:val="nil"/>
              <w:bottom w:val="nil"/>
              <w:right w:val="nil"/>
            </w:tcBorders>
            <w:shd w:val="clear" w:color="000000" w:fill="FFFFFF"/>
            <w:noWrap/>
            <w:vAlign w:val="bottom"/>
            <w:hideMark/>
          </w:tcPr>
          <w:p w14:paraId="41CF69EF"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&gt;8m</w:t>
            </w:r>
          </w:p>
        </w:tc>
        <w:tc>
          <w:tcPr>
            <w:tcW w:w="1088" w:type="dxa"/>
            <w:tcBorders>
              <w:top w:val="nil"/>
              <w:left w:val="nil"/>
              <w:bottom w:val="nil"/>
              <w:right w:val="nil"/>
            </w:tcBorders>
            <w:shd w:val="clear" w:color="000000" w:fill="FFFFFF"/>
            <w:noWrap/>
            <w:vAlign w:val="bottom"/>
            <w:hideMark/>
          </w:tcPr>
          <w:p w14:paraId="4D1FD9A1"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4</w:t>
            </w:r>
          </w:p>
        </w:tc>
        <w:tc>
          <w:tcPr>
            <w:tcW w:w="2760" w:type="dxa"/>
            <w:tcBorders>
              <w:top w:val="nil"/>
              <w:left w:val="nil"/>
              <w:bottom w:val="nil"/>
              <w:right w:val="nil"/>
            </w:tcBorders>
            <w:shd w:val="clear" w:color="000000" w:fill="FFFFFF"/>
            <w:noWrap/>
            <w:vAlign w:val="bottom"/>
            <w:hideMark/>
          </w:tcPr>
          <w:p w14:paraId="59ECCD3A"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1623.78</w:t>
            </w:r>
          </w:p>
        </w:tc>
      </w:tr>
      <w:tr w:rsidR="00930F83" w:rsidRPr="00930F83" w14:paraId="3D4208D2" w14:textId="77777777" w:rsidTr="00930F83">
        <w:trPr>
          <w:trHeight w:val="288"/>
        </w:trPr>
        <w:tc>
          <w:tcPr>
            <w:tcW w:w="960" w:type="dxa"/>
            <w:tcBorders>
              <w:top w:val="nil"/>
              <w:left w:val="nil"/>
              <w:bottom w:val="single" w:sz="4" w:space="0" w:color="auto"/>
              <w:right w:val="nil"/>
            </w:tcBorders>
            <w:shd w:val="clear" w:color="000000" w:fill="FFFFFF"/>
            <w:noWrap/>
            <w:vAlign w:val="bottom"/>
            <w:hideMark/>
          </w:tcPr>
          <w:p w14:paraId="09CCC4E4"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B6S02</w:t>
            </w:r>
          </w:p>
        </w:tc>
        <w:tc>
          <w:tcPr>
            <w:tcW w:w="1783" w:type="dxa"/>
            <w:tcBorders>
              <w:top w:val="nil"/>
              <w:left w:val="nil"/>
              <w:bottom w:val="single" w:sz="4" w:space="0" w:color="auto"/>
              <w:right w:val="nil"/>
            </w:tcBorders>
            <w:shd w:val="clear" w:color="000000" w:fill="FFFFFF"/>
            <w:noWrap/>
            <w:vAlign w:val="bottom"/>
            <w:hideMark/>
          </w:tcPr>
          <w:p w14:paraId="0FAA22A4"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AUV005</w:t>
            </w:r>
          </w:p>
        </w:tc>
        <w:tc>
          <w:tcPr>
            <w:tcW w:w="1360" w:type="dxa"/>
            <w:tcBorders>
              <w:top w:val="nil"/>
              <w:left w:val="nil"/>
              <w:bottom w:val="single" w:sz="4" w:space="0" w:color="auto"/>
              <w:right w:val="nil"/>
            </w:tcBorders>
            <w:shd w:val="clear" w:color="000000" w:fill="FFFFFF"/>
            <w:noWrap/>
            <w:vAlign w:val="bottom"/>
            <w:hideMark/>
          </w:tcPr>
          <w:p w14:paraId="0CFFAFD1"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&gt;8m</w:t>
            </w:r>
          </w:p>
        </w:tc>
        <w:tc>
          <w:tcPr>
            <w:tcW w:w="1088" w:type="dxa"/>
            <w:tcBorders>
              <w:top w:val="nil"/>
              <w:left w:val="nil"/>
              <w:bottom w:val="single" w:sz="4" w:space="0" w:color="auto"/>
              <w:right w:val="nil"/>
            </w:tcBorders>
            <w:shd w:val="clear" w:color="000000" w:fill="FFFFFF"/>
            <w:noWrap/>
            <w:vAlign w:val="bottom"/>
            <w:hideMark/>
          </w:tcPr>
          <w:p w14:paraId="4808AE48"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5</w:t>
            </w:r>
          </w:p>
        </w:tc>
        <w:tc>
          <w:tcPr>
            <w:tcW w:w="2760" w:type="dxa"/>
            <w:tcBorders>
              <w:top w:val="nil"/>
              <w:left w:val="nil"/>
              <w:bottom w:val="single" w:sz="4" w:space="0" w:color="auto"/>
              <w:right w:val="nil"/>
            </w:tcBorders>
            <w:shd w:val="clear" w:color="000000" w:fill="FFFFFF"/>
            <w:noWrap/>
            <w:vAlign w:val="bottom"/>
            <w:hideMark/>
          </w:tcPr>
          <w:p w14:paraId="1012D354"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1587.83</w:t>
            </w:r>
          </w:p>
        </w:tc>
      </w:tr>
      <w:tr w:rsidR="00930F83" w:rsidRPr="00930F83" w14:paraId="3ACEA22B" w14:textId="77777777" w:rsidTr="00930F83">
        <w:trPr>
          <w:trHeight w:val="288"/>
        </w:trPr>
        <w:tc>
          <w:tcPr>
            <w:tcW w:w="960" w:type="dxa"/>
            <w:tcBorders>
              <w:top w:val="nil"/>
              <w:left w:val="nil"/>
              <w:bottom w:val="nil"/>
              <w:right w:val="nil"/>
            </w:tcBorders>
            <w:shd w:val="clear" w:color="000000" w:fill="FFFFFF"/>
            <w:noWrap/>
            <w:vAlign w:val="bottom"/>
            <w:hideMark/>
          </w:tcPr>
          <w:p w14:paraId="295928D2"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B4S03</w:t>
            </w:r>
          </w:p>
        </w:tc>
        <w:tc>
          <w:tcPr>
            <w:tcW w:w="1783" w:type="dxa"/>
            <w:tcBorders>
              <w:top w:val="nil"/>
              <w:left w:val="nil"/>
              <w:bottom w:val="nil"/>
              <w:right w:val="nil"/>
            </w:tcBorders>
            <w:shd w:val="clear" w:color="000000" w:fill="FFFFFF"/>
            <w:noWrap/>
            <w:vAlign w:val="bottom"/>
            <w:hideMark/>
          </w:tcPr>
          <w:p w14:paraId="5C7FD388"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AUV011_AUV012</w:t>
            </w:r>
          </w:p>
        </w:tc>
        <w:tc>
          <w:tcPr>
            <w:tcW w:w="1360" w:type="dxa"/>
            <w:tcBorders>
              <w:top w:val="nil"/>
              <w:left w:val="nil"/>
              <w:bottom w:val="nil"/>
              <w:right w:val="nil"/>
            </w:tcBorders>
            <w:shd w:val="clear" w:color="000000" w:fill="FFFFFF"/>
            <w:noWrap/>
            <w:vAlign w:val="bottom"/>
            <w:hideMark/>
          </w:tcPr>
          <w:p w14:paraId="2EE3010B"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&lt;8m</w:t>
            </w:r>
          </w:p>
        </w:tc>
        <w:tc>
          <w:tcPr>
            <w:tcW w:w="1088" w:type="dxa"/>
            <w:tcBorders>
              <w:top w:val="nil"/>
              <w:left w:val="nil"/>
              <w:bottom w:val="nil"/>
              <w:right w:val="nil"/>
            </w:tcBorders>
            <w:shd w:val="clear" w:color="000000" w:fill="FFFFFF"/>
            <w:noWrap/>
            <w:vAlign w:val="bottom"/>
            <w:hideMark/>
          </w:tcPr>
          <w:p w14:paraId="55ABC768"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1</w:t>
            </w:r>
          </w:p>
        </w:tc>
        <w:tc>
          <w:tcPr>
            <w:tcW w:w="2760" w:type="dxa"/>
            <w:tcBorders>
              <w:top w:val="nil"/>
              <w:left w:val="nil"/>
              <w:bottom w:val="nil"/>
              <w:right w:val="nil"/>
            </w:tcBorders>
            <w:shd w:val="clear" w:color="000000" w:fill="FFFFFF"/>
            <w:noWrap/>
            <w:vAlign w:val="bottom"/>
            <w:hideMark/>
          </w:tcPr>
          <w:p w14:paraId="3A0DB467"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740.83</w:t>
            </w:r>
          </w:p>
        </w:tc>
      </w:tr>
      <w:tr w:rsidR="00930F83" w:rsidRPr="00930F83" w14:paraId="4A155CC7" w14:textId="77777777" w:rsidTr="00930F83">
        <w:trPr>
          <w:trHeight w:val="288"/>
        </w:trPr>
        <w:tc>
          <w:tcPr>
            <w:tcW w:w="960" w:type="dxa"/>
            <w:tcBorders>
              <w:top w:val="nil"/>
              <w:left w:val="nil"/>
              <w:bottom w:val="nil"/>
              <w:right w:val="nil"/>
            </w:tcBorders>
            <w:shd w:val="clear" w:color="000000" w:fill="FFFFFF"/>
            <w:noWrap/>
            <w:vAlign w:val="bottom"/>
            <w:hideMark/>
          </w:tcPr>
          <w:p w14:paraId="243021CA"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B4S03</w:t>
            </w:r>
          </w:p>
        </w:tc>
        <w:tc>
          <w:tcPr>
            <w:tcW w:w="1783" w:type="dxa"/>
            <w:tcBorders>
              <w:top w:val="nil"/>
              <w:left w:val="nil"/>
              <w:bottom w:val="nil"/>
              <w:right w:val="nil"/>
            </w:tcBorders>
            <w:shd w:val="clear" w:color="000000" w:fill="FFFFFF"/>
            <w:noWrap/>
            <w:vAlign w:val="bottom"/>
            <w:hideMark/>
          </w:tcPr>
          <w:p w14:paraId="658D17E0"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AUV011_AUV012</w:t>
            </w:r>
          </w:p>
        </w:tc>
        <w:tc>
          <w:tcPr>
            <w:tcW w:w="1360" w:type="dxa"/>
            <w:tcBorders>
              <w:top w:val="nil"/>
              <w:left w:val="nil"/>
              <w:bottom w:val="nil"/>
              <w:right w:val="nil"/>
            </w:tcBorders>
            <w:shd w:val="clear" w:color="000000" w:fill="FFFFFF"/>
            <w:noWrap/>
            <w:vAlign w:val="bottom"/>
            <w:hideMark/>
          </w:tcPr>
          <w:p w14:paraId="70D9CFE1"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&lt;8m</w:t>
            </w:r>
          </w:p>
        </w:tc>
        <w:tc>
          <w:tcPr>
            <w:tcW w:w="1088" w:type="dxa"/>
            <w:tcBorders>
              <w:top w:val="nil"/>
              <w:left w:val="nil"/>
              <w:bottom w:val="nil"/>
              <w:right w:val="nil"/>
            </w:tcBorders>
            <w:shd w:val="clear" w:color="000000" w:fill="FFFFFF"/>
            <w:noWrap/>
            <w:vAlign w:val="bottom"/>
            <w:hideMark/>
          </w:tcPr>
          <w:p w14:paraId="6F08CCF7"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2</w:t>
            </w:r>
          </w:p>
        </w:tc>
        <w:tc>
          <w:tcPr>
            <w:tcW w:w="2760" w:type="dxa"/>
            <w:tcBorders>
              <w:top w:val="nil"/>
              <w:left w:val="nil"/>
              <w:bottom w:val="nil"/>
              <w:right w:val="nil"/>
            </w:tcBorders>
            <w:shd w:val="clear" w:color="000000" w:fill="FFFFFF"/>
            <w:noWrap/>
            <w:vAlign w:val="bottom"/>
            <w:hideMark/>
          </w:tcPr>
          <w:p w14:paraId="3FAC2507"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732.78</w:t>
            </w:r>
          </w:p>
        </w:tc>
      </w:tr>
      <w:tr w:rsidR="00930F83" w:rsidRPr="00930F83" w14:paraId="5AA84993" w14:textId="77777777" w:rsidTr="00930F83">
        <w:trPr>
          <w:trHeight w:val="288"/>
        </w:trPr>
        <w:tc>
          <w:tcPr>
            <w:tcW w:w="960" w:type="dxa"/>
            <w:tcBorders>
              <w:top w:val="nil"/>
              <w:left w:val="nil"/>
              <w:bottom w:val="nil"/>
              <w:right w:val="nil"/>
            </w:tcBorders>
            <w:shd w:val="clear" w:color="000000" w:fill="FFFFFF"/>
            <w:noWrap/>
            <w:vAlign w:val="bottom"/>
            <w:hideMark/>
          </w:tcPr>
          <w:p w14:paraId="309512F7"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B4S03</w:t>
            </w:r>
          </w:p>
        </w:tc>
        <w:tc>
          <w:tcPr>
            <w:tcW w:w="1783" w:type="dxa"/>
            <w:tcBorders>
              <w:top w:val="nil"/>
              <w:left w:val="nil"/>
              <w:bottom w:val="nil"/>
              <w:right w:val="nil"/>
            </w:tcBorders>
            <w:shd w:val="clear" w:color="000000" w:fill="FFFFFF"/>
            <w:noWrap/>
            <w:vAlign w:val="bottom"/>
            <w:hideMark/>
          </w:tcPr>
          <w:p w14:paraId="62054AF2"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AUV011_AUV012</w:t>
            </w:r>
          </w:p>
        </w:tc>
        <w:tc>
          <w:tcPr>
            <w:tcW w:w="1360" w:type="dxa"/>
            <w:tcBorders>
              <w:top w:val="nil"/>
              <w:left w:val="nil"/>
              <w:bottom w:val="nil"/>
              <w:right w:val="nil"/>
            </w:tcBorders>
            <w:shd w:val="clear" w:color="000000" w:fill="FFFFFF"/>
            <w:noWrap/>
            <w:vAlign w:val="bottom"/>
            <w:hideMark/>
          </w:tcPr>
          <w:p w14:paraId="00190F1E"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&lt;8m</w:t>
            </w:r>
          </w:p>
        </w:tc>
        <w:tc>
          <w:tcPr>
            <w:tcW w:w="1088" w:type="dxa"/>
            <w:tcBorders>
              <w:top w:val="nil"/>
              <w:left w:val="nil"/>
              <w:bottom w:val="nil"/>
              <w:right w:val="nil"/>
            </w:tcBorders>
            <w:shd w:val="clear" w:color="000000" w:fill="FFFFFF"/>
            <w:noWrap/>
            <w:vAlign w:val="bottom"/>
            <w:hideMark/>
          </w:tcPr>
          <w:p w14:paraId="5C65A646"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3</w:t>
            </w:r>
          </w:p>
        </w:tc>
        <w:tc>
          <w:tcPr>
            <w:tcW w:w="2760" w:type="dxa"/>
            <w:tcBorders>
              <w:top w:val="nil"/>
              <w:left w:val="nil"/>
              <w:bottom w:val="nil"/>
              <w:right w:val="nil"/>
            </w:tcBorders>
            <w:shd w:val="clear" w:color="000000" w:fill="FFFFFF"/>
            <w:noWrap/>
            <w:vAlign w:val="bottom"/>
            <w:hideMark/>
          </w:tcPr>
          <w:p w14:paraId="42A8A3FF"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740.45</w:t>
            </w:r>
          </w:p>
        </w:tc>
      </w:tr>
      <w:tr w:rsidR="00930F83" w:rsidRPr="00930F83" w14:paraId="10FC277D" w14:textId="77777777" w:rsidTr="00930F83">
        <w:trPr>
          <w:trHeight w:val="288"/>
        </w:trPr>
        <w:tc>
          <w:tcPr>
            <w:tcW w:w="960" w:type="dxa"/>
            <w:tcBorders>
              <w:top w:val="nil"/>
              <w:left w:val="nil"/>
              <w:bottom w:val="nil"/>
              <w:right w:val="nil"/>
            </w:tcBorders>
            <w:shd w:val="clear" w:color="000000" w:fill="FFFFFF"/>
            <w:noWrap/>
            <w:vAlign w:val="bottom"/>
            <w:hideMark/>
          </w:tcPr>
          <w:p w14:paraId="051B6160"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B4S03</w:t>
            </w:r>
          </w:p>
        </w:tc>
        <w:tc>
          <w:tcPr>
            <w:tcW w:w="1783" w:type="dxa"/>
            <w:tcBorders>
              <w:top w:val="nil"/>
              <w:left w:val="nil"/>
              <w:bottom w:val="nil"/>
              <w:right w:val="nil"/>
            </w:tcBorders>
            <w:shd w:val="clear" w:color="000000" w:fill="FFFFFF"/>
            <w:noWrap/>
            <w:vAlign w:val="bottom"/>
            <w:hideMark/>
          </w:tcPr>
          <w:p w14:paraId="0673529B"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AUV011_AUV012</w:t>
            </w:r>
          </w:p>
        </w:tc>
        <w:tc>
          <w:tcPr>
            <w:tcW w:w="1360" w:type="dxa"/>
            <w:tcBorders>
              <w:top w:val="nil"/>
              <w:left w:val="nil"/>
              <w:bottom w:val="nil"/>
              <w:right w:val="nil"/>
            </w:tcBorders>
            <w:shd w:val="clear" w:color="000000" w:fill="FFFFFF"/>
            <w:noWrap/>
            <w:vAlign w:val="bottom"/>
            <w:hideMark/>
          </w:tcPr>
          <w:p w14:paraId="1134B6AA"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&lt;8m</w:t>
            </w:r>
          </w:p>
        </w:tc>
        <w:tc>
          <w:tcPr>
            <w:tcW w:w="1088" w:type="dxa"/>
            <w:tcBorders>
              <w:top w:val="nil"/>
              <w:left w:val="nil"/>
              <w:bottom w:val="nil"/>
              <w:right w:val="nil"/>
            </w:tcBorders>
            <w:shd w:val="clear" w:color="000000" w:fill="FFFFFF"/>
            <w:noWrap/>
            <w:vAlign w:val="bottom"/>
            <w:hideMark/>
          </w:tcPr>
          <w:p w14:paraId="2E504DA2"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4</w:t>
            </w:r>
          </w:p>
        </w:tc>
        <w:tc>
          <w:tcPr>
            <w:tcW w:w="2760" w:type="dxa"/>
            <w:tcBorders>
              <w:top w:val="nil"/>
              <w:left w:val="nil"/>
              <w:bottom w:val="nil"/>
              <w:right w:val="nil"/>
            </w:tcBorders>
            <w:shd w:val="clear" w:color="000000" w:fill="FFFFFF"/>
            <w:noWrap/>
            <w:vAlign w:val="bottom"/>
            <w:hideMark/>
          </w:tcPr>
          <w:p w14:paraId="59BF0A54"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756.45</w:t>
            </w:r>
          </w:p>
        </w:tc>
      </w:tr>
      <w:tr w:rsidR="00930F83" w:rsidRPr="00930F83" w14:paraId="457D6EB0" w14:textId="77777777" w:rsidTr="00930F83">
        <w:trPr>
          <w:trHeight w:val="288"/>
        </w:trPr>
        <w:tc>
          <w:tcPr>
            <w:tcW w:w="960" w:type="dxa"/>
            <w:tcBorders>
              <w:top w:val="nil"/>
              <w:left w:val="nil"/>
              <w:bottom w:val="single" w:sz="4" w:space="0" w:color="auto"/>
              <w:right w:val="nil"/>
            </w:tcBorders>
            <w:shd w:val="clear" w:color="000000" w:fill="FFFFFF"/>
            <w:noWrap/>
            <w:vAlign w:val="bottom"/>
            <w:hideMark/>
          </w:tcPr>
          <w:p w14:paraId="34839A43"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B4S03</w:t>
            </w:r>
          </w:p>
        </w:tc>
        <w:tc>
          <w:tcPr>
            <w:tcW w:w="1783" w:type="dxa"/>
            <w:tcBorders>
              <w:top w:val="nil"/>
              <w:left w:val="nil"/>
              <w:bottom w:val="single" w:sz="4" w:space="0" w:color="auto"/>
              <w:right w:val="nil"/>
            </w:tcBorders>
            <w:shd w:val="clear" w:color="000000" w:fill="FFFFFF"/>
            <w:noWrap/>
            <w:vAlign w:val="bottom"/>
            <w:hideMark/>
          </w:tcPr>
          <w:p w14:paraId="37C1CA7E"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AUV011_AUV012</w:t>
            </w:r>
          </w:p>
        </w:tc>
        <w:tc>
          <w:tcPr>
            <w:tcW w:w="1360" w:type="dxa"/>
            <w:tcBorders>
              <w:top w:val="nil"/>
              <w:left w:val="nil"/>
              <w:bottom w:val="single" w:sz="4" w:space="0" w:color="auto"/>
              <w:right w:val="nil"/>
            </w:tcBorders>
            <w:shd w:val="clear" w:color="000000" w:fill="FFFFFF"/>
            <w:noWrap/>
            <w:vAlign w:val="bottom"/>
            <w:hideMark/>
          </w:tcPr>
          <w:p w14:paraId="2082088F"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&lt;8m</w:t>
            </w:r>
          </w:p>
        </w:tc>
        <w:tc>
          <w:tcPr>
            <w:tcW w:w="1088" w:type="dxa"/>
            <w:tcBorders>
              <w:top w:val="nil"/>
              <w:left w:val="nil"/>
              <w:bottom w:val="single" w:sz="4" w:space="0" w:color="auto"/>
              <w:right w:val="nil"/>
            </w:tcBorders>
            <w:shd w:val="clear" w:color="000000" w:fill="FFFFFF"/>
            <w:noWrap/>
            <w:vAlign w:val="bottom"/>
            <w:hideMark/>
          </w:tcPr>
          <w:p w14:paraId="378F260C"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5</w:t>
            </w:r>
          </w:p>
        </w:tc>
        <w:tc>
          <w:tcPr>
            <w:tcW w:w="2760" w:type="dxa"/>
            <w:tcBorders>
              <w:top w:val="nil"/>
              <w:left w:val="nil"/>
              <w:bottom w:val="single" w:sz="4" w:space="0" w:color="auto"/>
              <w:right w:val="nil"/>
            </w:tcBorders>
            <w:shd w:val="clear" w:color="000000" w:fill="FFFFFF"/>
            <w:noWrap/>
            <w:vAlign w:val="bottom"/>
            <w:hideMark/>
          </w:tcPr>
          <w:p w14:paraId="09B37ADF"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781.77</w:t>
            </w:r>
          </w:p>
        </w:tc>
      </w:tr>
      <w:tr w:rsidR="00930F83" w:rsidRPr="00930F83" w14:paraId="66C3E0F2" w14:textId="77777777" w:rsidTr="00930F83">
        <w:trPr>
          <w:trHeight w:val="288"/>
        </w:trPr>
        <w:tc>
          <w:tcPr>
            <w:tcW w:w="960" w:type="dxa"/>
            <w:tcBorders>
              <w:top w:val="nil"/>
              <w:left w:val="nil"/>
              <w:bottom w:val="nil"/>
              <w:right w:val="nil"/>
            </w:tcBorders>
            <w:shd w:val="clear" w:color="000000" w:fill="FFFFFF"/>
            <w:noWrap/>
            <w:vAlign w:val="bottom"/>
            <w:hideMark/>
          </w:tcPr>
          <w:p w14:paraId="780C402F"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B4S03</w:t>
            </w:r>
          </w:p>
        </w:tc>
        <w:tc>
          <w:tcPr>
            <w:tcW w:w="1783" w:type="dxa"/>
            <w:tcBorders>
              <w:top w:val="nil"/>
              <w:left w:val="nil"/>
              <w:bottom w:val="nil"/>
              <w:right w:val="nil"/>
            </w:tcBorders>
            <w:shd w:val="clear" w:color="000000" w:fill="FFFFFF"/>
            <w:noWrap/>
            <w:vAlign w:val="bottom"/>
            <w:hideMark/>
          </w:tcPr>
          <w:p w14:paraId="09073AA5"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AUV011_AUV012</w:t>
            </w:r>
          </w:p>
        </w:tc>
        <w:tc>
          <w:tcPr>
            <w:tcW w:w="1360" w:type="dxa"/>
            <w:tcBorders>
              <w:top w:val="nil"/>
              <w:left w:val="nil"/>
              <w:bottom w:val="nil"/>
              <w:right w:val="nil"/>
            </w:tcBorders>
            <w:shd w:val="clear" w:color="000000" w:fill="FFFFFF"/>
            <w:noWrap/>
            <w:vAlign w:val="bottom"/>
            <w:hideMark/>
          </w:tcPr>
          <w:p w14:paraId="7561913F"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&gt;8m</w:t>
            </w:r>
          </w:p>
        </w:tc>
        <w:tc>
          <w:tcPr>
            <w:tcW w:w="1088" w:type="dxa"/>
            <w:tcBorders>
              <w:top w:val="nil"/>
              <w:left w:val="nil"/>
              <w:bottom w:val="nil"/>
              <w:right w:val="nil"/>
            </w:tcBorders>
            <w:shd w:val="clear" w:color="000000" w:fill="FFFFFF"/>
            <w:noWrap/>
            <w:vAlign w:val="bottom"/>
            <w:hideMark/>
          </w:tcPr>
          <w:p w14:paraId="3B0E1EC4"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1</w:t>
            </w:r>
          </w:p>
        </w:tc>
        <w:tc>
          <w:tcPr>
            <w:tcW w:w="2760" w:type="dxa"/>
            <w:tcBorders>
              <w:top w:val="nil"/>
              <w:left w:val="nil"/>
              <w:bottom w:val="nil"/>
              <w:right w:val="nil"/>
            </w:tcBorders>
            <w:shd w:val="clear" w:color="000000" w:fill="FFFFFF"/>
            <w:noWrap/>
            <w:vAlign w:val="bottom"/>
            <w:hideMark/>
          </w:tcPr>
          <w:p w14:paraId="27BF08DD"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1644.87</w:t>
            </w:r>
          </w:p>
        </w:tc>
      </w:tr>
      <w:tr w:rsidR="00930F83" w:rsidRPr="00930F83" w14:paraId="15922D13" w14:textId="77777777" w:rsidTr="00930F83">
        <w:trPr>
          <w:trHeight w:val="288"/>
        </w:trPr>
        <w:tc>
          <w:tcPr>
            <w:tcW w:w="960" w:type="dxa"/>
            <w:tcBorders>
              <w:top w:val="nil"/>
              <w:left w:val="nil"/>
              <w:bottom w:val="nil"/>
              <w:right w:val="nil"/>
            </w:tcBorders>
            <w:shd w:val="clear" w:color="000000" w:fill="FFFFFF"/>
            <w:noWrap/>
            <w:vAlign w:val="bottom"/>
            <w:hideMark/>
          </w:tcPr>
          <w:p w14:paraId="03999BE1"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B4S03</w:t>
            </w:r>
          </w:p>
        </w:tc>
        <w:tc>
          <w:tcPr>
            <w:tcW w:w="1783" w:type="dxa"/>
            <w:tcBorders>
              <w:top w:val="nil"/>
              <w:left w:val="nil"/>
              <w:bottom w:val="nil"/>
              <w:right w:val="nil"/>
            </w:tcBorders>
            <w:shd w:val="clear" w:color="000000" w:fill="FFFFFF"/>
            <w:noWrap/>
            <w:vAlign w:val="bottom"/>
            <w:hideMark/>
          </w:tcPr>
          <w:p w14:paraId="36FDB2CC"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AUV011_AUV012</w:t>
            </w:r>
          </w:p>
        </w:tc>
        <w:tc>
          <w:tcPr>
            <w:tcW w:w="1360" w:type="dxa"/>
            <w:tcBorders>
              <w:top w:val="nil"/>
              <w:left w:val="nil"/>
              <w:bottom w:val="nil"/>
              <w:right w:val="nil"/>
            </w:tcBorders>
            <w:shd w:val="clear" w:color="000000" w:fill="FFFFFF"/>
            <w:noWrap/>
            <w:vAlign w:val="bottom"/>
            <w:hideMark/>
          </w:tcPr>
          <w:p w14:paraId="3DC10E75"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&gt;8m</w:t>
            </w:r>
          </w:p>
        </w:tc>
        <w:tc>
          <w:tcPr>
            <w:tcW w:w="1088" w:type="dxa"/>
            <w:tcBorders>
              <w:top w:val="nil"/>
              <w:left w:val="nil"/>
              <w:bottom w:val="nil"/>
              <w:right w:val="nil"/>
            </w:tcBorders>
            <w:shd w:val="clear" w:color="000000" w:fill="FFFFFF"/>
            <w:noWrap/>
            <w:vAlign w:val="bottom"/>
            <w:hideMark/>
          </w:tcPr>
          <w:p w14:paraId="325469E2"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2</w:t>
            </w:r>
          </w:p>
        </w:tc>
        <w:tc>
          <w:tcPr>
            <w:tcW w:w="2760" w:type="dxa"/>
            <w:tcBorders>
              <w:top w:val="nil"/>
              <w:left w:val="nil"/>
              <w:bottom w:val="nil"/>
              <w:right w:val="nil"/>
            </w:tcBorders>
            <w:shd w:val="clear" w:color="000000" w:fill="FFFFFF"/>
            <w:noWrap/>
            <w:vAlign w:val="bottom"/>
            <w:hideMark/>
          </w:tcPr>
          <w:p w14:paraId="6B6ED299"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1604.96</w:t>
            </w:r>
          </w:p>
        </w:tc>
      </w:tr>
      <w:tr w:rsidR="00930F83" w:rsidRPr="00930F83" w14:paraId="7B4374C9" w14:textId="77777777" w:rsidTr="00930F83">
        <w:trPr>
          <w:trHeight w:val="288"/>
        </w:trPr>
        <w:tc>
          <w:tcPr>
            <w:tcW w:w="960" w:type="dxa"/>
            <w:tcBorders>
              <w:top w:val="nil"/>
              <w:left w:val="nil"/>
              <w:bottom w:val="nil"/>
              <w:right w:val="nil"/>
            </w:tcBorders>
            <w:shd w:val="clear" w:color="000000" w:fill="FFFFFF"/>
            <w:noWrap/>
            <w:vAlign w:val="bottom"/>
            <w:hideMark/>
          </w:tcPr>
          <w:p w14:paraId="23D7DE30"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B4S03</w:t>
            </w:r>
          </w:p>
        </w:tc>
        <w:tc>
          <w:tcPr>
            <w:tcW w:w="1783" w:type="dxa"/>
            <w:tcBorders>
              <w:top w:val="nil"/>
              <w:left w:val="nil"/>
              <w:bottom w:val="nil"/>
              <w:right w:val="nil"/>
            </w:tcBorders>
            <w:shd w:val="clear" w:color="000000" w:fill="FFFFFF"/>
            <w:noWrap/>
            <w:vAlign w:val="bottom"/>
            <w:hideMark/>
          </w:tcPr>
          <w:p w14:paraId="2B739854"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AUV011_AUV012</w:t>
            </w:r>
          </w:p>
        </w:tc>
        <w:tc>
          <w:tcPr>
            <w:tcW w:w="1360" w:type="dxa"/>
            <w:tcBorders>
              <w:top w:val="nil"/>
              <w:left w:val="nil"/>
              <w:bottom w:val="nil"/>
              <w:right w:val="nil"/>
            </w:tcBorders>
            <w:shd w:val="clear" w:color="000000" w:fill="FFFFFF"/>
            <w:noWrap/>
            <w:vAlign w:val="bottom"/>
            <w:hideMark/>
          </w:tcPr>
          <w:p w14:paraId="0CA78D89"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&gt;8m</w:t>
            </w:r>
          </w:p>
        </w:tc>
        <w:tc>
          <w:tcPr>
            <w:tcW w:w="1088" w:type="dxa"/>
            <w:tcBorders>
              <w:top w:val="nil"/>
              <w:left w:val="nil"/>
              <w:bottom w:val="nil"/>
              <w:right w:val="nil"/>
            </w:tcBorders>
            <w:shd w:val="clear" w:color="000000" w:fill="FFFFFF"/>
            <w:noWrap/>
            <w:vAlign w:val="bottom"/>
            <w:hideMark/>
          </w:tcPr>
          <w:p w14:paraId="12ED6B08"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3</w:t>
            </w:r>
          </w:p>
        </w:tc>
        <w:tc>
          <w:tcPr>
            <w:tcW w:w="2760" w:type="dxa"/>
            <w:tcBorders>
              <w:top w:val="nil"/>
              <w:left w:val="nil"/>
              <w:bottom w:val="nil"/>
              <w:right w:val="nil"/>
            </w:tcBorders>
            <w:shd w:val="clear" w:color="000000" w:fill="FFFFFF"/>
            <w:noWrap/>
            <w:vAlign w:val="bottom"/>
            <w:hideMark/>
          </w:tcPr>
          <w:p w14:paraId="392FD677"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1652.50</w:t>
            </w:r>
          </w:p>
        </w:tc>
      </w:tr>
      <w:tr w:rsidR="00930F83" w:rsidRPr="00930F83" w14:paraId="0C5E5628" w14:textId="77777777" w:rsidTr="00930F83">
        <w:trPr>
          <w:trHeight w:val="288"/>
        </w:trPr>
        <w:tc>
          <w:tcPr>
            <w:tcW w:w="960" w:type="dxa"/>
            <w:tcBorders>
              <w:top w:val="nil"/>
              <w:left w:val="nil"/>
              <w:bottom w:val="nil"/>
              <w:right w:val="nil"/>
            </w:tcBorders>
            <w:shd w:val="clear" w:color="000000" w:fill="FFFFFF"/>
            <w:noWrap/>
            <w:vAlign w:val="bottom"/>
            <w:hideMark/>
          </w:tcPr>
          <w:p w14:paraId="65E42FE3"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B4S03</w:t>
            </w:r>
          </w:p>
        </w:tc>
        <w:tc>
          <w:tcPr>
            <w:tcW w:w="1783" w:type="dxa"/>
            <w:tcBorders>
              <w:top w:val="nil"/>
              <w:left w:val="nil"/>
              <w:bottom w:val="nil"/>
              <w:right w:val="nil"/>
            </w:tcBorders>
            <w:shd w:val="clear" w:color="000000" w:fill="FFFFFF"/>
            <w:noWrap/>
            <w:vAlign w:val="bottom"/>
            <w:hideMark/>
          </w:tcPr>
          <w:p w14:paraId="7E0E14D1"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AUV011_AUV012</w:t>
            </w:r>
          </w:p>
        </w:tc>
        <w:tc>
          <w:tcPr>
            <w:tcW w:w="1360" w:type="dxa"/>
            <w:tcBorders>
              <w:top w:val="nil"/>
              <w:left w:val="nil"/>
              <w:bottom w:val="nil"/>
              <w:right w:val="nil"/>
            </w:tcBorders>
            <w:shd w:val="clear" w:color="000000" w:fill="FFFFFF"/>
            <w:noWrap/>
            <w:vAlign w:val="bottom"/>
            <w:hideMark/>
          </w:tcPr>
          <w:p w14:paraId="7D4191B4"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&gt;8m</w:t>
            </w:r>
          </w:p>
        </w:tc>
        <w:tc>
          <w:tcPr>
            <w:tcW w:w="1088" w:type="dxa"/>
            <w:tcBorders>
              <w:top w:val="nil"/>
              <w:left w:val="nil"/>
              <w:bottom w:val="nil"/>
              <w:right w:val="nil"/>
            </w:tcBorders>
            <w:shd w:val="clear" w:color="000000" w:fill="FFFFFF"/>
            <w:noWrap/>
            <w:vAlign w:val="bottom"/>
            <w:hideMark/>
          </w:tcPr>
          <w:p w14:paraId="577FA94A"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4</w:t>
            </w:r>
          </w:p>
        </w:tc>
        <w:tc>
          <w:tcPr>
            <w:tcW w:w="2760" w:type="dxa"/>
            <w:tcBorders>
              <w:top w:val="nil"/>
              <w:left w:val="nil"/>
              <w:bottom w:val="nil"/>
              <w:right w:val="nil"/>
            </w:tcBorders>
            <w:shd w:val="clear" w:color="000000" w:fill="FFFFFF"/>
            <w:noWrap/>
            <w:vAlign w:val="bottom"/>
            <w:hideMark/>
          </w:tcPr>
          <w:p w14:paraId="578E624F"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1718.11</w:t>
            </w:r>
          </w:p>
        </w:tc>
      </w:tr>
      <w:tr w:rsidR="00930F83" w:rsidRPr="00930F83" w14:paraId="34DAC7AA" w14:textId="77777777" w:rsidTr="00930F83">
        <w:trPr>
          <w:trHeight w:val="288"/>
        </w:trPr>
        <w:tc>
          <w:tcPr>
            <w:tcW w:w="960" w:type="dxa"/>
            <w:tcBorders>
              <w:top w:val="nil"/>
              <w:left w:val="nil"/>
              <w:bottom w:val="single" w:sz="4" w:space="0" w:color="auto"/>
              <w:right w:val="nil"/>
            </w:tcBorders>
            <w:shd w:val="clear" w:color="000000" w:fill="FFFFFF"/>
            <w:noWrap/>
            <w:vAlign w:val="bottom"/>
            <w:hideMark/>
          </w:tcPr>
          <w:p w14:paraId="1A1BEDC3"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B4S03</w:t>
            </w:r>
          </w:p>
        </w:tc>
        <w:tc>
          <w:tcPr>
            <w:tcW w:w="1783" w:type="dxa"/>
            <w:tcBorders>
              <w:top w:val="nil"/>
              <w:left w:val="nil"/>
              <w:bottom w:val="single" w:sz="4" w:space="0" w:color="auto"/>
              <w:right w:val="nil"/>
            </w:tcBorders>
            <w:shd w:val="clear" w:color="000000" w:fill="FFFFFF"/>
            <w:noWrap/>
            <w:vAlign w:val="bottom"/>
            <w:hideMark/>
          </w:tcPr>
          <w:p w14:paraId="3C7D1247"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AUV011_AUV012</w:t>
            </w:r>
          </w:p>
        </w:tc>
        <w:tc>
          <w:tcPr>
            <w:tcW w:w="1360" w:type="dxa"/>
            <w:tcBorders>
              <w:top w:val="nil"/>
              <w:left w:val="nil"/>
              <w:bottom w:val="single" w:sz="4" w:space="0" w:color="auto"/>
              <w:right w:val="nil"/>
            </w:tcBorders>
            <w:shd w:val="clear" w:color="000000" w:fill="FFFFFF"/>
            <w:noWrap/>
            <w:vAlign w:val="bottom"/>
            <w:hideMark/>
          </w:tcPr>
          <w:p w14:paraId="25330FBA"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&gt;8m</w:t>
            </w:r>
          </w:p>
        </w:tc>
        <w:tc>
          <w:tcPr>
            <w:tcW w:w="1088" w:type="dxa"/>
            <w:tcBorders>
              <w:top w:val="nil"/>
              <w:left w:val="nil"/>
              <w:bottom w:val="single" w:sz="4" w:space="0" w:color="auto"/>
              <w:right w:val="nil"/>
            </w:tcBorders>
            <w:shd w:val="clear" w:color="000000" w:fill="FFFFFF"/>
            <w:noWrap/>
            <w:vAlign w:val="bottom"/>
            <w:hideMark/>
          </w:tcPr>
          <w:p w14:paraId="32EF158F"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5</w:t>
            </w:r>
          </w:p>
        </w:tc>
        <w:tc>
          <w:tcPr>
            <w:tcW w:w="2760" w:type="dxa"/>
            <w:tcBorders>
              <w:top w:val="nil"/>
              <w:left w:val="nil"/>
              <w:bottom w:val="single" w:sz="4" w:space="0" w:color="auto"/>
              <w:right w:val="nil"/>
            </w:tcBorders>
            <w:shd w:val="clear" w:color="000000" w:fill="FFFFFF"/>
            <w:noWrap/>
            <w:vAlign w:val="bottom"/>
            <w:hideMark/>
          </w:tcPr>
          <w:p w14:paraId="191AD143" w14:textId="77777777" w:rsidR="00930F83" w:rsidRPr="00930F83" w:rsidRDefault="00930F83" w:rsidP="00930F83">
            <w:pPr>
              <w:spacing w:after="0" w:line="240" w:lineRule="auto"/>
              <w:jc w:val="center"/>
              <w:rPr>
                <w:rFonts w:eastAsia="Times New Roman" w:cs="Times New Roman"/>
                <w:color w:val="000000"/>
                <w:kern w:val="0"/>
                <w:sz w:val="20"/>
                <w:szCs w:val="20"/>
                <w14:ligatures w14:val="none"/>
              </w:rPr>
            </w:pPr>
            <w:r w:rsidRPr="00930F83">
              <w:rPr>
                <w:rFonts w:eastAsia="Times New Roman" w:cs="Times New Roman"/>
                <w:color w:val="000000"/>
                <w:kern w:val="0"/>
                <w:sz w:val="20"/>
                <w:szCs w:val="20"/>
                <w14:ligatures w14:val="none"/>
              </w:rPr>
              <w:t>1688.23</w:t>
            </w:r>
          </w:p>
        </w:tc>
      </w:tr>
    </w:tbl>
    <w:p w14:paraId="13C5446E" w14:textId="4FAAB404" w:rsidR="00930F83" w:rsidRDefault="00930F83">
      <w:pPr>
        <w:spacing w:after="160" w:line="259" w:lineRule="auto"/>
        <w:jc w:val="left"/>
        <w:rPr>
          <w:rFonts w:cs="Times New Roman"/>
          <w:lang w:val="en-GB"/>
        </w:rPr>
      </w:pPr>
      <w:r w:rsidRPr="00FD3202">
        <w:rPr>
          <w:rFonts w:cs="Times New Roman"/>
          <w:lang w:val="en-GB"/>
        </w:rPr>
        <w:t xml:space="preserve"> </w:t>
      </w:r>
      <w:r>
        <w:rPr>
          <w:rFonts w:cs="Times New Roman"/>
          <w:lang w:val="en-GB"/>
        </w:rPr>
        <w:br w:type="page"/>
      </w:r>
    </w:p>
    <w:p w14:paraId="120F6F03" w14:textId="77777777" w:rsidR="00930F83" w:rsidRDefault="00930F83">
      <w:pPr>
        <w:spacing w:after="160" w:line="259" w:lineRule="auto"/>
        <w:jc w:val="left"/>
        <w:rPr>
          <w:rFonts w:cs="Times New Roman"/>
          <w:lang w:val="en-GB"/>
        </w:rPr>
      </w:pPr>
    </w:p>
    <w:p w14:paraId="09D6B471" w14:textId="5FD9C5C5" w:rsidR="00B9789E" w:rsidRPr="00FD3202" w:rsidRDefault="00853F0F" w:rsidP="00170AD7">
      <w:pPr>
        <w:pStyle w:val="NoSpacing"/>
        <w:jc w:val="both"/>
        <w:rPr>
          <w:rFonts w:ascii="Times New Roman" w:hAnsi="Times New Roman" w:cs="Times New Roman"/>
          <w:lang w:val="en-GB"/>
        </w:rPr>
      </w:pPr>
      <w:r w:rsidRPr="00FD3202">
        <w:rPr>
          <w:rFonts w:ascii="Times New Roman" w:hAnsi="Times New Roman" w:cs="Times New Roman"/>
          <w:lang w:val="en-GB"/>
        </w:rPr>
        <w:t xml:space="preserve">Supplementary material </w:t>
      </w:r>
      <w:r w:rsidR="00813769">
        <w:rPr>
          <w:rFonts w:ascii="Times New Roman" w:hAnsi="Times New Roman" w:cs="Times New Roman"/>
          <w:lang w:val="en-GB"/>
        </w:rPr>
        <w:t>3</w:t>
      </w:r>
      <w:r w:rsidRPr="00FD3202">
        <w:rPr>
          <w:rFonts w:ascii="Times New Roman" w:hAnsi="Times New Roman" w:cs="Times New Roman"/>
          <w:lang w:val="en-GB"/>
        </w:rPr>
        <w:t xml:space="preserve">. Megafauna taxon </w:t>
      </w:r>
      <w:r w:rsidR="006F27F1">
        <w:rPr>
          <w:rFonts w:ascii="Times New Roman" w:hAnsi="Times New Roman" w:cs="Times New Roman"/>
          <w:lang w:val="en-GB"/>
        </w:rPr>
        <w:t>density</w:t>
      </w:r>
      <w:r w:rsidRPr="00FD3202">
        <w:rPr>
          <w:rFonts w:ascii="Times New Roman" w:hAnsi="Times New Roman" w:cs="Times New Roman"/>
          <w:lang w:val="en-GB"/>
        </w:rPr>
        <w:t xml:space="preserve"> (ind.ha</w:t>
      </w:r>
      <w:r w:rsidRPr="00FD3202">
        <w:rPr>
          <w:rFonts w:ascii="Times New Roman" w:hAnsi="Times New Roman" w:cs="Times New Roman"/>
          <w:vertAlign w:val="superscript"/>
          <w:lang w:val="en-GB"/>
        </w:rPr>
        <w:t>-1</w:t>
      </w:r>
      <w:r w:rsidRPr="00FD3202">
        <w:rPr>
          <w:rFonts w:ascii="Times New Roman" w:hAnsi="Times New Roman" w:cs="Times New Roman"/>
          <w:lang w:val="en-GB"/>
        </w:rPr>
        <w:t xml:space="preserve">) per replicate set of 50 AUV images for the four combinations of sampling site (B6S02 and B4S03) and altitude (below 8m and above 8m) in the GSR </w:t>
      </w:r>
      <w:r w:rsidR="00B73220" w:rsidRPr="00B73220">
        <w:rPr>
          <w:rFonts w:ascii="Times New Roman" w:hAnsi="Times New Roman" w:cs="Times New Roman"/>
          <w:lang w:val="en-GB"/>
        </w:rPr>
        <w:t>contract</w:t>
      </w:r>
      <w:r w:rsidRPr="00FD3202">
        <w:rPr>
          <w:rFonts w:ascii="Times New Roman" w:hAnsi="Times New Roman" w:cs="Times New Roman"/>
          <w:lang w:val="en-GB"/>
        </w:rPr>
        <w:t xml:space="preserve"> area within the Clarion-Clipperton Fractu</w:t>
      </w:r>
      <w:r w:rsidR="004A1707" w:rsidRPr="00FD3202">
        <w:rPr>
          <w:rFonts w:ascii="Times New Roman" w:hAnsi="Times New Roman" w:cs="Times New Roman"/>
          <w:lang w:val="en-GB"/>
        </w:rPr>
        <w:t>re Zone (CC</w:t>
      </w:r>
      <w:r w:rsidR="00E1298C" w:rsidRPr="00FD3202">
        <w:rPr>
          <w:rFonts w:ascii="Times New Roman" w:hAnsi="Times New Roman" w:cs="Times New Roman"/>
          <w:lang w:val="en-GB"/>
        </w:rPr>
        <w:t>Z).</w:t>
      </w:r>
      <w:r w:rsidR="001C58A8">
        <w:rPr>
          <w:rFonts w:ascii="Times New Roman" w:hAnsi="Times New Roman" w:cs="Times New Roman"/>
          <w:lang w:val="en-GB"/>
        </w:rPr>
        <w:t xml:space="preserve"> mtp = morphotype.</w:t>
      </w:r>
    </w:p>
    <w:p w14:paraId="0CD5173D" w14:textId="77777777" w:rsidR="00E1298C" w:rsidRPr="00FD3202" w:rsidRDefault="00E1298C" w:rsidP="00D50092">
      <w:pPr>
        <w:pStyle w:val="NoSpacing"/>
        <w:rPr>
          <w:lang w:val="en-GB"/>
        </w:rPr>
      </w:pPr>
    </w:p>
    <w:tbl>
      <w:tblPr>
        <w:tblW w:w="14147" w:type="dxa"/>
        <w:jc w:val="center"/>
        <w:tblCellMar>
          <w:left w:w="70" w:type="dxa"/>
          <w:right w:w="70" w:type="dxa"/>
        </w:tblCellMar>
        <w:tblLook w:val="04A0" w:firstRow="1" w:lastRow="0" w:firstColumn="1" w:lastColumn="0" w:noHBand="0" w:noVBand="1"/>
      </w:tblPr>
      <w:tblGrid>
        <w:gridCol w:w="190"/>
        <w:gridCol w:w="2379"/>
        <w:gridCol w:w="640"/>
        <w:gridCol w:w="640"/>
        <w:gridCol w:w="640"/>
        <w:gridCol w:w="640"/>
        <w:gridCol w:w="640"/>
        <w:gridCol w:w="376"/>
        <w:gridCol w:w="640"/>
        <w:gridCol w:w="540"/>
        <w:gridCol w:w="540"/>
        <w:gridCol w:w="540"/>
        <w:gridCol w:w="540"/>
        <w:gridCol w:w="376"/>
        <w:gridCol w:w="540"/>
        <w:gridCol w:w="540"/>
        <w:gridCol w:w="540"/>
        <w:gridCol w:w="540"/>
        <w:gridCol w:w="540"/>
        <w:gridCol w:w="376"/>
        <w:gridCol w:w="540"/>
        <w:gridCol w:w="540"/>
        <w:gridCol w:w="540"/>
        <w:gridCol w:w="540"/>
        <w:gridCol w:w="540"/>
      </w:tblGrid>
      <w:tr w:rsidR="00E1298C" w:rsidRPr="00FD3202" w14:paraId="77346C1E" w14:textId="77777777" w:rsidTr="00E1298C">
        <w:trPr>
          <w:trHeight w:val="300"/>
          <w:tblHeader/>
          <w:jc w:val="center"/>
        </w:trPr>
        <w:tc>
          <w:tcPr>
            <w:tcW w:w="2565" w:type="dxa"/>
            <w:gridSpan w:val="2"/>
            <w:vMerge w:val="restart"/>
            <w:tcBorders>
              <w:top w:val="single" w:sz="4" w:space="0" w:color="auto"/>
              <w:left w:val="nil"/>
              <w:bottom w:val="single" w:sz="4" w:space="0" w:color="000000"/>
              <w:right w:val="nil"/>
            </w:tcBorders>
            <w:shd w:val="clear" w:color="000000" w:fill="FFFFFF"/>
            <w:noWrap/>
            <w:vAlign w:val="bottom"/>
            <w:hideMark/>
          </w:tcPr>
          <w:p w14:paraId="65E93DE0"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Megafauna taxon</w:t>
            </w:r>
          </w:p>
        </w:tc>
        <w:tc>
          <w:tcPr>
            <w:tcW w:w="5910" w:type="dxa"/>
            <w:gridSpan w:val="11"/>
            <w:tcBorders>
              <w:top w:val="single" w:sz="4" w:space="0" w:color="auto"/>
              <w:left w:val="nil"/>
              <w:bottom w:val="single" w:sz="4" w:space="0" w:color="auto"/>
              <w:right w:val="nil"/>
            </w:tcBorders>
            <w:shd w:val="clear" w:color="000000" w:fill="FFFFFF"/>
            <w:noWrap/>
            <w:vAlign w:val="bottom"/>
            <w:hideMark/>
          </w:tcPr>
          <w:p w14:paraId="3FF7957D" w14:textId="77777777" w:rsidR="00E1298C" w:rsidRPr="00FD3202" w:rsidRDefault="00E1298C" w:rsidP="00E1298C">
            <w:pPr>
              <w:spacing w:after="0" w:line="240" w:lineRule="auto"/>
              <w:jc w:val="center"/>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B6S02</w:t>
            </w:r>
          </w:p>
        </w:tc>
        <w:tc>
          <w:tcPr>
            <w:tcW w:w="351" w:type="dxa"/>
            <w:tcBorders>
              <w:top w:val="single" w:sz="4" w:space="0" w:color="auto"/>
              <w:left w:val="nil"/>
              <w:bottom w:val="nil"/>
              <w:right w:val="nil"/>
            </w:tcBorders>
            <w:shd w:val="clear" w:color="000000" w:fill="FFFFFF"/>
            <w:noWrap/>
            <w:vAlign w:val="bottom"/>
            <w:hideMark/>
          </w:tcPr>
          <w:p w14:paraId="182EB175" w14:textId="77777777" w:rsidR="00E1298C" w:rsidRPr="00FD3202" w:rsidRDefault="00E1298C" w:rsidP="00E1298C">
            <w:pPr>
              <w:spacing w:after="0" w:line="240" w:lineRule="auto"/>
              <w:jc w:val="center"/>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5321" w:type="dxa"/>
            <w:gridSpan w:val="11"/>
            <w:tcBorders>
              <w:top w:val="single" w:sz="4" w:space="0" w:color="auto"/>
              <w:left w:val="nil"/>
              <w:bottom w:val="single" w:sz="4" w:space="0" w:color="auto"/>
              <w:right w:val="nil"/>
            </w:tcBorders>
            <w:shd w:val="clear" w:color="000000" w:fill="FFFFFF"/>
            <w:noWrap/>
            <w:vAlign w:val="bottom"/>
            <w:hideMark/>
          </w:tcPr>
          <w:p w14:paraId="525A8F33" w14:textId="77777777" w:rsidR="00E1298C" w:rsidRPr="00FD3202" w:rsidRDefault="00E1298C" w:rsidP="00E1298C">
            <w:pPr>
              <w:spacing w:after="0" w:line="240" w:lineRule="auto"/>
              <w:jc w:val="center"/>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B4S03</w:t>
            </w:r>
          </w:p>
        </w:tc>
      </w:tr>
      <w:tr w:rsidR="00E1298C" w:rsidRPr="00FD3202" w14:paraId="0B79964D" w14:textId="77777777" w:rsidTr="00E1298C">
        <w:trPr>
          <w:trHeight w:val="300"/>
          <w:tblHeader/>
          <w:jc w:val="center"/>
        </w:trPr>
        <w:tc>
          <w:tcPr>
            <w:tcW w:w="2565" w:type="dxa"/>
            <w:gridSpan w:val="2"/>
            <w:vMerge/>
            <w:tcBorders>
              <w:top w:val="single" w:sz="4" w:space="0" w:color="auto"/>
              <w:left w:val="nil"/>
              <w:bottom w:val="single" w:sz="4" w:space="0" w:color="000000"/>
              <w:right w:val="nil"/>
            </w:tcBorders>
            <w:vAlign w:val="center"/>
            <w:hideMark/>
          </w:tcPr>
          <w:p w14:paraId="3124BDE0"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p>
        </w:tc>
        <w:tc>
          <w:tcPr>
            <w:tcW w:w="2931" w:type="dxa"/>
            <w:gridSpan w:val="5"/>
            <w:tcBorders>
              <w:top w:val="nil"/>
              <w:left w:val="nil"/>
              <w:bottom w:val="single" w:sz="4" w:space="0" w:color="auto"/>
              <w:right w:val="nil"/>
            </w:tcBorders>
            <w:shd w:val="clear" w:color="000000" w:fill="FFFFFF"/>
            <w:noWrap/>
            <w:vAlign w:val="bottom"/>
            <w:hideMark/>
          </w:tcPr>
          <w:p w14:paraId="69950154" w14:textId="77777777" w:rsidR="00E1298C" w:rsidRPr="00FD3202" w:rsidRDefault="00E1298C" w:rsidP="00E1298C">
            <w:pPr>
              <w:spacing w:after="0" w:line="240" w:lineRule="auto"/>
              <w:jc w:val="center"/>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&lt; 8 m</w:t>
            </w:r>
          </w:p>
        </w:tc>
        <w:tc>
          <w:tcPr>
            <w:tcW w:w="351" w:type="dxa"/>
            <w:tcBorders>
              <w:top w:val="nil"/>
              <w:left w:val="nil"/>
              <w:bottom w:val="nil"/>
              <w:right w:val="nil"/>
            </w:tcBorders>
            <w:shd w:val="clear" w:color="000000" w:fill="FFFFFF"/>
            <w:noWrap/>
            <w:vAlign w:val="bottom"/>
            <w:hideMark/>
          </w:tcPr>
          <w:p w14:paraId="1460F43F" w14:textId="77777777" w:rsidR="00E1298C" w:rsidRPr="00FD3202" w:rsidRDefault="00E1298C" w:rsidP="00E1298C">
            <w:pPr>
              <w:spacing w:after="0" w:line="240" w:lineRule="auto"/>
              <w:jc w:val="center"/>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628" w:type="dxa"/>
            <w:gridSpan w:val="5"/>
            <w:tcBorders>
              <w:top w:val="nil"/>
              <w:left w:val="nil"/>
              <w:bottom w:val="single" w:sz="4" w:space="0" w:color="auto"/>
              <w:right w:val="nil"/>
            </w:tcBorders>
            <w:shd w:val="clear" w:color="000000" w:fill="FFFFFF"/>
            <w:noWrap/>
            <w:vAlign w:val="bottom"/>
            <w:hideMark/>
          </w:tcPr>
          <w:p w14:paraId="6686CA9C" w14:textId="77777777" w:rsidR="00E1298C" w:rsidRPr="00FD3202" w:rsidRDefault="00E1298C" w:rsidP="00E1298C">
            <w:pPr>
              <w:spacing w:after="0" w:line="240" w:lineRule="auto"/>
              <w:jc w:val="center"/>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&gt; 8 m</w:t>
            </w:r>
          </w:p>
        </w:tc>
        <w:tc>
          <w:tcPr>
            <w:tcW w:w="351" w:type="dxa"/>
            <w:tcBorders>
              <w:top w:val="nil"/>
              <w:left w:val="nil"/>
              <w:bottom w:val="nil"/>
              <w:right w:val="nil"/>
            </w:tcBorders>
            <w:shd w:val="clear" w:color="000000" w:fill="FFFFFF"/>
            <w:noWrap/>
            <w:vAlign w:val="bottom"/>
            <w:hideMark/>
          </w:tcPr>
          <w:p w14:paraId="5C17A593" w14:textId="77777777" w:rsidR="00E1298C" w:rsidRPr="00FD3202" w:rsidRDefault="00E1298C" w:rsidP="00E1298C">
            <w:pPr>
              <w:spacing w:after="0" w:line="240" w:lineRule="auto"/>
              <w:jc w:val="center"/>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485" w:type="dxa"/>
            <w:gridSpan w:val="5"/>
            <w:tcBorders>
              <w:top w:val="nil"/>
              <w:left w:val="nil"/>
              <w:bottom w:val="single" w:sz="4" w:space="0" w:color="auto"/>
              <w:right w:val="nil"/>
            </w:tcBorders>
            <w:shd w:val="clear" w:color="000000" w:fill="FFFFFF"/>
            <w:noWrap/>
            <w:vAlign w:val="bottom"/>
            <w:hideMark/>
          </w:tcPr>
          <w:p w14:paraId="1237EF9E" w14:textId="77777777" w:rsidR="00E1298C" w:rsidRPr="00FD3202" w:rsidRDefault="00E1298C" w:rsidP="00E1298C">
            <w:pPr>
              <w:spacing w:after="0" w:line="240" w:lineRule="auto"/>
              <w:jc w:val="center"/>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&lt; 8 m</w:t>
            </w:r>
          </w:p>
        </w:tc>
        <w:tc>
          <w:tcPr>
            <w:tcW w:w="351" w:type="dxa"/>
            <w:tcBorders>
              <w:top w:val="nil"/>
              <w:left w:val="nil"/>
              <w:bottom w:val="nil"/>
              <w:right w:val="nil"/>
            </w:tcBorders>
            <w:shd w:val="clear" w:color="000000" w:fill="FFFFFF"/>
            <w:noWrap/>
            <w:vAlign w:val="bottom"/>
            <w:hideMark/>
          </w:tcPr>
          <w:p w14:paraId="06F03381" w14:textId="77777777" w:rsidR="00E1298C" w:rsidRPr="00FD3202" w:rsidRDefault="00E1298C" w:rsidP="00E1298C">
            <w:pPr>
              <w:spacing w:after="0" w:line="240" w:lineRule="auto"/>
              <w:jc w:val="center"/>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485" w:type="dxa"/>
            <w:gridSpan w:val="5"/>
            <w:tcBorders>
              <w:top w:val="nil"/>
              <w:left w:val="nil"/>
              <w:bottom w:val="single" w:sz="4" w:space="0" w:color="auto"/>
              <w:right w:val="nil"/>
            </w:tcBorders>
            <w:shd w:val="clear" w:color="000000" w:fill="FFFFFF"/>
            <w:noWrap/>
            <w:vAlign w:val="bottom"/>
            <w:hideMark/>
          </w:tcPr>
          <w:p w14:paraId="47F48AB1" w14:textId="77777777" w:rsidR="00E1298C" w:rsidRPr="00FD3202" w:rsidRDefault="00E1298C" w:rsidP="00E1298C">
            <w:pPr>
              <w:spacing w:after="0" w:line="240" w:lineRule="auto"/>
              <w:jc w:val="center"/>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&gt; 8 m</w:t>
            </w:r>
          </w:p>
        </w:tc>
      </w:tr>
      <w:tr w:rsidR="00E1298C" w:rsidRPr="00FD3202" w14:paraId="6514DB30" w14:textId="77777777" w:rsidTr="00E1298C">
        <w:trPr>
          <w:trHeight w:val="558"/>
          <w:tblHeader/>
          <w:jc w:val="center"/>
        </w:trPr>
        <w:tc>
          <w:tcPr>
            <w:tcW w:w="2565" w:type="dxa"/>
            <w:gridSpan w:val="2"/>
            <w:vMerge/>
            <w:tcBorders>
              <w:top w:val="single" w:sz="4" w:space="0" w:color="auto"/>
              <w:left w:val="nil"/>
              <w:bottom w:val="single" w:sz="4" w:space="0" w:color="000000"/>
              <w:right w:val="nil"/>
            </w:tcBorders>
            <w:vAlign w:val="center"/>
            <w:hideMark/>
          </w:tcPr>
          <w:p w14:paraId="5287ADF6"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p>
        </w:tc>
        <w:tc>
          <w:tcPr>
            <w:tcW w:w="587" w:type="dxa"/>
            <w:tcBorders>
              <w:top w:val="nil"/>
              <w:left w:val="nil"/>
              <w:bottom w:val="single" w:sz="4" w:space="0" w:color="auto"/>
              <w:right w:val="nil"/>
            </w:tcBorders>
            <w:shd w:val="clear" w:color="000000" w:fill="FFFFFF"/>
            <w:noWrap/>
            <w:textDirection w:val="btLr"/>
            <w:vAlign w:val="bottom"/>
            <w:hideMark/>
          </w:tcPr>
          <w:p w14:paraId="3A2993BB"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Rep1</w:t>
            </w:r>
          </w:p>
        </w:tc>
        <w:tc>
          <w:tcPr>
            <w:tcW w:w="586" w:type="dxa"/>
            <w:tcBorders>
              <w:top w:val="nil"/>
              <w:left w:val="nil"/>
              <w:bottom w:val="single" w:sz="4" w:space="0" w:color="auto"/>
              <w:right w:val="nil"/>
            </w:tcBorders>
            <w:shd w:val="clear" w:color="000000" w:fill="FFFFFF"/>
            <w:noWrap/>
            <w:textDirection w:val="btLr"/>
            <w:vAlign w:val="bottom"/>
            <w:hideMark/>
          </w:tcPr>
          <w:p w14:paraId="68152CD8"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Rep2</w:t>
            </w:r>
          </w:p>
        </w:tc>
        <w:tc>
          <w:tcPr>
            <w:tcW w:w="586" w:type="dxa"/>
            <w:tcBorders>
              <w:top w:val="nil"/>
              <w:left w:val="nil"/>
              <w:bottom w:val="single" w:sz="4" w:space="0" w:color="auto"/>
              <w:right w:val="nil"/>
            </w:tcBorders>
            <w:shd w:val="clear" w:color="000000" w:fill="FFFFFF"/>
            <w:noWrap/>
            <w:textDirection w:val="btLr"/>
            <w:vAlign w:val="bottom"/>
            <w:hideMark/>
          </w:tcPr>
          <w:p w14:paraId="0F66585A"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Rep3</w:t>
            </w:r>
          </w:p>
        </w:tc>
        <w:tc>
          <w:tcPr>
            <w:tcW w:w="586" w:type="dxa"/>
            <w:tcBorders>
              <w:top w:val="nil"/>
              <w:left w:val="nil"/>
              <w:bottom w:val="single" w:sz="4" w:space="0" w:color="auto"/>
              <w:right w:val="nil"/>
            </w:tcBorders>
            <w:shd w:val="clear" w:color="000000" w:fill="FFFFFF"/>
            <w:noWrap/>
            <w:textDirection w:val="btLr"/>
            <w:vAlign w:val="bottom"/>
            <w:hideMark/>
          </w:tcPr>
          <w:p w14:paraId="64582E2A"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Rep4</w:t>
            </w:r>
          </w:p>
        </w:tc>
        <w:tc>
          <w:tcPr>
            <w:tcW w:w="586" w:type="dxa"/>
            <w:tcBorders>
              <w:top w:val="nil"/>
              <w:left w:val="nil"/>
              <w:bottom w:val="single" w:sz="4" w:space="0" w:color="auto"/>
              <w:right w:val="nil"/>
            </w:tcBorders>
            <w:shd w:val="clear" w:color="000000" w:fill="FFFFFF"/>
            <w:noWrap/>
            <w:textDirection w:val="btLr"/>
            <w:vAlign w:val="bottom"/>
            <w:hideMark/>
          </w:tcPr>
          <w:p w14:paraId="25EFE750"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Rep5</w:t>
            </w:r>
          </w:p>
        </w:tc>
        <w:tc>
          <w:tcPr>
            <w:tcW w:w="351" w:type="dxa"/>
            <w:tcBorders>
              <w:top w:val="nil"/>
              <w:left w:val="nil"/>
              <w:bottom w:val="single" w:sz="4" w:space="0" w:color="auto"/>
              <w:right w:val="nil"/>
            </w:tcBorders>
            <w:shd w:val="clear" w:color="000000" w:fill="FFFFFF"/>
            <w:noWrap/>
            <w:textDirection w:val="btLr"/>
            <w:vAlign w:val="bottom"/>
            <w:hideMark/>
          </w:tcPr>
          <w:p w14:paraId="7F89AAAC"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single" w:sz="4" w:space="0" w:color="auto"/>
              <w:right w:val="nil"/>
            </w:tcBorders>
            <w:shd w:val="clear" w:color="000000" w:fill="FFFFFF"/>
            <w:noWrap/>
            <w:textDirection w:val="btLr"/>
            <w:vAlign w:val="bottom"/>
            <w:hideMark/>
          </w:tcPr>
          <w:p w14:paraId="5F6574AE"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Rep1</w:t>
            </w:r>
          </w:p>
        </w:tc>
        <w:tc>
          <w:tcPr>
            <w:tcW w:w="497" w:type="dxa"/>
            <w:tcBorders>
              <w:top w:val="nil"/>
              <w:left w:val="nil"/>
              <w:bottom w:val="single" w:sz="4" w:space="0" w:color="auto"/>
              <w:right w:val="nil"/>
            </w:tcBorders>
            <w:shd w:val="clear" w:color="000000" w:fill="FFFFFF"/>
            <w:noWrap/>
            <w:textDirection w:val="btLr"/>
            <w:vAlign w:val="bottom"/>
            <w:hideMark/>
          </w:tcPr>
          <w:p w14:paraId="523A1C23"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Rep2</w:t>
            </w:r>
          </w:p>
        </w:tc>
        <w:tc>
          <w:tcPr>
            <w:tcW w:w="497" w:type="dxa"/>
            <w:tcBorders>
              <w:top w:val="nil"/>
              <w:left w:val="nil"/>
              <w:bottom w:val="single" w:sz="4" w:space="0" w:color="auto"/>
              <w:right w:val="nil"/>
            </w:tcBorders>
            <w:shd w:val="clear" w:color="000000" w:fill="FFFFFF"/>
            <w:noWrap/>
            <w:textDirection w:val="btLr"/>
            <w:vAlign w:val="bottom"/>
            <w:hideMark/>
          </w:tcPr>
          <w:p w14:paraId="1A565E42"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Rep3</w:t>
            </w:r>
          </w:p>
        </w:tc>
        <w:tc>
          <w:tcPr>
            <w:tcW w:w="497" w:type="dxa"/>
            <w:tcBorders>
              <w:top w:val="nil"/>
              <w:left w:val="nil"/>
              <w:bottom w:val="single" w:sz="4" w:space="0" w:color="auto"/>
              <w:right w:val="nil"/>
            </w:tcBorders>
            <w:shd w:val="clear" w:color="000000" w:fill="FFFFFF"/>
            <w:noWrap/>
            <w:textDirection w:val="btLr"/>
            <w:vAlign w:val="bottom"/>
            <w:hideMark/>
          </w:tcPr>
          <w:p w14:paraId="7E6AC0E5"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Rep4</w:t>
            </w:r>
          </w:p>
        </w:tc>
        <w:tc>
          <w:tcPr>
            <w:tcW w:w="497" w:type="dxa"/>
            <w:tcBorders>
              <w:top w:val="nil"/>
              <w:left w:val="nil"/>
              <w:bottom w:val="single" w:sz="4" w:space="0" w:color="auto"/>
              <w:right w:val="nil"/>
            </w:tcBorders>
            <w:shd w:val="clear" w:color="000000" w:fill="FFFFFF"/>
            <w:noWrap/>
            <w:textDirection w:val="btLr"/>
            <w:vAlign w:val="bottom"/>
            <w:hideMark/>
          </w:tcPr>
          <w:p w14:paraId="607716DD"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Rep5</w:t>
            </w:r>
          </w:p>
        </w:tc>
        <w:tc>
          <w:tcPr>
            <w:tcW w:w="351" w:type="dxa"/>
            <w:tcBorders>
              <w:top w:val="nil"/>
              <w:left w:val="nil"/>
              <w:bottom w:val="single" w:sz="4" w:space="0" w:color="auto"/>
              <w:right w:val="nil"/>
            </w:tcBorders>
            <w:shd w:val="clear" w:color="000000" w:fill="FFFFFF"/>
            <w:noWrap/>
            <w:textDirection w:val="btLr"/>
            <w:vAlign w:val="bottom"/>
            <w:hideMark/>
          </w:tcPr>
          <w:p w14:paraId="53B4F7EC"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single" w:sz="4" w:space="0" w:color="auto"/>
              <w:right w:val="nil"/>
            </w:tcBorders>
            <w:shd w:val="clear" w:color="000000" w:fill="FFFFFF"/>
            <w:noWrap/>
            <w:textDirection w:val="btLr"/>
            <w:vAlign w:val="bottom"/>
            <w:hideMark/>
          </w:tcPr>
          <w:p w14:paraId="6097F831"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Rep1</w:t>
            </w:r>
          </w:p>
        </w:tc>
        <w:tc>
          <w:tcPr>
            <w:tcW w:w="497" w:type="dxa"/>
            <w:tcBorders>
              <w:top w:val="nil"/>
              <w:left w:val="nil"/>
              <w:bottom w:val="single" w:sz="4" w:space="0" w:color="auto"/>
              <w:right w:val="nil"/>
            </w:tcBorders>
            <w:shd w:val="clear" w:color="000000" w:fill="FFFFFF"/>
            <w:noWrap/>
            <w:textDirection w:val="btLr"/>
            <w:vAlign w:val="bottom"/>
            <w:hideMark/>
          </w:tcPr>
          <w:p w14:paraId="41195960"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Rep2</w:t>
            </w:r>
          </w:p>
        </w:tc>
        <w:tc>
          <w:tcPr>
            <w:tcW w:w="497" w:type="dxa"/>
            <w:tcBorders>
              <w:top w:val="nil"/>
              <w:left w:val="nil"/>
              <w:bottom w:val="single" w:sz="4" w:space="0" w:color="auto"/>
              <w:right w:val="nil"/>
            </w:tcBorders>
            <w:shd w:val="clear" w:color="000000" w:fill="FFFFFF"/>
            <w:noWrap/>
            <w:textDirection w:val="btLr"/>
            <w:vAlign w:val="bottom"/>
            <w:hideMark/>
          </w:tcPr>
          <w:p w14:paraId="04868F18"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Rep3</w:t>
            </w:r>
          </w:p>
        </w:tc>
        <w:tc>
          <w:tcPr>
            <w:tcW w:w="497" w:type="dxa"/>
            <w:tcBorders>
              <w:top w:val="nil"/>
              <w:left w:val="nil"/>
              <w:bottom w:val="single" w:sz="4" w:space="0" w:color="auto"/>
              <w:right w:val="nil"/>
            </w:tcBorders>
            <w:shd w:val="clear" w:color="000000" w:fill="FFFFFF"/>
            <w:noWrap/>
            <w:textDirection w:val="btLr"/>
            <w:vAlign w:val="bottom"/>
            <w:hideMark/>
          </w:tcPr>
          <w:p w14:paraId="392C4FAE"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Rep4</w:t>
            </w:r>
          </w:p>
        </w:tc>
        <w:tc>
          <w:tcPr>
            <w:tcW w:w="497" w:type="dxa"/>
            <w:tcBorders>
              <w:top w:val="nil"/>
              <w:left w:val="nil"/>
              <w:bottom w:val="single" w:sz="4" w:space="0" w:color="auto"/>
              <w:right w:val="nil"/>
            </w:tcBorders>
            <w:shd w:val="clear" w:color="000000" w:fill="FFFFFF"/>
            <w:noWrap/>
            <w:textDirection w:val="btLr"/>
            <w:vAlign w:val="bottom"/>
            <w:hideMark/>
          </w:tcPr>
          <w:p w14:paraId="73F99662"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Rep5</w:t>
            </w:r>
          </w:p>
        </w:tc>
        <w:tc>
          <w:tcPr>
            <w:tcW w:w="351" w:type="dxa"/>
            <w:tcBorders>
              <w:top w:val="nil"/>
              <w:left w:val="nil"/>
              <w:bottom w:val="single" w:sz="4" w:space="0" w:color="auto"/>
              <w:right w:val="nil"/>
            </w:tcBorders>
            <w:shd w:val="clear" w:color="000000" w:fill="FFFFFF"/>
            <w:noWrap/>
            <w:textDirection w:val="btLr"/>
            <w:vAlign w:val="bottom"/>
            <w:hideMark/>
          </w:tcPr>
          <w:p w14:paraId="490B1514"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single" w:sz="4" w:space="0" w:color="auto"/>
              <w:right w:val="nil"/>
            </w:tcBorders>
            <w:shd w:val="clear" w:color="000000" w:fill="FFFFFF"/>
            <w:noWrap/>
            <w:textDirection w:val="btLr"/>
            <w:vAlign w:val="bottom"/>
            <w:hideMark/>
          </w:tcPr>
          <w:p w14:paraId="49347443"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Rep1</w:t>
            </w:r>
          </w:p>
        </w:tc>
        <w:tc>
          <w:tcPr>
            <w:tcW w:w="497" w:type="dxa"/>
            <w:tcBorders>
              <w:top w:val="nil"/>
              <w:left w:val="nil"/>
              <w:bottom w:val="single" w:sz="4" w:space="0" w:color="auto"/>
              <w:right w:val="nil"/>
            </w:tcBorders>
            <w:shd w:val="clear" w:color="000000" w:fill="FFFFFF"/>
            <w:noWrap/>
            <w:textDirection w:val="btLr"/>
            <w:vAlign w:val="bottom"/>
            <w:hideMark/>
          </w:tcPr>
          <w:p w14:paraId="7C5CF991"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Rep2</w:t>
            </w:r>
          </w:p>
        </w:tc>
        <w:tc>
          <w:tcPr>
            <w:tcW w:w="497" w:type="dxa"/>
            <w:tcBorders>
              <w:top w:val="nil"/>
              <w:left w:val="nil"/>
              <w:bottom w:val="single" w:sz="4" w:space="0" w:color="auto"/>
              <w:right w:val="nil"/>
            </w:tcBorders>
            <w:shd w:val="clear" w:color="000000" w:fill="FFFFFF"/>
            <w:noWrap/>
            <w:textDirection w:val="btLr"/>
            <w:vAlign w:val="bottom"/>
            <w:hideMark/>
          </w:tcPr>
          <w:p w14:paraId="15DF179B"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Rep3</w:t>
            </w:r>
          </w:p>
        </w:tc>
        <w:tc>
          <w:tcPr>
            <w:tcW w:w="497" w:type="dxa"/>
            <w:tcBorders>
              <w:top w:val="nil"/>
              <w:left w:val="nil"/>
              <w:bottom w:val="single" w:sz="4" w:space="0" w:color="auto"/>
              <w:right w:val="nil"/>
            </w:tcBorders>
            <w:shd w:val="clear" w:color="000000" w:fill="FFFFFF"/>
            <w:noWrap/>
            <w:textDirection w:val="btLr"/>
            <w:vAlign w:val="bottom"/>
            <w:hideMark/>
          </w:tcPr>
          <w:p w14:paraId="2A994663"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Rep4</w:t>
            </w:r>
          </w:p>
        </w:tc>
        <w:tc>
          <w:tcPr>
            <w:tcW w:w="497" w:type="dxa"/>
            <w:tcBorders>
              <w:top w:val="nil"/>
              <w:left w:val="nil"/>
              <w:bottom w:val="single" w:sz="4" w:space="0" w:color="auto"/>
              <w:right w:val="nil"/>
            </w:tcBorders>
            <w:shd w:val="clear" w:color="000000" w:fill="FFFFFF"/>
            <w:noWrap/>
            <w:textDirection w:val="btLr"/>
            <w:vAlign w:val="bottom"/>
            <w:hideMark/>
          </w:tcPr>
          <w:p w14:paraId="552E1CD4"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Rep5</w:t>
            </w:r>
          </w:p>
        </w:tc>
      </w:tr>
      <w:tr w:rsidR="00E1298C" w:rsidRPr="00FD3202" w14:paraId="280A3ACC" w14:textId="77777777" w:rsidTr="00E1298C">
        <w:trPr>
          <w:trHeight w:val="300"/>
          <w:jc w:val="center"/>
        </w:trPr>
        <w:tc>
          <w:tcPr>
            <w:tcW w:w="2565" w:type="dxa"/>
            <w:gridSpan w:val="2"/>
            <w:tcBorders>
              <w:top w:val="nil"/>
              <w:left w:val="nil"/>
              <w:bottom w:val="nil"/>
              <w:right w:val="nil"/>
            </w:tcBorders>
            <w:shd w:val="clear" w:color="000000" w:fill="FFFFFF"/>
            <w:noWrap/>
            <w:vAlign w:val="bottom"/>
            <w:hideMark/>
          </w:tcPr>
          <w:p w14:paraId="6C29A909" w14:textId="121B484D"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Actiniaria</w:t>
            </w:r>
            <w:r w:rsidR="000C455D">
              <w:rPr>
                <w:rFonts w:eastAsia="Times New Roman" w:cs="Times New Roman"/>
                <w:color w:val="000000"/>
                <w:kern w:val="0"/>
                <w:sz w:val="20"/>
                <w:szCs w:val="20"/>
                <w:lang w:val="en-GB" w:eastAsia="nl-BE"/>
                <w14:ligatures w14:val="none"/>
              </w:rPr>
              <w:t xml:space="preserve"> </w:t>
            </w:r>
            <w:r w:rsidR="000C455D" w:rsidRPr="00170AD7">
              <w:rPr>
                <w:rFonts w:eastAsia="Times New Roman" w:cs="Times New Roman"/>
                <w:i/>
                <w:color w:val="000000"/>
                <w:kern w:val="0"/>
                <w:sz w:val="20"/>
                <w:szCs w:val="20"/>
                <w:lang w:val="en-GB" w:eastAsia="nl-BE"/>
                <w14:ligatures w14:val="none"/>
              </w:rPr>
              <w:t>mtps</w:t>
            </w:r>
          </w:p>
        </w:tc>
        <w:tc>
          <w:tcPr>
            <w:tcW w:w="587" w:type="dxa"/>
            <w:tcBorders>
              <w:top w:val="nil"/>
              <w:left w:val="nil"/>
              <w:bottom w:val="nil"/>
              <w:right w:val="nil"/>
            </w:tcBorders>
            <w:shd w:val="clear" w:color="000000" w:fill="FFFFFF"/>
            <w:noWrap/>
            <w:vAlign w:val="bottom"/>
            <w:hideMark/>
          </w:tcPr>
          <w:p w14:paraId="1546ADF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336</w:t>
            </w:r>
          </w:p>
        </w:tc>
        <w:tc>
          <w:tcPr>
            <w:tcW w:w="586" w:type="dxa"/>
            <w:tcBorders>
              <w:top w:val="nil"/>
              <w:left w:val="nil"/>
              <w:bottom w:val="nil"/>
              <w:right w:val="nil"/>
            </w:tcBorders>
            <w:shd w:val="clear" w:color="000000" w:fill="FFFFFF"/>
            <w:noWrap/>
            <w:vAlign w:val="bottom"/>
            <w:hideMark/>
          </w:tcPr>
          <w:p w14:paraId="538D962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196</w:t>
            </w:r>
          </w:p>
        </w:tc>
        <w:tc>
          <w:tcPr>
            <w:tcW w:w="586" w:type="dxa"/>
            <w:tcBorders>
              <w:top w:val="nil"/>
              <w:left w:val="nil"/>
              <w:bottom w:val="nil"/>
              <w:right w:val="nil"/>
            </w:tcBorders>
            <w:shd w:val="clear" w:color="000000" w:fill="FFFFFF"/>
            <w:noWrap/>
            <w:vAlign w:val="bottom"/>
            <w:hideMark/>
          </w:tcPr>
          <w:p w14:paraId="79C64EC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264</w:t>
            </w:r>
          </w:p>
        </w:tc>
        <w:tc>
          <w:tcPr>
            <w:tcW w:w="586" w:type="dxa"/>
            <w:tcBorders>
              <w:top w:val="nil"/>
              <w:left w:val="nil"/>
              <w:bottom w:val="nil"/>
              <w:right w:val="nil"/>
            </w:tcBorders>
            <w:shd w:val="clear" w:color="000000" w:fill="FFFFFF"/>
            <w:noWrap/>
            <w:vAlign w:val="bottom"/>
            <w:hideMark/>
          </w:tcPr>
          <w:p w14:paraId="47C9F93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193</w:t>
            </w:r>
          </w:p>
        </w:tc>
        <w:tc>
          <w:tcPr>
            <w:tcW w:w="586" w:type="dxa"/>
            <w:tcBorders>
              <w:top w:val="nil"/>
              <w:left w:val="nil"/>
              <w:bottom w:val="nil"/>
              <w:right w:val="nil"/>
            </w:tcBorders>
            <w:shd w:val="clear" w:color="000000" w:fill="FFFFFF"/>
            <w:noWrap/>
            <w:vAlign w:val="bottom"/>
            <w:hideMark/>
          </w:tcPr>
          <w:p w14:paraId="2A6BB99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381</w:t>
            </w:r>
          </w:p>
        </w:tc>
        <w:tc>
          <w:tcPr>
            <w:tcW w:w="351" w:type="dxa"/>
            <w:tcBorders>
              <w:top w:val="nil"/>
              <w:left w:val="nil"/>
              <w:bottom w:val="nil"/>
              <w:right w:val="nil"/>
            </w:tcBorders>
            <w:shd w:val="clear" w:color="000000" w:fill="FFFFFF"/>
            <w:noWrap/>
            <w:vAlign w:val="bottom"/>
            <w:hideMark/>
          </w:tcPr>
          <w:p w14:paraId="01BB5EDA"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0C327CE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61</w:t>
            </w:r>
          </w:p>
        </w:tc>
        <w:tc>
          <w:tcPr>
            <w:tcW w:w="497" w:type="dxa"/>
            <w:tcBorders>
              <w:top w:val="nil"/>
              <w:left w:val="nil"/>
              <w:bottom w:val="nil"/>
              <w:right w:val="nil"/>
            </w:tcBorders>
            <w:shd w:val="clear" w:color="000000" w:fill="FFFFFF"/>
            <w:noWrap/>
            <w:vAlign w:val="bottom"/>
            <w:hideMark/>
          </w:tcPr>
          <w:p w14:paraId="07ED999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50</w:t>
            </w:r>
          </w:p>
        </w:tc>
        <w:tc>
          <w:tcPr>
            <w:tcW w:w="497" w:type="dxa"/>
            <w:tcBorders>
              <w:top w:val="nil"/>
              <w:left w:val="nil"/>
              <w:bottom w:val="nil"/>
              <w:right w:val="nil"/>
            </w:tcBorders>
            <w:shd w:val="clear" w:color="000000" w:fill="FFFFFF"/>
            <w:noWrap/>
            <w:vAlign w:val="bottom"/>
            <w:hideMark/>
          </w:tcPr>
          <w:p w14:paraId="412AC64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49</w:t>
            </w:r>
          </w:p>
        </w:tc>
        <w:tc>
          <w:tcPr>
            <w:tcW w:w="497" w:type="dxa"/>
            <w:tcBorders>
              <w:top w:val="nil"/>
              <w:left w:val="nil"/>
              <w:bottom w:val="nil"/>
              <w:right w:val="nil"/>
            </w:tcBorders>
            <w:shd w:val="clear" w:color="000000" w:fill="FFFFFF"/>
            <w:noWrap/>
            <w:vAlign w:val="bottom"/>
            <w:hideMark/>
          </w:tcPr>
          <w:p w14:paraId="2105BA3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49</w:t>
            </w:r>
          </w:p>
        </w:tc>
        <w:tc>
          <w:tcPr>
            <w:tcW w:w="497" w:type="dxa"/>
            <w:tcBorders>
              <w:top w:val="nil"/>
              <w:left w:val="nil"/>
              <w:bottom w:val="nil"/>
              <w:right w:val="nil"/>
            </w:tcBorders>
            <w:shd w:val="clear" w:color="000000" w:fill="FFFFFF"/>
            <w:noWrap/>
            <w:vAlign w:val="bottom"/>
            <w:hideMark/>
          </w:tcPr>
          <w:p w14:paraId="73C483F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63</w:t>
            </w:r>
          </w:p>
        </w:tc>
        <w:tc>
          <w:tcPr>
            <w:tcW w:w="351" w:type="dxa"/>
            <w:tcBorders>
              <w:top w:val="nil"/>
              <w:left w:val="nil"/>
              <w:bottom w:val="nil"/>
              <w:right w:val="nil"/>
            </w:tcBorders>
            <w:shd w:val="clear" w:color="000000" w:fill="FFFFFF"/>
            <w:noWrap/>
            <w:vAlign w:val="bottom"/>
            <w:hideMark/>
          </w:tcPr>
          <w:p w14:paraId="5506EA2D"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0552A59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243</w:t>
            </w:r>
          </w:p>
        </w:tc>
        <w:tc>
          <w:tcPr>
            <w:tcW w:w="497" w:type="dxa"/>
            <w:tcBorders>
              <w:top w:val="nil"/>
              <w:left w:val="nil"/>
              <w:bottom w:val="nil"/>
              <w:right w:val="nil"/>
            </w:tcBorders>
            <w:shd w:val="clear" w:color="000000" w:fill="FFFFFF"/>
            <w:noWrap/>
            <w:vAlign w:val="bottom"/>
            <w:hideMark/>
          </w:tcPr>
          <w:p w14:paraId="4EA6E17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232</w:t>
            </w:r>
          </w:p>
        </w:tc>
        <w:tc>
          <w:tcPr>
            <w:tcW w:w="497" w:type="dxa"/>
            <w:tcBorders>
              <w:top w:val="nil"/>
              <w:left w:val="nil"/>
              <w:bottom w:val="nil"/>
              <w:right w:val="nil"/>
            </w:tcBorders>
            <w:shd w:val="clear" w:color="000000" w:fill="FFFFFF"/>
            <w:noWrap/>
            <w:vAlign w:val="bottom"/>
            <w:hideMark/>
          </w:tcPr>
          <w:p w14:paraId="7323EBF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230</w:t>
            </w:r>
          </w:p>
        </w:tc>
        <w:tc>
          <w:tcPr>
            <w:tcW w:w="497" w:type="dxa"/>
            <w:tcBorders>
              <w:top w:val="nil"/>
              <w:left w:val="nil"/>
              <w:bottom w:val="nil"/>
              <w:right w:val="nil"/>
            </w:tcBorders>
            <w:shd w:val="clear" w:color="000000" w:fill="FFFFFF"/>
            <w:noWrap/>
            <w:vAlign w:val="bottom"/>
            <w:hideMark/>
          </w:tcPr>
          <w:p w14:paraId="441F5D5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172</w:t>
            </w:r>
          </w:p>
        </w:tc>
        <w:tc>
          <w:tcPr>
            <w:tcW w:w="497" w:type="dxa"/>
            <w:tcBorders>
              <w:top w:val="nil"/>
              <w:left w:val="nil"/>
              <w:bottom w:val="nil"/>
              <w:right w:val="nil"/>
            </w:tcBorders>
            <w:shd w:val="clear" w:color="000000" w:fill="FFFFFF"/>
            <w:noWrap/>
            <w:vAlign w:val="bottom"/>
            <w:hideMark/>
          </w:tcPr>
          <w:p w14:paraId="024D5FF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179</w:t>
            </w:r>
          </w:p>
        </w:tc>
        <w:tc>
          <w:tcPr>
            <w:tcW w:w="351" w:type="dxa"/>
            <w:tcBorders>
              <w:top w:val="nil"/>
              <w:left w:val="nil"/>
              <w:bottom w:val="nil"/>
              <w:right w:val="nil"/>
            </w:tcBorders>
            <w:shd w:val="clear" w:color="000000" w:fill="FFFFFF"/>
            <w:noWrap/>
            <w:vAlign w:val="bottom"/>
            <w:hideMark/>
          </w:tcPr>
          <w:p w14:paraId="6D67AD38"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3D6D2E6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85</w:t>
            </w:r>
          </w:p>
        </w:tc>
        <w:tc>
          <w:tcPr>
            <w:tcW w:w="497" w:type="dxa"/>
            <w:tcBorders>
              <w:top w:val="nil"/>
              <w:left w:val="nil"/>
              <w:bottom w:val="nil"/>
              <w:right w:val="nil"/>
            </w:tcBorders>
            <w:shd w:val="clear" w:color="000000" w:fill="FFFFFF"/>
            <w:noWrap/>
            <w:vAlign w:val="bottom"/>
            <w:hideMark/>
          </w:tcPr>
          <w:p w14:paraId="209A66A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112</w:t>
            </w:r>
          </w:p>
        </w:tc>
        <w:tc>
          <w:tcPr>
            <w:tcW w:w="497" w:type="dxa"/>
            <w:tcBorders>
              <w:top w:val="nil"/>
              <w:left w:val="nil"/>
              <w:bottom w:val="nil"/>
              <w:right w:val="nil"/>
            </w:tcBorders>
            <w:shd w:val="clear" w:color="000000" w:fill="FFFFFF"/>
            <w:noWrap/>
            <w:vAlign w:val="bottom"/>
            <w:hideMark/>
          </w:tcPr>
          <w:p w14:paraId="5E61262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85</w:t>
            </w:r>
          </w:p>
        </w:tc>
        <w:tc>
          <w:tcPr>
            <w:tcW w:w="497" w:type="dxa"/>
            <w:tcBorders>
              <w:top w:val="nil"/>
              <w:left w:val="nil"/>
              <w:bottom w:val="nil"/>
              <w:right w:val="nil"/>
            </w:tcBorders>
            <w:shd w:val="clear" w:color="000000" w:fill="FFFFFF"/>
            <w:noWrap/>
            <w:vAlign w:val="bottom"/>
            <w:hideMark/>
          </w:tcPr>
          <w:p w14:paraId="500282C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134</w:t>
            </w:r>
          </w:p>
        </w:tc>
        <w:tc>
          <w:tcPr>
            <w:tcW w:w="497" w:type="dxa"/>
            <w:tcBorders>
              <w:top w:val="nil"/>
              <w:left w:val="nil"/>
              <w:bottom w:val="nil"/>
              <w:right w:val="nil"/>
            </w:tcBorders>
            <w:shd w:val="clear" w:color="000000" w:fill="FFFFFF"/>
            <w:noWrap/>
            <w:vAlign w:val="bottom"/>
            <w:hideMark/>
          </w:tcPr>
          <w:p w14:paraId="0B611FB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118</w:t>
            </w:r>
          </w:p>
        </w:tc>
      </w:tr>
      <w:tr w:rsidR="00E1298C" w:rsidRPr="00FD3202" w14:paraId="2331CDFB" w14:textId="77777777" w:rsidTr="00E1298C">
        <w:trPr>
          <w:trHeight w:val="300"/>
          <w:jc w:val="center"/>
        </w:trPr>
        <w:tc>
          <w:tcPr>
            <w:tcW w:w="2565" w:type="dxa"/>
            <w:gridSpan w:val="2"/>
            <w:tcBorders>
              <w:top w:val="nil"/>
              <w:left w:val="nil"/>
              <w:bottom w:val="nil"/>
              <w:right w:val="nil"/>
            </w:tcBorders>
            <w:shd w:val="clear" w:color="000000" w:fill="FFFFFF"/>
            <w:noWrap/>
            <w:vAlign w:val="bottom"/>
            <w:hideMark/>
          </w:tcPr>
          <w:p w14:paraId="2B7E67FF" w14:textId="530C9C88"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Alcyonacea</w:t>
            </w:r>
            <w:r w:rsidR="000C455D">
              <w:rPr>
                <w:rFonts w:eastAsia="Times New Roman" w:cs="Times New Roman"/>
                <w:color w:val="000000"/>
                <w:kern w:val="0"/>
                <w:sz w:val="20"/>
                <w:szCs w:val="20"/>
                <w:lang w:val="en-GB" w:eastAsia="nl-BE"/>
                <w14:ligatures w14:val="none"/>
              </w:rPr>
              <w:t xml:space="preserve"> </w:t>
            </w:r>
            <w:r w:rsidR="000C455D" w:rsidRPr="0016473F">
              <w:rPr>
                <w:rFonts w:eastAsia="Times New Roman" w:cs="Times New Roman"/>
                <w:i/>
                <w:color w:val="000000"/>
                <w:kern w:val="0"/>
                <w:sz w:val="20"/>
                <w:szCs w:val="20"/>
                <w:lang w:val="en-GB" w:eastAsia="nl-BE"/>
                <w14:ligatures w14:val="none"/>
              </w:rPr>
              <w:t>mtps</w:t>
            </w:r>
          </w:p>
        </w:tc>
        <w:tc>
          <w:tcPr>
            <w:tcW w:w="587" w:type="dxa"/>
            <w:tcBorders>
              <w:top w:val="nil"/>
              <w:left w:val="nil"/>
              <w:bottom w:val="nil"/>
              <w:right w:val="nil"/>
            </w:tcBorders>
            <w:shd w:val="clear" w:color="000000" w:fill="FFFFFF"/>
            <w:noWrap/>
            <w:vAlign w:val="bottom"/>
            <w:hideMark/>
          </w:tcPr>
          <w:p w14:paraId="2B686AD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48</w:t>
            </w:r>
          </w:p>
        </w:tc>
        <w:tc>
          <w:tcPr>
            <w:tcW w:w="586" w:type="dxa"/>
            <w:tcBorders>
              <w:top w:val="nil"/>
              <w:left w:val="nil"/>
              <w:bottom w:val="nil"/>
              <w:right w:val="nil"/>
            </w:tcBorders>
            <w:shd w:val="clear" w:color="000000" w:fill="FFFFFF"/>
            <w:noWrap/>
            <w:vAlign w:val="bottom"/>
            <w:hideMark/>
          </w:tcPr>
          <w:p w14:paraId="5FD7A5B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6EFCBDE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710F67F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77146F8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66079789"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4C4D489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BE6E9A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49E7DD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F4F6B1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4CC291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47517288"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1AA3AC1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40CC7C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14</w:t>
            </w:r>
          </w:p>
        </w:tc>
        <w:tc>
          <w:tcPr>
            <w:tcW w:w="497" w:type="dxa"/>
            <w:tcBorders>
              <w:top w:val="nil"/>
              <w:left w:val="nil"/>
              <w:bottom w:val="nil"/>
              <w:right w:val="nil"/>
            </w:tcBorders>
            <w:shd w:val="clear" w:color="000000" w:fill="FFFFFF"/>
            <w:noWrap/>
            <w:vAlign w:val="bottom"/>
            <w:hideMark/>
          </w:tcPr>
          <w:p w14:paraId="4959726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786304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1F71EB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4061FCD1"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0A2CA97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E6DA49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F4F88A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93A1BD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54B420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28113E1B" w14:textId="77777777" w:rsidTr="00E1298C">
        <w:trPr>
          <w:trHeight w:val="300"/>
          <w:jc w:val="center"/>
        </w:trPr>
        <w:tc>
          <w:tcPr>
            <w:tcW w:w="2565" w:type="dxa"/>
            <w:gridSpan w:val="2"/>
            <w:tcBorders>
              <w:top w:val="nil"/>
              <w:left w:val="nil"/>
              <w:bottom w:val="nil"/>
              <w:right w:val="nil"/>
            </w:tcBorders>
            <w:shd w:val="clear" w:color="000000" w:fill="FFFFFF"/>
            <w:noWrap/>
            <w:vAlign w:val="bottom"/>
            <w:hideMark/>
          </w:tcPr>
          <w:p w14:paraId="48B7E72E" w14:textId="523377F1"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Antipatharia</w:t>
            </w:r>
            <w:r w:rsidR="000C455D">
              <w:rPr>
                <w:rFonts w:eastAsia="Times New Roman" w:cs="Times New Roman"/>
                <w:color w:val="000000"/>
                <w:kern w:val="0"/>
                <w:sz w:val="20"/>
                <w:szCs w:val="20"/>
                <w:lang w:val="en-GB" w:eastAsia="nl-BE"/>
                <w14:ligatures w14:val="none"/>
              </w:rPr>
              <w:t xml:space="preserve"> </w:t>
            </w:r>
            <w:r w:rsidR="000C455D" w:rsidRPr="0016473F">
              <w:rPr>
                <w:rFonts w:eastAsia="Times New Roman" w:cs="Times New Roman"/>
                <w:i/>
                <w:color w:val="000000"/>
                <w:kern w:val="0"/>
                <w:sz w:val="20"/>
                <w:szCs w:val="20"/>
                <w:lang w:val="en-GB" w:eastAsia="nl-BE"/>
                <w14:ligatures w14:val="none"/>
              </w:rPr>
              <w:t>mtps</w:t>
            </w:r>
          </w:p>
        </w:tc>
        <w:tc>
          <w:tcPr>
            <w:tcW w:w="587" w:type="dxa"/>
            <w:tcBorders>
              <w:top w:val="nil"/>
              <w:left w:val="nil"/>
              <w:bottom w:val="nil"/>
              <w:right w:val="nil"/>
            </w:tcBorders>
            <w:shd w:val="clear" w:color="000000" w:fill="FFFFFF"/>
            <w:noWrap/>
            <w:vAlign w:val="bottom"/>
            <w:hideMark/>
          </w:tcPr>
          <w:p w14:paraId="522CB71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1879A07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0D0EA3C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05AE680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48</w:t>
            </w:r>
          </w:p>
        </w:tc>
        <w:tc>
          <w:tcPr>
            <w:tcW w:w="586" w:type="dxa"/>
            <w:tcBorders>
              <w:top w:val="nil"/>
              <w:left w:val="nil"/>
              <w:bottom w:val="nil"/>
              <w:right w:val="nil"/>
            </w:tcBorders>
            <w:shd w:val="clear" w:color="000000" w:fill="FFFFFF"/>
            <w:noWrap/>
            <w:vAlign w:val="bottom"/>
            <w:hideMark/>
          </w:tcPr>
          <w:p w14:paraId="0EDABB9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785BC69A"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73DF02F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w:t>
            </w:r>
          </w:p>
        </w:tc>
        <w:tc>
          <w:tcPr>
            <w:tcW w:w="497" w:type="dxa"/>
            <w:tcBorders>
              <w:top w:val="nil"/>
              <w:left w:val="nil"/>
              <w:bottom w:val="nil"/>
              <w:right w:val="nil"/>
            </w:tcBorders>
            <w:shd w:val="clear" w:color="000000" w:fill="FFFFFF"/>
            <w:noWrap/>
            <w:vAlign w:val="bottom"/>
            <w:hideMark/>
          </w:tcPr>
          <w:p w14:paraId="4D81DC3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9E9975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15F1C3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18CAA51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13</w:t>
            </w:r>
          </w:p>
        </w:tc>
        <w:tc>
          <w:tcPr>
            <w:tcW w:w="351" w:type="dxa"/>
            <w:tcBorders>
              <w:top w:val="nil"/>
              <w:left w:val="nil"/>
              <w:bottom w:val="nil"/>
              <w:right w:val="nil"/>
            </w:tcBorders>
            <w:shd w:val="clear" w:color="000000" w:fill="FFFFFF"/>
            <w:noWrap/>
            <w:vAlign w:val="bottom"/>
            <w:hideMark/>
          </w:tcPr>
          <w:p w14:paraId="312BB919"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7568BCD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13</w:t>
            </w:r>
          </w:p>
        </w:tc>
        <w:tc>
          <w:tcPr>
            <w:tcW w:w="497" w:type="dxa"/>
            <w:tcBorders>
              <w:top w:val="nil"/>
              <w:left w:val="nil"/>
              <w:bottom w:val="nil"/>
              <w:right w:val="nil"/>
            </w:tcBorders>
            <w:shd w:val="clear" w:color="000000" w:fill="FFFFFF"/>
            <w:noWrap/>
            <w:vAlign w:val="bottom"/>
            <w:hideMark/>
          </w:tcPr>
          <w:p w14:paraId="4E2145E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27</w:t>
            </w:r>
          </w:p>
        </w:tc>
        <w:tc>
          <w:tcPr>
            <w:tcW w:w="497" w:type="dxa"/>
            <w:tcBorders>
              <w:top w:val="nil"/>
              <w:left w:val="nil"/>
              <w:bottom w:val="nil"/>
              <w:right w:val="nil"/>
            </w:tcBorders>
            <w:shd w:val="clear" w:color="000000" w:fill="FFFFFF"/>
            <w:noWrap/>
            <w:vAlign w:val="bottom"/>
            <w:hideMark/>
          </w:tcPr>
          <w:p w14:paraId="6D83283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27</w:t>
            </w:r>
          </w:p>
        </w:tc>
        <w:tc>
          <w:tcPr>
            <w:tcW w:w="497" w:type="dxa"/>
            <w:tcBorders>
              <w:top w:val="nil"/>
              <w:left w:val="nil"/>
              <w:bottom w:val="nil"/>
              <w:right w:val="nil"/>
            </w:tcBorders>
            <w:shd w:val="clear" w:color="000000" w:fill="FFFFFF"/>
            <w:noWrap/>
            <w:vAlign w:val="bottom"/>
            <w:hideMark/>
          </w:tcPr>
          <w:p w14:paraId="5BABF2B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E8B642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13</w:t>
            </w:r>
          </w:p>
        </w:tc>
        <w:tc>
          <w:tcPr>
            <w:tcW w:w="351" w:type="dxa"/>
            <w:tcBorders>
              <w:top w:val="nil"/>
              <w:left w:val="nil"/>
              <w:bottom w:val="nil"/>
              <w:right w:val="nil"/>
            </w:tcBorders>
            <w:shd w:val="clear" w:color="000000" w:fill="FFFFFF"/>
            <w:noWrap/>
            <w:vAlign w:val="bottom"/>
            <w:hideMark/>
          </w:tcPr>
          <w:p w14:paraId="748EB1F7"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214E43B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289C95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0AFD9EA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3EBBCE7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5ECCA1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w:t>
            </w:r>
          </w:p>
        </w:tc>
      </w:tr>
      <w:tr w:rsidR="00E1298C" w:rsidRPr="00FD3202" w14:paraId="67EA371E" w14:textId="77777777" w:rsidTr="00E1298C">
        <w:trPr>
          <w:trHeight w:val="300"/>
          <w:jc w:val="center"/>
        </w:trPr>
        <w:tc>
          <w:tcPr>
            <w:tcW w:w="2565" w:type="dxa"/>
            <w:gridSpan w:val="2"/>
            <w:tcBorders>
              <w:top w:val="nil"/>
              <w:left w:val="nil"/>
              <w:bottom w:val="nil"/>
              <w:right w:val="nil"/>
            </w:tcBorders>
            <w:shd w:val="clear" w:color="000000" w:fill="FFFFFF"/>
            <w:noWrap/>
            <w:vAlign w:val="bottom"/>
            <w:hideMark/>
          </w:tcPr>
          <w:p w14:paraId="3888474F"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Asteroidea</w:t>
            </w:r>
          </w:p>
        </w:tc>
        <w:tc>
          <w:tcPr>
            <w:tcW w:w="587" w:type="dxa"/>
            <w:tcBorders>
              <w:top w:val="nil"/>
              <w:left w:val="nil"/>
              <w:bottom w:val="nil"/>
              <w:right w:val="nil"/>
            </w:tcBorders>
            <w:shd w:val="clear" w:color="000000" w:fill="FFFFFF"/>
            <w:noWrap/>
            <w:vAlign w:val="bottom"/>
            <w:hideMark/>
          </w:tcPr>
          <w:p w14:paraId="5F246FB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72</w:t>
            </w:r>
          </w:p>
        </w:tc>
        <w:tc>
          <w:tcPr>
            <w:tcW w:w="586" w:type="dxa"/>
            <w:tcBorders>
              <w:top w:val="nil"/>
              <w:left w:val="nil"/>
              <w:bottom w:val="nil"/>
              <w:right w:val="nil"/>
            </w:tcBorders>
            <w:shd w:val="clear" w:color="000000" w:fill="FFFFFF"/>
            <w:noWrap/>
            <w:vAlign w:val="bottom"/>
            <w:hideMark/>
          </w:tcPr>
          <w:p w14:paraId="13DE033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49</w:t>
            </w:r>
          </w:p>
        </w:tc>
        <w:tc>
          <w:tcPr>
            <w:tcW w:w="586" w:type="dxa"/>
            <w:tcBorders>
              <w:top w:val="nil"/>
              <w:left w:val="nil"/>
              <w:bottom w:val="nil"/>
              <w:right w:val="nil"/>
            </w:tcBorders>
            <w:shd w:val="clear" w:color="000000" w:fill="FFFFFF"/>
            <w:noWrap/>
            <w:vAlign w:val="bottom"/>
            <w:hideMark/>
          </w:tcPr>
          <w:p w14:paraId="472F138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72</w:t>
            </w:r>
          </w:p>
        </w:tc>
        <w:tc>
          <w:tcPr>
            <w:tcW w:w="586" w:type="dxa"/>
            <w:tcBorders>
              <w:top w:val="nil"/>
              <w:left w:val="nil"/>
              <w:bottom w:val="nil"/>
              <w:right w:val="nil"/>
            </w:tcBorders>
            <w:shd w:val="clear" w:color="000000" w:fill="FFFFFF"/>
            <w:noWrap/>
            <w:vAlign w:val="bottom"/>
            <w:hideMark/>
          </w:tcPr>
          <w:p w14:paraId="740BF54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48</w:t>
            </w:r>
          </w:p>
        </w:tc>
        <w:tc>
          <w:tcPr>
            <w:tcW w:w="586" w:type="dxa"/>
            <w:tcBorders>
              <w:top w:val="nil"/>
              <w:left w:val="nil"/>
              <w:bottom w:val="nil"/>
              <w:right w:val="nil"/>
            </w:tcBorders>
            <w:shd w:val="clear" w:color="000000" w:fill="FFFFFF"/>
            <w:noWrap/>
            <w:vAlign w:val="bottom"/>
            <w:hideMark/>
          </w:tcPr>
          <w:p w14:paraId="09CCC41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351" w:type="dxa"/>
            <w:tcBorders>
              <w:top w:val="nil"/>
              <w:left w:val="nil"/>
              <w:bottom w:val="nil"/>
              <w:right w:val="nil"/>
            </w:tcBorders>
            <w:shd w:val="clear" w:color="000000" w:fill="FFFFFF"/>
            <w:noWrap/>
            <w:vAlign w:val="bottom"/>
            <w:hideMark/>
          </w:tcPr>
          <w:p w14:paraId="0F8A609F"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4AA9803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63A795C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19</w:t>
            </w:r>
          </w:p>
        </w:tc>
        <w:tc>
          <w:tcPr>
            <w:tcW w:w="497" w:type="dxa"/>
            <w:tcBorders>
              <w:top w:val="nil"/>
              <w:left w:val="nil"/>
              <w:bottom w:val="nil"/>
              <w:right w:val="nil"/>
            </w:tcBorders>
            <w:shd w:val="clear" w:color="000000" w:fill="FFFFFF"/>
            <w:noWrap/>
            <w:vAlign w:val="bottom"/>
            <w:hideMark/>
          </w:tcPr>
          <w:p w14:paraId="2F29625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1AF3B5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w:t>
            </w:r>
          </w:p>
        </w:tc>
        <w:tc>
          <w:tcPr>
            <w:tcW w:w="497" w:type="dxa"/>
            <w:tcBorders>
              <w:top w:val="nil"/>
              <w:left w:val="nil"/>
              <w:bottom w:val="nil"/>
              <w:right w:val="nil"/>
            </w:tcBorders>
            <w:shd w:val="clear" w:color="000000" w:fill="FFFFFF"/>
            <w:noWrap/>
            <w:vAlign w:val="bottom"/>
            <w:hideMark/>
          </w:tcPr>
          <w:p w14:paraId="1A83486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351" w:type="dxa"/>
            <w:tcBorders>
              <w:top w:val="nil"/>
              <w:left w:val="nil"/>
              <w:bottom w:val="nil"/>
              <w:right w:val="nil"/>
            </w:tcBorders>
            <w:shd w:val="clear" w:color="000000" w:fill="FFFFFF"/>
            <w:noWrap/>
            <w:vAlign w:val="bottom"/>
            <w:hideMark/>
          </w:tcPr>
          <w:p w14:paraId="397C5C53"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72EEA0A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79567C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27</w:t>
            </w:r>
          </w:p>
        </w:tc>
        <w:tc>
          <w:tcPr>
            <w:tcW w:w="497" w:type="dxa"/>
            <w:tcBorders>
              <w:top w:val="nil"/>
              <w:left w:val="nil"/>
              <w:bottom w:val="nil"/>
              <w:right w:val="nil"/>
            </w:tcBorders>
            <w:shd w:val="clear" w:color="000000" w:fill="FFFFFF"/>
            <w:noWrap/>
            <w:vAlign w:val="bottom"/>
            <w:hideMark/>
          </w:tcPr>
          <w:p w14:paraId="49BC148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14</w:t>
            </w:r>
          </w:p>
        </w:tc>
        <w:tc>
          <w:tcPr>
            <w:tcW w:w="497" w:type="dxa"/>
            <w:tcBorders>
              <w:top w:val="nil"/>
              <w:left w:val="nil"/>
              <w:bottom w:val="nil"/>
              <w:right w:val="nil"/>
            </w:tcBorders>
            <w:shd w:val="clear" w:color="000000" w:fill="FFFFFF"/>
            <w:noWrap/>
            <w:vAlign w:val="bottom"/>
            <w:hideMark/>
          </w:tcPr>
          <w:p w14:paraId="4F6CCFA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C66BAC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51</w:t>
            </w:r>
          </w:p>
        </w:tc>
        <w:tc>
          <w:tcPr>
            <w:tcW w:w="351" w:type="dxa"/>
            <w:tcBorders>
              <w:top w:val="nil"/>
              <w:left w:val="nil"/>
              <w:bottom w:val="nil"/>
              <w:right w:val="nil"/>
            </w:tcBorders>
            <w:shd w:val="clear" w:color="000000" w:fill="FFFFFF"/>
            <w:noWrap/>
            <w:vAlign w:val="bottom"/>
            <w:hideMark/>
          </w:tcPr>
          <w:p w14:paraId="2C18CD06"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4E7E196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36</w:t>
            </w:r>
          </w:p>
        </w:tc>
        <w:tc>
          <w:tcPr>
            <w:tcW w:w="497" w:type="dxa"/>
            <w:tcBorders>
              <w:top w:val="nil"/>
              <w:left w:val="nil"/>
              <w:bottom w:val="nil"/>
              <w:right w:val="nil"/>
            </w:tcBorders>
            <w:shd w:val="clear" w:color="000000" w:fill="FFFFFF"/>
            <w:noWrap/>
            <w:vAlign w:val="bottom"/>
            <w:hideMark/>
          </w:tcPr>
          <w:p w14:paraId="56A13D1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19</w:t>
            </w:r>
          </w:p>
        </w:tc>
        <w:tc>
          <w:tcPr>
            <w:tcW w:w="497" w:type="dxa"/>
            <w:tcBorders>
              <w:top w:val="nil"/>
              <w:left w:val="nil"/>
              <w:bottom w:val="nil"/>
              <w:right w:val="nil"/>
            </w:tcBorders>
            <w:shd w:val="clear" w:color="000000" w:fill="FFFFFF"/>
            <w:noWrap/>
            <w:vAlign w:val="bottom"/>
            <w:hideMark/>
          </w:tcPr>
          <w:p w14:paraId="02B074F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42</w:t>
            </w:r>
          </w:p>
        </w:tc>
        <w:tc>
          <w:tcPr>
            <w:tcW w:w="497" w:type="dxa"/>
            <w:tcBorders>
              <w:top w:val="nil"/>
              <w:left w:val="nil"/>
              <w:bottom w:val="nil"/>
              <w:right w:val="nil"/>
            </w:tcBorders>
            <w:shd w:val="clear" w:color="000000" w:fill="FFFFFF"/>
            <w:noWrap/>
            <w:vAlign w:val="bottom"/>
            <w:hideMark/>
          </w:tcPr>
          <w:p w14:paraId="46830B2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C4ED91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46C62975"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1F5160DA"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0FFD54B4"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Brisingida mtp</w:t>
            </w:r>
          </w:p>
        </w:tc>
        <w:tc>
          <w:tcPr>
            <w:tcW w:w="587" w:type="dxa"/>
            <w:tcBorders>
              <w:top w:val="nil"/>
              <w:left w:val="nil"/>
              <w:bottom w:val="nil"/>
              <w:right w:val="nil"/>
            </w:tcBorders>
            <w:shd w:val="clear" w:color="000000" w:fill="FFFFFF"/>
            <w:noWrap/>
            <w:vAlign w:val="bottom"/>
            <w:hideMark/>
          </w:tcPr>
          <w:p w14:paraId="04A7382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1E2159C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007DF09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7A83039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0F2E20B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77AA9FFD"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67C8A8F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807EA5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19</w:t>
            </w:r>
          </w:p>
        </w:tc>
        <w:tc>
          <w:tcPr>
            <w:tcW w:w="497" w:type="dxa"/>
            <w:tcBorders>
              <w:top w:val="nil"/>
              <w:left w:val="nil"/>
              <w:bottom w:val="nil"/>
              <w:right w:val="nil"/>
            </w:tcBorders>
            <w:shd w:val="clear" w:color="000000" w:fill="FFFFFF"/>
            <w:noWrap/>
            <w:vAlign w:val="bottom"/>
            <w:hideMark/>
          </w:tcPr>
          <w:p w14:paraId="02B521A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9D90A0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w:t>
            </w:r>
          </w:p>
        </w:tc>
        <w:tc>
          <w:tcPr>
            <w:tcW w:w="497" w:type="dxa"/>
            <w:tcBorders>
              <w:top w:val="nil"/>
              <w:left w:val="nil"/>
              <w:bottom w:val="nil"/>
              <w:right w:val="nil"/>
            </w:tcBorders>
            <w:shd w:val="clear" w:color="000000" w:fill="FFFFFF"/>
            <w:noWrap/>
            <w:vAlign w:val="bottom"/>
            <w:hideMark/>
          </w:tcPr>
          <w:p w14:paraId="1662091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4A033C13"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79248FB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AAB935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3403B4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230233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BC39C7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6A5676DE"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121B1A3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497" w:type="dxa"/>
            <w:tcBorders>
              <w:top w:val="nil"/>
              <w:left w:val="nil"/>
              <w:bottom w:val="nil"/>
              <w:right w:val="nil"/>
            </w:tcBorders>
            <w:shd w:val="clear" w:color="000000" w:fill="FFFFFF"/>
            <w:noWrap/>
            <w:vAlign w:val="bottom"/>
            <w:hideMark/>
          </w:tcPr>
          <w:p w14:paraId="34C9E9B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118696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18</w:t>
            </w:r>
          </w:p>
        </w:tc>
        <w:tc>
          <w:tcPr>
            <w:tcW w:w="497" w:type="dxa"/>
            <w:tcBorders>
              <w:top w:val="nil"/>
              <w:left w:val="nil"/>
              <w:bottom w:val="nil"/>
              <w:right w:val="nil"/>
            </w:tcBorders>
            <w:shd w:val="clear" w:color="000000" w:fill="FFFFFF"/>
            <w:noWrap/>
            <w:vAlign w:val="bottom"/>
            <w:hideMark/>
          </w:tcPr>
          <w:p w14:paraId="609140C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F70003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7512490F"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3B314CAA"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6D56E375"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Paxillosida mtp</w:t>
            </w:r>
          </w:p>
        </w:tc>
        <w:tc>
          <w:tcPr>
            <w:tcW w:w="587" w:type="dxa"/>
            <w:tcBorders>
              <w:top w:val="nil"/>
              <w:left w:val="nil"/>
              <w:bottom w:val="nil"/>
              <w:right w:val="nil"/>
            </w:tcBorders>
            <w:shd w:val="clear" w:color="000000" w:fill="FFFFFF"/>
            <w:noWrap/>
            <w:vAlign w:val="bottom"/>
            <w:hideMark/>
          </w:tcPr>
          <w:p w14:paraId="3960E73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5929EB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74DFB0B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448C2FD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113CAE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7F5B0508"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61DD084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79470A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4B37C9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4C0258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A6D1A2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6691A0D6"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7BD41AF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31A6A4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76C718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64BF6F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B4D970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6AA7BDB5"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4025C4C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03FA37E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1400C5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0127050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0F8D50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4A26E3E1"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5989BAFC"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13D73D2D"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Velatida</w:t>
            </w:r>
          </w:p>
        </w:tc>
        <w:tc>
          <w:tcPr>
            <w:tcW w:w="587" w:type="dxa"/>
            <w:tcBorders>
              <w:top w:val="nil"/>
              <w:left w:val="nil"/>
              <w:bottom w:val="nil"/>
              <w:right w:val="nil"/>
            </w:tcBorders>
            <w:shd w:val="clear" w:color="000000" w:fill="FFFFFF"/>
            <w:noWrap/>
            <w:vAlign w:val="bottom"/>
            <w:hideMark/>
          </w:tcPr>
          <w:p w14:paraId="4352A2D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43DF47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67D925D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108D9F6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24299E7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6BB03555"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61FAE76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718B447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6CF377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690ACB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73F07C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181A3D94"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41B919E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523832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E6BD0B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932595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B9A314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45604B80"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1A3D52E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DA1525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0E17E5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15B8D78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F311CB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46BC0331"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51011B75"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328746D9" w14:textId="33FD05D6"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Asteroidea</w:t>
            </w:r>
            <w:r w:rsidR="000C455D">
              <w:rPr>
                <w:rFonts w:eastAsia="Times New Roman" w:cs="Times New Roman"/>
                <w:color w:val="000000"/>
                <w:kern w:val="0"/>
                <w:sz w:val="20"/>
                <w:szCs w:val="20"/>
                <w:lang w:val="en-GB" w:eastAsia="nl-BE"/>
                <w14:ligatures w14:val="none"/>
              </w:rPr>
              <w:t xml:space="preserve"> </w:t>
            </w:r>
            <w:r w:rsidR="000C455D" w:rsidRPr="0016473F">
              <w:rPr>
                <w:rFonts w:eastAsia="Times New Roman" w:cs="Times New Roman"/>
                <w:i/>
                <w:color w:val="000000"/>
                <w:kern w:val="0"/>
                <w:sz w:val="20"/>
                <w:szCs w:val="20"/>
                <w:lang w:val="en-GB" w:eastAsia="nl-BE"/>
                <w14:ligatures w14:val="none"/>
              </w:rPr>
              <w:t>mtps</w:t>
            </w:r>
          </w:p>
        </w:tc>
        <w:tc>
          <w:tcPr>
            <w:tcW w:w="587" w:type="dxa"/>
            <w:tcBorders>
              <w:top w:val="nil"/>
              <w:left w:val="nil"/>
              <w:bottom w:val="nil"/>
              <w:right w:val="nil"/>
            </w:tcBorders>
            <w:shd w:val="clear" w:color="000000" w:fill="FFFFFF"/>
            <w:noWrap/>
            <w:vAlign w:val="bottom"/>
            <w:hideMark/>
          </w:tcPr>
          <w:p w14:paraId="0AB5C98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72</w:t>
            </w:r>
          </w:p>
        </w:tc>
        <w:tc>
          <w:tcPr>
            <w:tcW w:w="586" w:type="dxa"/>
            <w:tcBorders>
              <w:top w:val="nil"/>
              <w:left w:val="nil"/>
              <w:bottom w:val="nil"/>
              <w:right w:val="nil"/>
            </w:tcBorders>
            <w:shd w:val="clear" w:color="000000" w:fill="FFFFFF"/>
            <w:noWrap/>
            <w:vAlign w:val="bottom"/>
            <w:hideMark/>
          </w:tcPr>
          <w:p w14:paraId="7B00F99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6F73DC8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48</w:t>
            </w:r>
          </w:p>
        </w:tc>
        <w:tc>
          <w:tcPr>
            <w:tcW w:w="586" w:type="dxa"/>
            <w:tcBorders>
              <w:top w:val="nil"/>
              <w:left w:val="nil"/>
              <w:bottom w:val="nil"/>
              <w:right w:val="nil"/>
            </w:tcBorders>
            <w:shd w:val="clear" w:color="000000" w:fill="FFFFFF"/>
            <w:noWrap/>
            <w:vAlign w:val="bottom"/>
            <w:hideMark/>
          </w:tcPr>
          <w:p w14:paraId="4ADF728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7939259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351" w:type="dxa"/>
            <w:tcBorders>
              <w:top w:val="nil"/>
              <w:left w:val="nil"/>
              <w:bottom w:val="nil"/>
              <w:right w:val="nil"/>
            </w:tcBorders>
            <w:shd w:val="clear" w:color="000000" w:fill="FFFFFF"/>
            <w:noWrap/>
            <w:vAlign w:val="bottom"/>
            <w:hideMark/>
          </w:tcPr>
          <w:p w14:paraId="20630FEF"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1366F8C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063940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733D72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AD17C3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197E2D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351" w:type="dxa"/>
            <w:tcBorders>
              <w:top w:val="nil"/>
              <w:left w:val="nil"/>
              <w:bottom w:val="nil"/>
              <w:right w:val="nil"/>
            </w:tcBorders>
            <w:shd w:val="clear" w:color="000000" w:fill="FFFFFF"/>
            <w:noWrap/>
            <w:vAlign w:val="bottom"/>
            <w:hideMark/>
          </w:tcPr>
          <w:p w14:paraId="2AE51750"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31BC120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70D938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27</w:t>
            </w:r>
          </w:p>
        </w:tc>
        <w:tc>
          <w:tcPr>
            <w:tcW w:w="497" w:type="dxa"/>
            <w:tcBorders>
              <w:top w:val="nil"/>
              <w:left w:val="nil"/>
              <w:bottom w:val="nil"/>
              <w:right w:val="nil"/>
            </w:tcBorders>
            <w:shd w:val="clear" w:color="000000" w:fill="FFFFFF"/>
            <w:noWrap/>
            <w:vAlign w:val="bottom"/>
            <w:hideMark/>
          </w:tcPr>
          <w:p w14:paraId="7EE27AB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14</w:t>
            </w:r>
          </w:p>
        </w:tc>
        <w:tc>
          <w:tcPr>
            <w:tcW w:w="497" w:type="dxa"/>
            <w:tcBorders>
              <w:top w:val="nil"/>
              <w:left w:val="nil"/>
              <w:bottom w:val="nil"/>
              <w:right w:val="nil"/>
            </w:tcBorders>
            <w:shd w:val="clear" w:color="000000" w:fill="FFFFFF"/>
            <w:noWrap/>
            <w:vAlign w:val="bottom"/>
            <w:hideMark/>
          </w:tcPr>
          <w:p w14:paraId="518A86E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A67718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51</w:t>
            </w:r>
          </w:p>
        </w:tc>
        <w:tc>
          <w:tcPr>
            <w:tcW w:w="351" w:type="dxa"/>
            <w:tcBorders>
              <w:top w:val="nil"/>
              <w:left w:val="nil"/>
              <w:bottom w:val="nil"/>
              <w:right w:val="nil"/>
            </w:tcBorders>
            <w:shd w:val="clear" w:color="000000" w:fill="FFFFFF"/>
            <w:noWrap/>
            <w:vAlign w:val="bottom"/>
            <w:hideMark/>
          </w:tcPr>
          <w:p w14:paraId="7D7B987D"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0996000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5A8CCA5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19</w:t>
            </w:r>
          </w:p>
        </w:tc>
        <w:tc>
          <w:tcPr>
            <w:tcW w:w="497" w:type="dxa"/>
            <w:tcBorders>
              <w:top w:val="nil"/>
              <w:left w:val="nil"/>
              <w:bottom w:val="nil"/>
              <w:right w:val="nil"/>
            </w:tcBorders>
            <w:shd w:val="clear" w:color="000000" w:fill="FFFFFF"/>
            <w:noWrap/>
            <w:vAlign w:val="bottom"/>
            <w:hideMark/>
          </w:tcPr>
          <w:p w14:paraId="663A45D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w:t>
            </w:r>
          </w:p>
        </w:tc>
        <w:tc>
          <w:tcPr>
            <w:tcW w:w="497" w:type="dxa"/>
            <w:tcBorders>
              <w:top w:val="nil"/>
              <w:left w:val="nil"/>
              <w:bottom w:val="nil"/>
              <w:right w:val="nil"/>
            </w:tcBorders>
            <w:shd w:val="clear" w:color="000000" w:fill="FFFFFF"/>
            <w:noWrap/>
            <w:vAlign w:val="bottom"/>
            <w:hideMark/>
          </w:tcPr>
          <w:p w14:paraId="6497113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27C545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60FB7C6F" w14:textId="77777777" w:rsidTr="00E1298C">
        <w:trPr>
          <w:trHeight w:val="300"/>
          <w:jc w:val="center"/>
        </w:trPr>
        <w:tc>
          <w:tcPr>
            <w:tcW w:w="2565" w:type="dxa"/>
            <w:gridSpan w:val="2"/>
            <w:tcBorders>
              <w:top w:val="nil"/>
              <w:left w:val="nil"/>
              <w:bottom w:val="nil"/>
              <w:right w:val="nil"/>
            </w:tcBorders>
            <w:shd w:val="clear" w:color="000000" w:fill="FFFFFF"/>
            <w:noWrap/>
            <w:vAlign w:val="bottom"/>
            <w:hideMark/>
          </w:tcPr>
          <w:p w14:paraId="35D33F20" w14:textId="7446967A"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Ceriantharia</w:t>
            </w:r>
            <w:r w:rsidR="000C455D">
              <w:rPr>
                <w:rFonts w:eastAsia="Times New Roman" w:cs="Times New Roman"/>
                <w:color w:val="000000"/>
                <w:kern w:val="0"/>
                <w:sz w:val="20"/>
                <w:szCs w:val="20"/>
                <w:lang w:val="en-GB" w:eastAsia="nl-BE"/>
                <w14:ligatures w14:val="none"/>
              </w:rPr>
              <w:t xml:space="preserve"> </w:t>
            </w:r>
            <w:r w:rsidR="000C455D" w:rsidRPr="0016473F">
              <w:rPr>
                <w:rFonts w:eastAsia="Times New Roman" w:cs="Times New Roman"/>
                <w:i/>
                <w:color w:val="000000"/>
                <w:kern w:val="0"/>
                <w:sz w:val="20"/>
                <w:szCs w:val="20"/>
                <w:lang w:val="en-GB" w:eastAsia="nl-BE"/>
                <w14:ligatures w14:val="none"/>
              </w:rPr>
              <w:t>mtps</w:t>
            </w:r>
          </w:p>
        </w:tc>
        <w:tc>
          <w:tcPr>
            <w:tcW w:w="587" w:type="dxa"/>
            <w:tcBorders>
              <w:top w:val="nil"/>
              <w:left w:val="nil"/>
              <w:bottom w:val="nil"/>
              <w:right w:val="nil"/>
            </w:tcBorders>
            <w:shd w:val="clear" w:color="000000" w:fill="FFFFFF"/>
            <w:noWrap/>
            <w:vAlign w:val="bottom"/>
            <w:hideMark/>
          </w:tcPr>
          <w:p w14:paraId="04297DA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46C7218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605DFD0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10C1C0B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740B73B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76630CA4"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50E8F5C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429930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9FB700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E05A49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98926B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3D9E910C"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072F420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B055AD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779CDF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6DEF52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27018D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017595CC"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1700749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785E1F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63B3BB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196E3E9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564396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0DBB8B76" w14:textId="77777777" w:rsidTr="00E1298C">
        <w:trPr>
          <w:trHeight w:val="300"/>
          <w:jc w:val="center"/>
        </w:trPr>
        <w:tc>
          <w:tcPr>
            <w:tcW w:w="2565" w:type="dxa"/>
            <w:gridSpan w:val="2"/>
            <w:tcBorders>
              <w:top w:val="nil"/>
              <w:left w:val="nil"/>
              <w:bottom w:val="nil"/>
              <w:right w:val="nil"/>
            </w:tcBorders>
            <w:shd w:val="clear" w:color="000000" w:fill="FFFFFF"/>
            <w:noWrap/>
            <w:vAlign w:val="bottom"/>
            <w:hideMark/>
          </w:tcPr>
          <w:p w14:paraId="2AE1A1DE" w14:textId="6DD87DB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Corallimorpharia</w:t>
            </w:r>
            <w:r w:rsidR="000C455D">
              <w:rPr>
                <w:rFonts w:eastAsia="Times New Roman" w:cs="Times New Roman"/>
                <w:color w:val="000000"/>
                <w:kern w:val="0"/>
                <w:sz w:val="20"/>
                <w:szCs w:val="20"/>
                <w:lang w:val="en-GB" w:eastAsia="nl-BE"/>
                <w14:ligatures w14:val="none"/>
              </w:rPr>
              <w:t xml:space="preserve"> </w:t>
            </w:r>
            <w:r w:rsidR="000C455D" w:rsidRPr="0016473F">
              <w:rPr>
                <w:rFonts w:eastAsia="Times New Roman" w:cs="Times New Roman"/>
                <w:i/>
                <w:color w:val="000000"/>
                <w:kern w:val="0"/>
                <w:sz w:val="20"/>
                <w:szCs w:val="20"/>
                <w:lang w:val="en-GB" w:eastAsia="nl-BE"/>
                <w14:ligatures w14:val="none"/>
              </w:rPr>
              <w:t>mtps</w:t>
            </w:r>
          </w:p>
        </w:tc>
        <w:tc>
          <w:tcPr>
            <w:tcW w:w="587" w:type="dxa"/>
            <w:tcBorders>
              <w:top w:val="nil"/>
              <w:left w:val="nil"/>
              <w:bottom w:val="nil"/>
              <w:right w:val="nil"/>
            </w:tcBorders>
            <w:shd w:val="clear" w:color="000000" w:fill="FFFFFF"/>
            <w:noWrap/>
            <w:vAlign w:val="bottom"/>
            <w:hideMark/>
          </w:tcPr>
          <w:p w14:paraId="2D0B789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2C1D585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7CD329F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4BFDEE8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67B580F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3920A911"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3502D34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86F5BE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32566F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CECC8F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22E733B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351" w:type="dxa"/>
            <w:tcBorders>
              <w:top w:val="nil"/>
              <w:left w:val="nil"/>
              <w:bottom w:val="nil"/>
              <w:right w:val="nil"/>
            </w:tcBorders>
            <w:shd w:val="clear" w:color="000000" w:fill="FFFFFF"/>
            <w:noWrap/>
            <w:vAlign w:val="bottom"/>
            <w:hideMark/>
          </w:tcPr>
          <w:p w14:paraId="1AB7573C"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069A604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B6C689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8F48EA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9110F1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E7D5D5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6A73C1D4"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75DFC45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47B639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CA9788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C8245A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CB7441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18</w:t>
            </w:r>
          </w:p>
        </w:tc>
      </w:tr>
      <w:tr w:rsidR="00E1298C" w:rsidRPr="00FD3202" w14:paraId="0A1AC6CE" w14:textId="77777777" w:rsidTr="00E1298C">
        <w:trPr>
          <w:trHeight w:val="300"/>
          <w:jc w:val="center"/>
        </w:trPr>
        <w:tc>
          <w:tcPr>
            <w:tcW w:w="2565" w:type="dxa"/>
            <w:gridSpan w:val="2"/>
            <w:tcBorders>
              <w:top w:val="nil"/>
              <w:left w:val="nil"/>
              <w:bottom w:val="nil"/>
              <w:right w:val="nil"/>
            </w:tcBorders>
            <w:shd w:val="clear" w:color="000000" w:fill="FFFFFF"/>
            <w:noWrap/>
            <w:vAlign w:val="bottom"/>
            <w:hideMark/>
          </w:tcPr>
          <w:p w14:paraId="6EE1D953" w14:textId="605F1C6D"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Crinoidea</w:t>
            </w:r>
            <w:r w:rsidR="000C455D">
              <w:rPr>
                <w:rFonts w:eastAsia="Times New Roman" w:cs="Times New Roman"/>
                <w:color w:val="000000"/>
                <w:kern w:val="0"/>
                <w:sz w:val="20"/>
                <w:szCs w:val="20"/>
                <w:lang w:val="en-GB" w:eastAsia="nl-BE"/>
                <w14:ligatures w14:val="none"/>
              </w:rPr>
              <w:t xml:space="preserve"> </w:t>
            </w:r>
            <w:r w:rsidR="000C455D" w:rsidRPr="0016473F">
              <w:rPr>
                <w:rFonts w:eastAsia="Times New Roman" w:cs="Times New Roman"/>
                <w:i/>
                <w:color w:val="000000"/>
                <w:kern w:val="0"/>
                <w:sz w:val="20"/>
                <w:szCs w:val="20"/>
                <w:lang w:val="en-GB" w:eastAsia="nl-BE"/>
                <w14:ligatures w14:val="none"/>
              </w:rPr>
              <w:t>mtps</w:t>
            </w:r>
          </w:p>
        </w:tc>
        <w:tc>
          <w:tcPr>
            <w:tcW w:w="587" w:type="dxa"/>
            <w:tcBorders>
              <w:top w:val="nil"/>
              <w:left w:val="nil"/>
              <w:bottom w:val="nil"/>
              <w:right w:val="nil"/>
            </w:tcBorders>
            <w:shd w:val="clear" w:color="000000" w:fill="FFFFFF"/>
            <w:noWrap/>
            <w:vAlign w:val="bottom"/>
            <w:hideMark/>
          </w:tcPr>
          <w:p w14:paraId="695B2C7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69C630B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7348BC7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487414F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28548CC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4EA8F08D"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422137A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F60C0C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DCFAA1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2BC34F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9493CC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49AC7B2D"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78FE36A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B828AB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27</w:t>
            </w:r>
          </w:p>
        </w:tc>
        <w:tc>
          <w:tcPr>
            <w:tcW w:w="497" w:type="dxa"/>
            <w:tcBorders>
              <w:top w:val="nil"/>
              <w:left w:val="nil"/>
              <w:bottom w:val="nil"/>
              <w:right w:val="nil"/>
            </w:tcBorders>
            <w:shd w:val="clear" w:color="000000" w:fill="FFFFFF"/>
            <w:noWrap/>
            <w:vAlign w:val="bottom"/>
            <w:hideMark/>
          </w:tcPr>
          <w:p w14:paraId="6A0F77C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27</w:t>
            </w:r>
          </w:p>
        </w:tc>
        <w:tc>
          <w:tcPr>
            <w:tcW w:w="497" w:type="dxa"/>
            <w:tcBorders>
              <w:top w:val="nil"/>
              <w:left w:val="nil"/>
              <w:bottom w:val="nil"/>
              <w:right w:val="nil"/>
            </w:tcBorders>
            <w:shd w:val="clear" w:color="000000" w:fill="FFFFFF"/>
            <w:noWrap/>
            <w:vAlign w:val="bottom"/>
            <w:hideMark/>
          </w:tcPr>
          <w:p w14:paraId="6E73C29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9FD3A3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13</w:t>
            </w:r>
          </w:p>
        </w:tc>
        <w:tc>
          <w:tcPr>
            <w:tcW w:w="351" w:type="dxa"/>
            <w:tcBorders>
              <w:top w:val="nil"/>
              <w:left w:val="nil"/>
              <w:bottom w:val="nil"/>
              <w:right w:val="nil"/>
            </w:tcBorders>
            <w:shd w:val="clear" w:color="000000" w:fill="FFFFFF"/>
            <w:noWrap/>
            <w:vAlign w:val="bottom"/>
            <w:hideMark/>
          </w:tcPr>
          <w:p w14:paraId="32AFAA66"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1828D10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0E8392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7E4B8A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C8C965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8705FD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r>
      <w:tr w:rsidR="00E1298C" w:rsidRPr="00FD3202" w14:paraId="10696EDC" w14:textId="77777777" w:rsidTr="00E1298C">
        <w:trPr>
          <w:trHeight w:val="300"/>
          <w:jc w:val="center"/>
        </w:trPr>
        <w:tc>
          <w:tcPr>
            <w:tcW w:w="2565" w:type="dxa"/>
            <w:gridSpan w:val="2"/>
            <w:tcBorders>
              <w:top w:val="nil"/>
              <w:left w:val="nil"/>
              <w:bottom w:val="nil"/>
              <w:right w:val="nil"/>
            </w:tcBorders>
            <w:shd w:val="clear" w:color="000000" w:fill="FFFFFF"/>
            <w:noWrap/>
            <w:vAlign w:val="bottom"/>
            <w:hideMark/>
          </w:tcPr>
          <w:p w14:paraId="404989C1" w14:textId="61228EDA"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Ctenophora</w:t>
            </w:r>
            <w:r w:rsidR="000C455D">
              <w:rPr>
                <w:rFonts w:eastAsia="Times New Roman" w:cs="Times New Roman"/>
                <w:color w:val="000000"/>
                <w:kern w:val="0"/>
                <w:sz w:val="20"/>
                <w:szCs w:val="20"/>
                <w:lang w:val="en-GB" w:eastAsia="nl-BE"/>
                <w14:ligatures w14:val="none"/>
              </w:rPr>
              <w:t xml:space="preserve"> </w:t>
            </w:r>
            <w:r w:rsidR="000C455D" w:rsidRPr="0016473F">
              <w:rPr>
                <w:rFonts w:eastAsia="Times New Roman" w:cs="Times New Roman"/>
                <w:i/>
                <w:color w:val="000000"/>
                <w:kern w:val="0"/>
                <w:sz w:val="20"/>
                <w:szCs w:val="20"/>
                <w:lang w:val="en-GB" w:eastAsia="nl-BE"/>
                <w14:ligatures w14:val="none"/>
              </w:rPr>
              <w:t>mtps</w:t>
            </w:r>
          </w:p>
        </w:tc>
        <w:tc>
          <w:tcPr>
            <w:tcW w:w="587" w:type="dxa"/>
            <w:tcBorders>
              <w:top w:val="nil"/>
              <w:left w:val="nil"/>
              <w:bottom w:val="nil"/>
              <w:right w:val="nil"/>
            </w:tcBorders>
            <w:shd w:val="clear" w:color="000000" w:fill="FFFFFF"/>
            <w:noWrap/>
            <w:vAlign w:val="bottom"/>
            <w:hideMark/>
          </w:tcPr>
          <w:p w14:paraId="60367E7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259D79E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255AB6B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2420408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04576D4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29082385"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3847804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A11114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BD01FA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A5AAA6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348D4F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4C1ED881"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56649F8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D48257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3D29EB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21F09B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13</w:t>
            </w:r>
          </w:p>
        </w:tc>
        <w:tc>
          <w:tcPr>
            <w:tcW w:w="497" w:type="dxa"/>
            <w:tcBorders>
              <w:top w:val="nil"/>
              <w:left w:val="nil"/>
              <w:bottom w:val="nil"/>
              <w:right w:val="nil"/>
            </w:tcBorders>
            <w:shd w:val="clear" w:color="000000" w:fill="FFFFFF"/>
            <w:noWrap/>
            <w:vAlign w:val="bottom"/>
            <w:hideMark/>
          </w:tcPr>
          <w:p w14:paraId="3BC4F01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0D3BCC85"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4A21D13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E6364E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62391F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DA2AD1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4D6D30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4F2D2B71" w14:textId="77777777" w:rsidTr="00E1298C">
        <w:trPr>
          <w:trHeight w:val="300"/>
          <w:jc w:val="center"/>
        </w:trPr>
        <w:tc>
          <w:tcPr>
            <w:tcW w:w="2565" w:type="dxa"/>
            <w:gridSpan w:val="2"/>
            <w:tcBorders>
              <w:top w:val="nil"/>
              <w:left w:val="nil"/>
              <w:bottom w:val="nil"/>
              <w:right w:val="nil"/>
            </w:tcBorders>
            <w:shd w:val="clear" w:color="000000" w:fill="FFFFFF"/>
            <w:noWrap/>
            <w:vAlign w:val="bottom"/>
            <w:hideMark/>
          </w:tcPr>
          <w:p w14:paraId="37CEA8D1"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Decapoda</w:t>
            </w:r>
          </w:p>
        </w:tc>
        <w:tc>
          <w:tcPr>
            <w:tcW w:w="587" w:type="dxa"/>
            <w:tcBorders>
              <w:top w:val="nil"/>
              <w:left w:val="nil"/>
              <w:bottom w:val="nil"/>
              <w:right w:val="nil"/>
            </w:tcBorders>
            <w:shd w:val="clear" w:color="000000" w:fill="FFFFFF"/>
            <w:noWrap/>
            <w:vAlign w:val="bottom"/>
            <w:hideMark/>
          </w:tcPr>
          <w:p w14:paraId="0E2F2AE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72</w:t>
            </w:r>
          </w:p>
        </w:tc>
        <w:tc>
          <w:tcPr>
            <w:tcW w:w="586" w:type="dxa"/>
            <w:tcBorders>
              <w:top w:val="nil"/>
              <w:left w:val="nil"/>
              <w:bottom w:val="nil"/>
              <w:right w:val="nil"/>
            </w:tcBorders>
            <w:shd w:val="clear" w:color="000000" w:fill="FFFFFF"/>
            <w:noWrap/>
            <w:vAlign w:val="bottom"/>
            <w:hideMark/>
          </w:tcPr>
          <w:p w14:paraId="428E872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73</w:t>
            </w:r>
          </w:p>
        </w:tc>
        <w:tc>
          <w:tcPr>
            <w:tcW w:w="586" w:type="dxa"/>
            <w:tcBorders>
              <w:top w:val="nil"/>
              <w:left w:val="nil"/>
              <w:bottom w:val="nil"/>
              <w:right w:val="nil"/>
            </w:tcBorders>
            <w:shd w:val="clear" w:color="000000" w:fill="FFFFFF"/>
            <w:noWrap/>
            <w:vAlign w:val="bottom"/>
            <w:hideMark/>
          </w:tcPr>
          <w:p w14:paraId="70E316A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52E9668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48</w:t>
            </w:r>
          </w:p>
        </w:tc>
        <w:tc>
          <w:tcPr>
            <w:tcW w:w="586" w:type="dxa"/>
            <w:tcBorders>
              <w:top w:val="nil"/>
              <w:left w:val="nil"/>
              <w:bottom w:val="nil"/>
              <w:right w:val="nil"/>
            </w:tcBorders>
            <w:shd w:val="clear" w:color="000000" w:fill="FFFFFF"/>
            <w:noWrap/>
            <w:vAlign w:val="bottom"/>
            <w:hideMark/>
          </w:tcPr>
          <w:p w14:paraId="5F0E285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48</w:t>
            </w:r>
          </w:p>
        </w:tc>
        <w:tc>
          <w:tcPr>
            <w:tcW w:w="351" w:type="dxa"/>
            <w:tcBorders>
              <w:top w:val="nil"/>
              <w:left w:val="nil"/>
              <w:bottom w:val="nil"/>
              <w:right w:val="nil"/>
            </w:tcBorders>
            <w:shd w:val="clear" w:color="000000" w:fill="FFFFFF"/>
            <w:noWrap/>
            <w:vAlign w:val="bottom"/>
            <w:hideMark/>
          </w:tcPr>
          <w:p w14:paraId="3D2DBA3D"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1E4E97F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4827D3F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AFB754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w:t>
            </w:r>
          </w:p>
        </w:tc>
        <w:tc>
          <w:tcPr>
            <w:tcW w:w="497" w:type="dxa"/>
            <w:tcBorders>
              <w:top w:val="nil"/>
              <w:left w:val="nil"/>
              <w:bottom w:val="nil"/>
              <w:right w:val="nil"/>
            </w:tcBorders>
            <w:shd w:val="clear" w:color="000000" w:fill="FFFFFF"/>
            <w:noWrap/>
            <w:vAlign w:val="bottom"/>
            <w:hideMark/>
          </w:tcPr>
          <w:p w14:paraId="5BCF411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39010BD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19</w:t>
            </w:r>
          </w:p>
        </w:tc>
        <w:tc>
          <w:tcPr>
            <w:tcW w:w="351" w:type="dxa"/>
            <w:tcBorders>
              <w:top w:val="nil"/>
              <w:left w:val="nil"/>
              <w:bottom w:val="nil"/>
              <w:right w:val="nil"/>
            </w:tcBorders>
            <w:shd w:val="clear" w:color="000000" w:fill="FFFFFF"/>
            <w:noWrap/>
            <w:vAlign w:val="bottom"/>
            <w:hideMark/>
          </w:tcPr>
          <w:p w14:paraId="782EF916"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3D16A89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175</w:t>
            </w:r>
          </w:p>
        </w:tc>
        <w:tc>
          <w:tcPr>
            <w:tcW w:w="497" w:type="dxa"/>
            <w:tcBorders>
              <w:top w:val="nil"/>
              <w:left w:val="nil"/>
              <w:bottom w:val="nil"/>
              <w:right w:val="nil"/>
            </w:tcBorders>
            <w:shd w:val="clear" w:color="000000" w:fill="FFFFFF"/>
            <w:noWrap/>
            <w:vAlign w:val="bottom"/>
            <w:hideMark/>
          </w:tcPr>
          <w:p w14:paraId="294F975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41</w:t>
            </w:r>
          </w:p>
        </w:tc>
        <w:tc>
          <w:tcPr>
            <w:tcW w:w="497" w:type="dxa"/>
            <w:tcBorders>
              <w:top w:val="nil"/>
              <w:left w:val="nil"/>
              <w:bottom w:val="nil"/>
              <w:right w:val="nil"/>
            </w:tcBorders>
            <w:shd w:val="clear" w:color="000000" w:fill="FFFFFF"/>
            <w:noWrap/>
            <w:vAlign w:val="bottom"/>
            <w:hideMark/>
          </w:tcPr>
          <w:p w14:paraId="6D6D5AD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41</w:t>
            </w:r>
          </w:p>
        </w:tc>
        <w:tc>
          <w:tcPr>
            <w:tcW w:w="497" w:type="dxa"/>
            <w:tcBorders>
              <w:top w:val="nil"/>
              <w:left w:val="nil"/>
              <w:bottom w:val="nil"/>
              <w:right w:val="nil"/>
            </w:tcBorders>
            <w:shd w:val="clear" w:color="000000" w:fill="FFFFFF"/>
            <w:noWrap/>
            <w:vAlign w:val="bottom"/>
            <w:hideMark/>
          </w:tcPr>
          <w:p w14:paraId="1743B8F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53</w:t>
            </w:r>
          </w:p>
        </w:tc>
        <w:tc>
          <w:tcPr>
            <w:tcW w:w="497" w:type="dxa"/>
            <w:tcBorders>
              <w:top w:val="nil"/>
              <w:left w:val="nil"/>
              <w:bottom w:val="nil"/>
              <w:right w:val="nil"/>
            </w:tcBorders>
            <w:shd w:val="clear" w:color="000000" w:fill="FFFFFF"/>
            <w:noWrap/>
            <w:vAlign w:val="bottom"/>
            <w:hideMark/>
          </w:tcPr>
          <w:p w14:paraId="1C1B85C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13</w:t>
            </w:r>
          </w:p>
        </w:tc>
        <w:tc>
          <w:tcPr>
            <w:tcW w:w="351" w:type="dxa"/>
            <w:tcBorders>
              <w:top w:val="nil"/>
              <w:left w:val="nil"/>
              <w:bottom w:val="nil"/>
              <w:right w:val="nil"/>
            </w:tcBorders>
            <w:shd w:val="clear" w:color="000000" w:fill="FFFFFF"/>
            <w:noWrap/>
            <w:vAlign w:val="bottom"/>
            <w:hideMark/>
          </w:tcPr>
          <w:p w14:paraId="66E78638"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5B15004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4FB7F61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F688B7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18</w:t>
            </w:r>
          </w:p>
        </w:tc>
        <w:tc>
          <w:tcPr>
            <w:tcW w:w="497" w:type="dxa"/>
            <w:tcBorders>
              <w:top w:val="nil"/>
              <w:left w:val="nil"/>
              <w:bottom w:val="nil"/>
              <w:right w:val="nil"/>
            </w:tcBorders>
            <w:shd w:val="clear" w:color="000000" w:fill="FFFFFF"/>
            <w:noWrap/>
            <w:vAlign w:val="bottom"/>
            <w:hideMark/>
          </w:tcPr>
          <w:p w14:paraId="48BB86D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D3180F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w:t>
            </w:r>
          </w:p>
        </w:tc>
      </w:tr>
      <w:tr w:rsidR="00E1298C" w:rsidRPr="00FD3202" w14:paraId="65C8B269"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12E8723C"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7A7315A6"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Aristeidae</w:t>
            </w:r>
          </w:p>
        </w:tc>
        <w:tc>
          <w:tcPr>
            <w:tcW w:w="587" w:type="dxa"/>
            <w:tcBorders>
              <w:top w:val="nil"/>
              <w:left w:val="nil"/>
              <w:bottom w:val="nil"/>
              <w:right w:val="nil"/>
            </w:tcBorders>
            <w:shd w:val="clear" w:color="000000" w:fill="FFFFFF"/>
            <w:noWrap/>
            <w:vAlign w:val="bottom"/>
            <w:hideMark/>
          </w:tcPr>
          <w:p w14:paraId="2C1287C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DF09F1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7314D4A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012E0E1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EDE531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351" w:type="dxa"/>
            <w:tcBorders>
              <w:top w:val="nil"/>
              <w:left w:val="nil"/>
              <w:bottom w:val="nil"/>
              <w:right w:val="nil"/>
            </w:tcBorders>
            <w:shd w:val="clear" w:color="000000" w:fill="FFFFFF"/>
            <w:noWrap/>
            <w:vAlign w:val="bottom"/>
            <w:hideMark/>
          </w:tcPr>
          <w:p w14:paraId="1226FDBE"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7CE1132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1A9852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F671BD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71A3D0A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489B1A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351" w:type="dxa"/>
            <w:tcBorders>
              <w:top w:val="nil"/>
              <w:left w:val="nil"/>
              <w:bottom w:val="nil"/>
              <w:right w:val="nil"/>
            </w:tcBorders>
            <w:shd w:val="clear" w:color="000000" w:fill="FFFFFF"/>
            <w:noWrap/>
            <w:vAlign w:val="bottom"/>
            <w:hideMark/>
          </w:tcPr>
          <w:p w14:paraId="217112AF"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09E6943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121</w:t>
            </w:r>
          </w:p>
        </w:tc>
        <w:tc>
          <w:tcPr>
            <w:tcW w:w="497" w:type="dxa"/>
            <w:tcBorders>
              <w:top w:val="nil"/>
              <w:left w:val="nil"/>
              <w:bottom w:val="nil"/>
              <w:right w:val="nil"/>
            </w:tcBorders>
            <w:shd w:val="clear" w:color="000000" w:fill="FFFFFF"/>
            <w:noWrap/>
            <w:vAlign w:val="bottom"/>
            <w:hideMark/>
          </w:tcPr>
          <w:p w14:paraId="6DD02D1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65E868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14</w:t>
            </w:r>
          </w:p>
        </w:tc>
        <w:tc>
          <w:tcPr>
            <w:tcW w:w="497" w:type="dxa"/>
            <w:tcBorders>
              <w:top w:val="nil"/>
              <w:left w:val="nil"/>
              <w:bottom w:val="nil"/>
              <w:right w:val="nil"/>
            </w:tcBorders>
            <w:shd w:val="clear" w:color="000000" w:fill="FFFFFF"/>
            <w:noWrap/>
            <w:vAlign w:val="bottom"/>
            <w:hideMark/>
          </w:tcPr>
          <w:p w14:paraId="535C95E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13</w:t>
            </w:r>
          </w:p>
        </w:tc>
        <w:tc>
          <w:tcPr>
            <w:tcW w:w="497" w:type="dxa"/>
            <w:tcBorders>
              <w:top w:val="nil"/>
              <w:left w:val="nil"/>
              <w:bottom w:val="nil"/>
              <w:right w:val="nil"/>
            </w:tcBorders>
            <w:shd w:val="clear" w:color="000000" w:fill="FFFFFF"/>
            <w:noWrap/>
            <w:vAlign w:val="bottom"/>
            <w:hideMark/>
          </w:tcPr>
          <w:p w14:paraId="21EEBD9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5EEC366D"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26F0D50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0028664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8E950C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19CC634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1091DC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0CA26073"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5F7152CA"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1981F7C3"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Galatheidae mtps</w:t>
            </w:r>
          </w:p>
        </w:tc>
        <w:tc>
          <w:tcPr>
            <w:tcW w:w="587" w:type="dxa"/>
            <w:tcBorders>
              <w:top w:val="nil"/>
              <w:left w:val="nil"/>
              <w:bottom w:val="nil"/>
              <w:right w:val="nil"/>
            </w:tcBorders>
            <w:shd w:val="clear" w:color="000000" w:fill="FFFFFF"/>
            <w:noWrap/>
            <w:vAlign w:val="bottom"/>
            <w:hideMark/>
          </w:tcPr>
          <w:p w14:paraId="2A0AA84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75E6FE6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39BB190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9BCDAF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3D292E5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6FE4908E"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2E8A919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14FF5CC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397878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073801B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0AA6ACF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374721C7"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3EE7AE2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13</w:t>
            </w:r>
          </w:p>
        </w:tc>
        <w:tc>
          <w:tcPr>
            <w:tcW w:w="497" w:type="dxa"/>
            <w:tcBorders>
              <w:top w:val="nil"/>
              <w:left w:val="nil"/>
              <w:bottom w:val="nil"/>
              <w:right w:val="nil"/>
            </w:tcBorders>
            <w:shd w:val="clear" w:color="000000" w:fill="FFFFFF"/>
            <w:noWrap/>
            <w:vAlign w:val="bottom"/>
            <w:hideMark/>
          </w:tcPr>
          <w:p w14:paraId="5910E65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862293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14</w:t>
            </w:r>
          </w:p>
        </w:tc>
        <w:tc>
          <w:tcPr>
            <w:tcW w:w="497" w:type="dxa"/>
            <w:tcBorders>
              <w:top w:val="nil"/>
              <w:left w:val="nil"/>
              <w:bottom w:val="nil"/>
              <w:right w:val="nil"/>
            </w:tcBorders>
            <w:shd w:val="clear" w:color="000000" w:fill="FFFFFF"/>
            <w:noWrap/>
            <w:vAlign w:val="bottom"/>
            <w:hideMark/>
          </w:tcPr>
          <w:p w14:paraId="68D516D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26</w:t>
            </w:r>
          </w:p>
        </w:tc>
        <w:tc>
          <w:tcPr>
            <w:tcW w:w="497" w:type="dxa"/>
            <w:tcBorders>
              <w:top w:val="nil"/>
              <w:left w:val="nil"/>
              <w:bottom w:val="nil"/>
              <w:right w:val="nil"/>
            </w:tcBorders>
            <w:shd w:val="clear" w:color="000000" w:fill="FFFFFF"/>
            <w:noWrap/>
            <w:vAlign w:val="bottom"/>
            <w:hideMark/>
          </w:tcPr>
          <w:p w14:paraId="51DA6F4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13</w:t>
            </w:r>
          </w:p>
        </w:tc>
        <w:tc>
          <w:tcPr>
            <w:tcW w:w="351" w:type="dxa"/>
            <w:tcBorders>
              <w:top w:val="nil"/>
              <w:left w:val="nil"/>
              <w:bottom w:val="nil"/>
              <w:right w:val="nil"/>
            </w:tcBorders>
            <w:shd w:val="clear" w:color="000000" w:fill="FFFFFF"/>
            <w:noWrap/>
            <w:vAlign w:val="bottom"/>
            <w:hideMark/>
          </w:tcPr>
          <w:p w14:paraId="43EAE415"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253CE0C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B891D3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633CEA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w:t>
            </w:r>
          </w:p>
        </w:tc>
        <w:tc>
          <w:tcPr>
            <w:tcW w:w="497" w:type="dxa"/>
            <w:tcBorders>
              <w:top w:val="nil"/>
              <w:left w:val="nil"/>
              <w:bottom w:val="nil"/>
              <w:right w:val="nil"/>
            </w:tcBorders>
            <w:shd w:val="clear" w:color="000000" w:fill="FFFFFF"/>
            <w:noWrap/>
            <w:vAlign w:val="bottom"/>
            <w:hideMark/>
          </w:tcPr>
          <w:p w14:paraId="4C8AE10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6E7FB5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6E57497F"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4C5ACA75"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5215CA90" w14:textId="6E8C37EE"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Decapoda</w:t>
            </w:r>
            <w:r w:rsidR="000C455D">
              <w:rPr>
                <w:rFonts w:eastAsia="Times New Roman" w:cs="Times New Roman"/>
                <w:color w:val="000000"/>
                <w:kern w:val="0"/>
                <w:sz w:val="20"/>
                <w:szCs w:val="20"/>
                <w:lang w:val="en-GB" w:eastAsia="nl-BE"/>
                <w14:ligatures w14:val="none"/>
              </w:rPr>
              <w:t xml:space="preserve"> </w:t>
            </w:r>
            <w:r w:rsidR="000C455D" w:rsidRPr="0016473F">
              <w:rPr>
                <w:rFonts w:eastAsia="Times New Roman" w:cs="Times New Roman"/>
                <w:i/>
                <w:color w:val="000000"/>
                <w:kern w:val="0"/>
                <w:sz w:val="20"/>
                <w:szCs w:val="20"/>
                <w:lang w:val="en-GB" w:eastAsia="nl-BE"/>
                <w14:ligatures w14:val="none"/>
              </w:rPr>
              <w:t>mtps</w:t>
            </w:r>
          </w:p>
        </w:tc>
        <w:tc>
          <w:tcPr>
            <w:tcW w:w="587" w:type="dxa"/>
            <w:tcBorders>
              <w:top w:val="nil"/>
              <w:left w:val="nil"/>
              <w:bottom w:val="nil"/>
              <w:right w:val="nil"/>
            </w:tcBorders>
            <w:shd w:val="clear" w:color="000000" w:fill="FFFFFF"/>
            <w:noWrap/>
            <w:vAlign w:val="bottom"/>
            <w:hideMark/>
          </w:tcPr>
          <w:p w14:paraId="2908CAE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48</w:t>
            </w:r>
          </w:p>
        </w:tc>
        <w:tc>
          <w:tcPr>
            <w:tcW w:w="586" w:type="dxa"/>
            <w:tcBorders>
              <w:top w:val="nil"/>
              <w:left w:val="nil"/>
              <w:bottom w:val="nil"/>
              <w:right w:val="nil"/>
            </w:tcBorders>
            <w:shd w:val="clear" w:color="000000" w:fill="FFFFFF"/>
            <w:noWrap/>
            <w:vAlign w:val="bottom"/>
            <w:hideMark/>
          </w:tcPr>
          <w:p w14:paraId="515D02E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49</w:t>
            </w:r>
          </w:p>
        </w:tc>
        <w:tc>
          <w:tcPr>
            <w:tcW w:w="586" w:type="dxa"/>
            <w:tcBorders>
              <w:top w:val="nil"/>
              <w:left w:val="nil"/>
              <w:bottom w:val="nil"/>
              <w:right w:val="nil"/>
            </w:tcBorders>
            <w:shd w:val="clear" w:color="000000" w:fill="FFFFFF"/>
            <w:noWrap/>
            <w:vAlign w:val="bottom"/>
            <w:hideMark/>
          </w:tcPr>
          <w:p w14:paraId="7844D22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033ED62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48</w:t>
            </w:r>
          </w:p>
        </w:tc>
        <w:tc>
          <w:tcPr>
            <w:tcW w:w="586" w:type="dxa"/>
            <w:tcBorders>
              <w:top w:val="nil"/>
              <w:left w:val="nil"/>
              <w:bottom w:val="nil"/>
              <w:right w:val="nil"/>
            </w:tcBorders>
            <w:shd w:val="clear" w:color="000000" w:fill="FFFFFF"/>
            <w:noWrap/>
            <w:vAlign w:val="bottom"/>
            <w:hideMark/>
          </w:tcPr>
          <w:p w14:paraId="1CAB0BD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351" w:type="dxa"/>
            <w:tcBorders>
              <w:top w:val="nil"/>
              <w:left w:val="nil"/>
              <w:bottom w:val="nil"/>
              <w:right w:val="nil"/>
            </w:tcBorders>
            <w:shd w:val="clear" w:color="000000" w:fill="FFFFFF"/>
            <w:noWrap/>
            <w:vAlign w:val="bottom"/>
            <w:hideMark/>
          </w:tcPr>
          <w:p w14:paraId="68F2C167"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43F26C0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62719B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5116A4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826EA8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7FF1FF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13</w:t>
            </w:r>
          </w:p>
        </w:tc>
        <w:tc>
          <w:tcPr>
            <w:tcW w:w="351" w:type="dxa"/>
            <w:tcBorders>
              <w:top w:val="nil"/>
              <w:left w:val="nil"/>
              <w:bottom w:val="nil"/>
              <w:right w:val="nil"/>
            </w:tcBorders>
            <w:shd w:val="clear" w:color="000000" w:fill="FFFFFF"/>
            <w:noWrap/>
            <w:vAlign w:val="bottom"/>
            <w:hideMark/>
          </w:tcPr>
          <w:p w14:paraId="517B37E7"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7F1C709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40</w:t>
            </w:r>
          </w:p>
        </w:tc>
        <w:tc>
          <w:tcPr>
            <w:tcW w:w="497" w:type="dxa"/>
            <w:tcBorders>
              <w:top w:val="nil"/>
              <w:left w:val="nil"/>
              <w:bottom w:val="nil"/>
              <w:right w:val="nil"/>
            </w:tcBorders>
            <w:shd w:val="clear" w:color="000000" w:fill="FFFFFF"/>
            <w:noWrap/>
            <w:vAlign w:val="bottom"/>
            <w:hideMark/>
          </w:tcPr>
          <w:p w14:paraId="0117F1E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41</w:t>
            </w:r>
          </w:p>
        </w:tc>
        <w:tc>
          <w:tcPr>
            <w:tcW w:w="497" w:type="dxa"/>
            <w:tcBorders>
              <w:top w:val="nil"/>
              <w:left w:val="nil"/>
              <w:bottom w:val="nil"/>
              <w:right w:val="nil"/>
            </w:tcBorders>
            <w:shd w:val="clear" w:color="000000" w:fill="FFFFFF"/>
            <w:noWrap/>
            <w:vAlign w:val="bottom"/>
            <w:hideMark/>
          </w:tcPr>
          <w:p w14:paraId="0EA7E27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14</w:t>
            </w:r>
          </w:p>
        </w:tc>
        <w:tc>
          <w:tcPr>
            <w:tcW w:w="497" w:type="dxa"/>
            <w:tcBorders>
              <w:top w:val="nil"/>
              <w:left w:val="nil"/>
              <w:bottom w:val="nil"/>
              <w:right w:val="nil"/>
            </w:tcBorders>
            <w:shd w:val="clear" w:color="000000" w:fill="FFFFFF"/>
            <w:noWrap/>
            <w:vAlign w:val="bottom"/>
            <w:hideMark/>
          </w:tcPr>
          <w:p w14:paraId="59A6D36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13</w:t>
            </w:r>
          </w:p>
        </w:tc>
        <w:tc>
          <w:tcPr>
            <w:tcW w:w="497" w:type="dxa"/>
            <w:tcBorders>
              <w:top w:val="nil"/>
              <w:left w:val="nil"/>
              <w:bottom w:val="nil"/>
              <w:right w:val="nil"/>
            </w:tcBorders>
            <w:shd w:val="clear" w:color="000000" w:fill="FFFFFF"/>
            <w:noWrap/>
            <w:vAlign w:val="bottom"/>
            <w:hideMark/>
          </w:tcPr>
          <w:p w14:paraId="70081CC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0244A2B6"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1E22DE6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ABA2D4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3678E7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6D1B31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5CF575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w:t>
            </w:r>
          </w:p>
        </w:tc>
      </w:tr>
      <w:tr w:rsidR="00E1298C" w:rsidRPr="00FD3202" w14:paraId="432D6C25" w14:textId="77777777" w:rsidTr="00E1298C">
        <w:trPr>
          <w:trHeight w:val="300"/>
          <w:jc w:val="center"/>
        </w:trPr>
        <w:tc>
          <w:tcPr>
            <w:tcW w:w="2565" w:type="dxa"/>
            <w:gridSpan w:val="2"/>
            <w:tcBorders>
              <w:top w:val="nil"/>
              <w:left w:val="nil"/>
              <w:bottom w:val="nil"/>
              <w:right w:val="nil"/>
            </w:tcBorders>
            <w:shd w:val="clear" w:color="000000" w:fill="FFFFFF"/>
            <w:noWrap/>
            <w:vAlign w:val="bottom"/>
            <w:hideMark/>
          </w:tcPr>
          <w:p w14:paraId="25AB8E9D"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Echinoidea</w:t>
            </w:r>
          </w:p>
        </w:tc>
        <w:tc>
          <w:tcPr>
            <w:tcW w:w="587" w:type="dxa"/>
            <w:tcBorders>
              <w:top w:val="nil"/>
              <w:left w:val="nil"/>
              <w:bottom w:val="nil"/>
              <w:right w:val="nil"/>
            </w:tcBorders>
            <w:shd w:val="clear" w:color="000000" w:fill="FFFFFF"/>
            <w:noWrap/>
            <w:vAlign w:val="bottom"/>
            <w:hideMark/>
          </w:tcPr>
          <w:p w14:paraId="418AF21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240</w:t>
            </w:r>
          </w:p>
        </w:tc>
        <w:tc>
          <w:tcPr>
            <w:tcW w:w="586" w:type="dxa"/>
            <w:tcBorders>
              <w:top w:val="nil"/>
              <w:left w:val="nil"/>
              <w:bottom w:val="nil"/>
              <w:right w:val="nil"/>
            </w:tcBorders>
            <w:shd w:val="clear" w:color="000000" w:fill="FFFFFF"/>
            <w:noWrap/>
            <w:vAlign w:val="bottom"/>
            <w:hideMark/>
          </w:tcPr>
          <w:p w14:paraId="0A75C95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122</w:t>
            </w:r>
          </w:p>
        </w:tc>
        <w:tc>
          <w:tcPr>
            <w:tcW w:w="586" w:type="dxa"/>
            <w:tcBorders>
              <w:top w:val="nil"/>
              <w:left w:val="nil"/>
              <w:bottom w:val="nil"/>
              <w:right w:val="nil"/>
            </w:tcBorders>
            <w:shd w:val="clear" w:color="000000" w:fill="FFFFFF"/>
            <w:noWrap/>
            <w:vAlign w:val="bottom"/>
            <w:hideMark/>
          </w:tcPr>
          <w:p w14:paraId="63B949B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312</w:t>
            </w:r>
          </w:p>
        </w:tc>
        <w:tc>
          <w:tcPr>
            <w:tcW w:w="586" w:type="dxa"/>
            <w:tcBorders>
              <w:top w:val="nil"/>
              <w:left w:val="nil"/>
              <w:bottom w:val="nil"/>
              <w:right w:val="nil"/>
            </w:tcBorders>
            <w:shd w:val="clear" w:color="000000" w:fill="FFFFFF"/>
            <w:noWrap/>
            <w:vAlign w:val="bottom"/>
            <w:hideMark/>
          </w:tcPr>
          <w:p w14:paraId="564F00F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193</w:t>
            </w:r>
          </w:p>
        </w:tc>
        <w:tc>
          <w:tcPr>
            <w:tcW w:w="586" w:type="dxa"/>
            <w:tcBorders>
              <w:top w:val="nil"/>
              <w:left w:val="nil"/>
              <w:bottom w:val="nil"/>
              <w:right w:val="nil"/>
            </w:tcBorders>
            <w:shd w:val="clear" w:color="000000" w:fill="FFFFFF"/>
            <w:noWrap/>
            <w:vAlign w:val="bottom"/>
            <w:hideMark/>
          </w:tcPr>
          <w:p w14:paraId="2FE623F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191</w:t>
            </w:r>
          </w:p>
        </w:tc>
        <w:tc>
          <w:tcPr>
            <w:tcW w:w="351" w:type="dxa"/>
            <w:tcBorders>
              <w:top w:val="nil"/>
              <w:left w:val="nil"/>
              <w:bottom w:val="nil"/>
              <w:right w:val="nil"/>
            </w:tcBorders>
            <w:shd w:val="clear" w:color="000000" w:fill="FFFFFF"/>
            <w:noWrap/>
            <w:vAlign w:val="bottom"/>
            <w:hideMark/>
          </w:tcPr>
          <w:p w14:paraId="2AFE485E"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782B1A3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49</w:t>
            </w:r>
          </w:p>
        </w:tc>
        <w:tc>
          <w:tcPr>
            <w:tcW w:w="497" w:type="dxa"/>
            <w:tcBorders>
              <w:top w:val="nil"/>
              <w:left w:val="nil"/>
              <w:bottom w:val="nil"/>
              <w:right w:val="nil"/>
            </w:tcBorders>
            <w:shd w:val="clear" w:color="000000" w:fill="FFFFFF"/>
            <w:noWrap/>
            <w:vAlign w:val="bottom"/>
            <w:hideMark/>
          </w:tcPr>
          <w:p w14:paraId="289A52B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94</w:t>
            </w:r>
          </w:p>
        </w:tc>
        <w:tc>
          <w:tcPr>
            <w:tcW w:w="497" w:type="dxa"/>
            <w:tcBorders>
              <w:top w:val="nil"/>
              <w:left w:val="nil"/>
              <w:bottom w:val="nil"/>
              <w:right w:val="nil"/>
            </w:tcBorders>
            <w:shd w:val="clear" w:color="000000" w:fill="FFFFFF"/>
            <w:noWrap/>
            <w:vAlign w:val="bottom"/>
            <w:hideMark/>
          </w:tcPr>
          <w:p w14:paraId="4363943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56</w:t>
            </w:r>
          </w:p>
        </w:tc>
        <w:tc>
          <w:tcPr>
            <w:tcW w:w="497" w:type="dxa"/>
            <w:tcBorders>
              <w:top w:val="nil"/>
              <w:left w:val="nil"/>
              <w:bottom w:val="nil"/>
              <w:right w:val="nil"/>
            </w:tcBorders>
            <w:shd w:val="clear" w:color="000000" w:fill="FFFFFF"/>
            <w:noWrap/>
            <w:vAlign w:val="bottom"/>
            <w:hideMark/>
          </w:tcPr>
          <w:p w14:paraId="5E3AC19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74</w:t>
            </w:r>
          </w:p>
        </w:tc>
        <w:tc>
          <w:tcPr>
            <w:tcW w:w="497" w:type="dxa"/>
            <w:tcBorders>
              <w:top w:val="nil"/>
              <w:left w:val="nil"/>
              <w:bottom w:val="nil"/>
              <w:right w:val="nil"/>
            </w:tcBorders>
            <w:shd w:val="clear" w:color="000000" w:fill="FFFFFF"/>
            <w:noWrap/>
            <w:vAlign w:val="bottom"/>
            <w:hideMark/>
          </w:tcPr>
          <w:p w14:paraId="0F22EC5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63</w:t>
            </w:r>
          </w:p>
        </w:tc>
        <w:tc>
          <w:tcPr>
            <w:tcW w:w="351" w:type="dxa"/>
            <w:tcBorders>
              <w:top w:val="nil"/>
              <w:left w:val="nil"/>
              <w:bottom w:val="nil"/>
              <w:right w:val="nil"/>
            </w:tcBorders>
            <w:shd w:val="clear" w:color="000000" w:fill="FFFFFF"/>
            <w:noWrap/>
            <w:vAlign w:val="bottom"/>
            <w:hideMark/>
          </w:tcPr>
          <w:p w14:paraId="49D0CD6C"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6A65749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648</w:t>
            </w:r>
          </w:p>
        </w:tc>
        <w:tc>
          <w:tcPr>
            <w:tcW w:w="497" w:type="dxa"/>
            <w:tcBorders>
              <w:top w:val="nil"/>
              <w:left w:val="nil"/>
              <w:bottom w:val="nil"/>
              <w:right w:val="nil"/>
            </w:tcBorders>
            <w:shd w:val="clear" w:color="000000" w:fill="FFFFFF"/>
            <w:noWrap/>
            <w:vAlign w:val="bottom"/>
            <w:hideMark/>
          </w:tcPr>
          <w:p w14:paraId="51367BD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505</w:t>
            </w:r>
          </w:p>
        </w:tc>
        <w:tc>
          <w:tcPr>
            <w:tcW w:w="497" w:type="dxa"/>
            <w:tcBorders>
              <w:top w:val="nil"/>
              <w:left w:val="nil"/>
              <w:bottom w:val="nil"/>
              <w:right w:val="nil"/>
            </w:tcBorders>
            <w:shd w:val="clear" w:color="000000" w:fill="FFFFFF"/>
            <w:noWrap/>
            <w:vAlign w:val="bottom"/>
            <w:hideMark/>
          </w:tcPr>
          <w:p w14:paraId="323A407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648</w:t>
            </w:r>
          </w:p>
        </w:tc>
        <w:tc>
          <w:tcPr>
            <w:tcW w:w="497" w:type="dxa"/>
            <w:tcBorders>
              <w:top w:val="nil"/>
              <w:left w:val="nil"/>
              <w:bottom w:val="nil"/>
              <w:right w:val="nil"/>
            </w:tcBorders>
            <w:shd w:val="clear" w:color="000000" w:fill="FFFFFF"/>
            <w:noWrap/>
            <w:vAlign w:val="bottom"/>
            <w:hideMark/>
          </w:tcPr>
          <w:p w14:paraId="7FC8397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687</w:t>
            </w:r>
          </w:p>
        </w:tc>
        <w:tc>
          <w:tcPr>
            <w:tcW w:w="497" w:type="dxa"/>
            <w:tcBorders>
              <w:top w:val="nil"/>
              <w:left w:val="nil"/>
              <w:bottom w:val="nil"/>
              <w:right w:val="nil"/>
            </w:tcBorders>
            <w:shd w:val="clear" w:color="000000" w:fill="FFFFFF"/>
            <w:noWrap/>
            <w:vAlign w:val="bottom"/>
            <w:hideMark/>
          </w:tcPr>
          <w:p w14:paraId="3F51B6C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652</w:t>
            </w:r>
          </w:p>
        </w:tc>
        <w:tc>
          <w:tcPr>
            <w:tcW w:w="351" w:type="dxa"/>
            <w:tcBorders>
              <w:top w:val="nil"/>
              <w:left w:val="nil"/>
              <w:bottom w:val="nil"/>
              <w:right w:val="nil"/>
            </w:tcBorders>
            <w:shd w:val="clear" w:color="000000" w:fill="FFFFFF"/>
            <w:noWrap/>
            <w:vAlign w:val="bottom"/>
            <w:hideMark/>
          </w:tcPr>
          <w:p w14:paraId="3CDE4983"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36B6F02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419</w:t>
            </w:r>
          </w:p>
        </w:tc>
        <w:tc>
          <w:tcPr>
            <w:tcW w:w="497" w:type="dxa"/>
            <w:tcBorders>
              <w:top w:val="nil"/>
              <w:left w:val="nil"/>
              <w:bottom w:val="nil"/>
              <w:right w:val="nil"/>
            </w:tcBorders>
            <w:shd w:val="clear" w:color="000000" w:fill="FFFFFF"/>
            <w:noWrap/>
            <w:vAlign w:val="bottom"/>
            <w:hideMark/>
          </w:tcPr>
          <w:p w14:paraId="232889B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430</w:t>
            </w:r>
          </w:p>
        </w:tc>
        <w:tc>
          <w:tcPr>
            <w:tcW w:w="497" w:type="dxa"/>
            <w:tcBorders>
              <w:top w:val="nil"/>
              <w:left w:val="nil"/>
              <w:bottom w:val="nil"/>
              <w:right w:val="nil"/>
            </w:tcBorders>
            <w:shd w:val="clear" w:color="000000" w:fill="FFFFFF"/>
            <w:noWrap/>
            <w:vAlign w:val="bottom"/>
            <w:hideMark/>
          </w:tcPr>
          <w:p w14:paraId="653756F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551</w:t>
            </w:r>
          </w:p>
        </w:tc>
        <w:tc>
          <w:tcPr>
            <w:tcW w:w="497" w:type="dxa"/>
            <w:tcBorders>
              <w:top w:val="nil"/>
              <w:left w:val="nil"/>
              <w:bottom w:val="nil"/>
              <w:right w:val="nil"/>
            </w:tcBorders>
            <w:shd w:val="clear" w:color="000000" w:fill="FFFFFF"/>
            <w:noWrap/>
            <w:vAlign w:val="bottom"/>
            <w:hideMark/>
          </w:tcPr>
          <w:p w14:paraId="171031C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431</w:t>
            </w:r>
          </w:p>
        </w:tc>
        <w:tc>
          <w:tcPr>
            <w:tcW w:w="497" w:type="dxa"/>
            <w:tcBorders>
              <w:top w:val="nil"/>
              <w:left w:val="nil"/>
              <w:bottom w:val="nil"/>
              <w:right w:val="nil"/>
            </w:tcBorders>
            <w:shd w:val="clear" w:color="000000" w:fill="FFFFFF"/>
            <w:noWrap/>
            <w:vAlign w:val="bottom"/>
            <w:hideMark/>
          </w:tcPr>
          <w:p w14:paraId="63515B6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444</w:t>
            </w:r>
          </w:p>
        </w:tc>
      </w:tr>
      <w:tr w:rsidR="00E1298C" w:rsidRPr="00FD3202" w14:paraId="5EDE53D7"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409A9179"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04CB941F" w14:textId="53761BEB"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Aspidodiadematidae</w:t>
            </w:r>
            <w:r w:rsidR="000C455D">
              <w:rPr>
                <w:rFonts w:eastAsia="Times New Roman" w:cs="Times New Roman"/>
                <w:color w:val="000000"/>
                <w:kern w:val="0"/>
                <w:sz w:val="20"/>
                <w:szCs w:val="20"/>
                <w:lang w:val="en-GB" w:eastAsia="nl-BE"/>
                <w14:ligatures w14:val="none"/>
              </w:rPr>
              <w:t xml:space="preserve"> </w:t>
            </w:r>
            <w:r w:rsidR="000C455D" w:rsidRPr="00170AD7">
              <w:rPr>
                <w:rFonts w:eastAsia="Times New Roman" w:cs="Times New Roman"/>
                <w:i/>
                <w:color w:val="000000"/>
                <w:kern w:val="0"/>
                <w:sz w:val="20"/>
                <w:szCs w:val="20"/>
                <w:lang w:val="en-GB" w:eastAsia="nl-BE"/>
                <w14:ligatures w14:val="none"/>
              </w:rPr>
              <w:t>mtps</w:t>
            </w:r>
          </w:p>
        </w:tc>
        <w:tc>
          <w:tcPr>
            <w:tcW w:w="587" w:type="dxa"/>
            <w:tcBorders>
              <w:top w:val="nil"/>
              <w:left w:val="nil"/>
              <w:bottom w:val="nil"/>
              <w:right w:val="nil"/>
            </w:tcBorders>
            <w:shd w:val="clear" w:color="000000" w:fill="FFFFFF"/>
            <w:noWrap/>
            <w:vAlign w:val="bottom"/>
            <w:hideMark/>
          </w:tcPr>
          <w:p w14:paraId="10FE0F7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240</w:t>
            </w:r>
          </w:p>
        </w:tc>
        <w:tc>
          <w:tcPr>
            <w:tcW w:w="586" w:type="dxa"/>
            <w:tcBorders>
              <w:top w:val="nil"/>
              <w:left w:val="nil"/>
              <w:bottom w:val="nil"/>
              <w:right w:val="nil"/>
            </w:tcBorders>
            <w:shd w:val="clear" w:color="000000" w:fill="FFFFFF"/>
            <w:noWrap/>
            <w:vAlign w:val="bottom"/>
            <w:hideMark/>
          </w:tcPr>
          <w:p w14:paraId="7DA4873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122</w:t>
            </w:r>
          </w:p>
        </w:tc>
        <w:tc>
          <w:tcPr>
            <w:tcW w:w="586" w:type="dxa"/>
            <w:tcBorders>
              <w:top w:val="nil"/>
              <w:left w:val="nil"/>
              <w:bottom w:val="nil"/>
              <w:right w:val="nil"/>
            </w:tcBorders>
            <w:shd w:val="clear" w:color="000000" w:fill="FFFFFF"/>
            <w:noWrap/>
            <w:vAlign w:val="bottom"/>
            <w:hideMark/>
          </w:tcPr>
          <w:p w14:paraId="2BE46F9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312</w:t>
            </w:r>
          </w:p>
        </w:tc>
        <w:tc>
          <w:tcPr>
            <w:tcW w:w="586" w:type="dxa"/>
            <w:tcBorders>
              <w:top w:val="nil"/>
              <w:left w:val="nil"/>
              <w:bottom w:val="nil"/>
              <w:right w:val="nil"/>
            </w:tcBorders>
            <w:shd w:val="clear" w:color="000000" w:fill="FFFFFF"/>
            <w:noWrap/>
            <w:vAlign w:val="bottom"/>
            <w:hideMark/>
          </w:tcPr>
          <w:p w14:paraId="759AFF6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193</w:t>
            </w:r>
          </w:p>
        </w:tc>
        <w:tc>
          <w:tcPr>
            <w:tcW w:w="586" w:type="dxa"/>
            <w:tcBorders>
              <w:top w:val="nil"/>
              <w:left w:val="nil"/>
              <w:bottom w:val="nil"/>
              <w:right w:val="nil"/>
            </w:tcBorders>
            <w:shd w:val="clear" w:color="000000" w:fill="FFFFFF"/>
            <w:noWrap/>
            <w:vAlign w:val="bottom"/>
            <w:hideMark/>
          </w:tcPr>
          <w:p w14:paraId="5644E7A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191</w:t>
            </w:r>
          </w:p>
        </w:tc>
        <w:tc>
          <w:tcPr>
            <w:tcW w:w="351" w:type="dxa"/>
            <w:tcBorders>
              <w:top w:val="nil"/>
              <w:left w:val="nil"/>
              <w:bottom w:val="nil"/>
              <w:right w:val="nil"/>
            </w:tcBorders>
            <w:shd w:val="clear" w:color="000000" w:fill="FFFFFF"/>
            <w:noWrap/>
            <w:vAlign w:val="bottom"/>
            <w:hideMark/>
          </w:tcPr>
          <w:p w14:paraId="2C7919B0"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3CDB4B1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49</w:t>
            </w:r>
          </w:p>
        </w:tc>
        <w:tc>
          <w:tcPr>
            <w:tcW w:w="497" w:type="dxa"/>
            <w:tcBorders>
              <w:top w:val="nil"/>
              <w:left w:val="nil"/>
              <w:bottom w:val="nil"/>
              <w:right w:val="nil"/>
            </w:tcBorders>
            <w:shd w:val="clear" w:color="000000" w:fill="FFFFFF"/>
            <w:noWrap/>
            <w:vAlign w:val="bottom"/>
            <w:hideMark/>
          </w:tcPr>
          <w:p w14:paraId="43DD204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94</w:t>
            </w:r>
          </w:p>
        </w:tc>
        <w:tc>
          <w:tcPr>
            <w:tcW w:w="497" w:type="dxa"/>
            <w:tcBorders>
              <w:top w:val="nil"/>
              <w:left w:val="nil"/>
              <w:bottom w:val="nil"/>
              <w:right w:val="nil"/>
            </w:tcBorders>
            <w:shd w:val="clear" w:color="000000" w:fill="FFFFFF"/>
            <w:noWrap/>
            <w:vAlign w:val="bottom"/>
            <w:hideMark/>
          </w:tcPr>
          <w:p w14:paraId="152D0D7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56</w:t>
            </w:r>
          </w:p>
        </w:tc>
        <w:tc>
          <w:tcPr>
            <w:tcW w:w="497" w:type="dxa"/>
            <w:tcBorders>
              <w:top w:val="nil"/>
              <w:left w:val="nil"/>
              <w:bottom w:val="nil"/>
              <w:right w:val="nil"/>
            </w:tcBorders>
            <w:shd w:val="clear" w:color="000000" w:fill="FFFFFF"/>
            <w:noWrap/>
            <w:vAlign w:val="bottom"/>
            <w:hideMark/>
          </w:tcPr>
          <w:p w14:paraId="7C6AE38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74</w:t>
            </w:r>
          </w:p>
        </w:tc>
        <w:tc>
          <w:tcPr>
            <w:tcW w:w="497" w:type="dxa"/>
            <w:tcBorders>
              <w:top w:val="nil"/>
              <w:left w:val="nil"/>
              <w:bottom w:val="nil"/>
              <w:right w:val="nil"/>
            </w:tcBorders>
            <w:shd w:val="clear" w:color="000000" w:fill="FFFFFF"/>
            <w:noWrap/>
            <w:vAlign w:val="bottom"/>
            <w:hideMark/>
          </w:tcPr>
          <w:p w14:paraId="2BA8771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63</w:t>
            </w:r>
          </w:p>
        </w:tc>
        <w:tc>
          <w:tcPr>
            <w:tcW w:w="351" w:type="dxa"/>
            <w:tcBorders>
              <w:top w:val="nil"/>
              <w:left w:val="nil"/>
              <w:bottom w:val="nil"/>
              <w:right w:val="nil"/>
            </w:tcBorders>
            <w:shd w:val="clear" w:color="000000" w:fill="FFFFFF"/>
            <w:noWrap/>
            <w:vAlign w:val="bottom"/>
            <w:hideMark/>
          </w:tcPr>
          <w:p w14:paraId="78ED38F7"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3FAF61D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648</w:t>
            </w:r>
          </w:p>
        </w:tc>
        <w:tc>
          <w:tcPr>
            <w:tcW w:w="497" w:type="dxa"/>
            <w:tcBorders>
              <w:top w:val="nil"/>
              <w:left w:val="nil"/>
              <w:bottom w:val="nil"/>
              <w:right w:val="nil"/>
            </w:tcBorders>
            <w:shd w:val="clear" w:color="000000" w:fill="FFFFFF"/>
            <w:noWrap/>
            <w:vAlign w:val="bottom"/>
            <w:hideMark/>
          </w:tcPr>
          <w:p w14:paraId="4649C76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505</w:t>
            </w:r>
          </w:p>
        </w:tc>
        <w:tc>
          <w:tcPr>
            <w:tcW w:w="497" w:type="dxa"/>
            <w:tcBorders>
              <w:top w:val="nil"/>
              <w:left w:val="nil"/>
              <w:bottom w:val="nil"/>
              <w:right w:val="nil"/>
            </w:tcBorders>
            <w:shd w:val="clear" w:color="000000" w:fill="FFFFFF"/>
            <w:noWrap/>
            <w:vAlign w:val="bottom"/>
            <w:hideMark/>
          </w:tcPr>
          <w:p w14:paraId="17749BA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648</w:t>
            </w:r>
          </w:p>
        </w:tc>
        <w:tc>
          <w:tcPr>
            <w:tcW w:w="497" w:type="dxa"/>
            <w:tcBorders>
              <w:top w:val="nil"/>
              <w:left w:val="nil"/>
              <w:bottom w:val="nil"/>
              <w:right w:val="nil"/>
            </w:tcBorders>
            <w:shd w:val="clear" w:color="000000" w:fill="FFFFFF"/>
            <w:noWrap/>
            <w:vAlign w:val="bottom"/>
            <w:hideMark/>
          </w:tcPr>
          <w:p w14:paraId="6F83531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687</w:t>
            </w:r>
          </w:p>
        </w:tc>
        <w:tc>
          <w:tcPr>
            <w:tcW w:w="497" w:type="dxa"/>
            <w:tcBorders>
              <w:top w:val="nil"/>
              <w:left w:val="nil"/>
              <w:bottom w:val="nil"/>
              <w:right w:val="nil"/>
            </w:tcBorders>
            <w:shd w:val="clear" w:color="000000" w:fill="FFFFFF"/>
            <w:noWrap/>
            <w:vAlign w:val="bottom"/>
            <w:hideMark/>
          </w:tcPr>
          <w:p w14:paraId="1C169C6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652</w:t>
            </w:r>
          </w:p>
        </w:tc>
        <w:tc>
          <w:tcPr>
            <w:tcW w:w="351" w:type="dxa"/>
            <w:tcBorders>
              <w:top w:val="nil"/>
              <w:left w:val="nil"/>
              <w:bottom w:val="nil"/>
              <w:right w:val="nil"/>
            </w:tcBorders>
            <w:shd w:val="clear" w:color="000000" w:fill="FFFFFF"/>
            <w:noWrap/>
            <w:vAlign w:val="bottom"/>
            <w:hideMark/>
          </w:tcPr>
          <w:p w14:paraId="2A79E99D"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2204049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419</w:t>
            </w:r>
          </w:p>
        </w:tc>
        <w:tc>
          <w:tcPr>
            <w:tcW w:w="497" w:type="dxa"/>
            <w:tcBorders>
              <w:top w:val="nil"/>
              <w:left w:val="nil"/>
              <w:bottom w:val="nil"/>
              <w:right w:val="nil"/>
            </w:tcBorders>
            <w:shd w:val="clear" w:color="000000" w:fill="FFFFFF"/>
            <w:noWrap/>
            <w:vAlign w:val="bottom"/>
            <w:hideMark/>
          </w:tcPr>
          <w:p w14:paraId="0F31564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430</w:t>
            </w:r>
          </w:p>
        </w:tc>
        <w:tc>
          <w:tcPr>
            <w:tcW w:w="497" w:type="dxa"/>
            <w:tcBorders>
              <w:top w:val="nil"/>
              <w:left w:val="nil"/>
              <w:bottom w:val="nil"/>
              <w:right w:val="nil"/>
            </w:tcBorders>
            <w:shd w:val="clear" w:color="000000" w:fill="FFFFFF"/>
            <w:noWrap/>
            <w:vAlign w:val="bottom"/>
            <w:hideMark/>
          </w:tcPr>
          <w:p w14:paraId="72C6819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551</w:t>
            </w:r>
          </w:p>
        </w:tc>
        <w:tc>
          <w:tcPr>
            <w:tcW w:w="497" w:type="dxa"/>
            <w:tcBorders>
              <w:top w:val="nil"/>
              <w:left w:val="nil"/>
              <w:bottom w:val="nil"/>
              <w:right w:val="nil"/>
            </w:tcBorders>
            <w:shd w:val="clear" w:color="000000" w:fill="FFFFFF"/>
            <w:noWrap/>
            <w:vAlign w:val="bottom"/>
            <w:hideMark/>
          </w:tcPr>
          <w:p w14:paraId="4467058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431</w:t>
            </w:r>
          </w:p>
        </w:tc>
        <w:tc>
          <w:tcPr>
            <w:tcW w:w="497" w:type="dxa"/>
            <w:tcBorders>
              <w:top w:val="nil"/>
              <w:left w:val="nil"/>
              <w:bottom w:val="nil"/>
              <w:right w:val="nil"/>
            </w:tcBorders>
            <w:shd w:val="clear" w:color="000000" w:fill="FFFFFF"/>
            <w:noWrap/>
            <w:vAlign w:val="bottom"/>
            <w:hideMark/>
          </w:tcPr>
          <w:p w14:paraId="3F4BED6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444</w:t>
            </w:r>
          </w:p>
        </w:tc>
      </w:tr>
      <w:tr w:rsidR="00E1298C" w:rsidRPr="00FD3202" w14:paraId="7979E8AB" w14:textId="77777777" w:rsidTr="00E1298C">
        <w:trPr>
          <w:trHeight w:val="300"/>
          <w:jc w:val="center"/>
        </w:trPr>
        <w:tc>
          <w:tcPr>
            <w:tcW w:w="2565" w:type="dxa"/>
            <w:gridSpan w:val="2"/>
            <w:tcBorders>
              <w:top w:val="nil"/>
              <w:left w:val="nil"/>
              <w:bottom w:val="nil"/>
              <w:right w:val="nil"/>
            </w:tcBorders>
            <w:shd w:val="clear" w:color="000000" w:fill="FFFFFF"/>
            <w:noWrap/>
            <w:vAlign w:val="bottom"/>
            <w:hideMark/>
          </w:tcPr>
          <w:p w14:paraId="12434263"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Holothuroidea</w:t>
            </w:r>
          </w:p>
        </w:tc>
        <w:tc>
          <w:tcPr>
            <w:tcW w:w="587" w:type="dxa"/>
            <w:tcBorders>
              <w:top w:val="nil"/>
              <w:left w:val="nil"/>
              <w:bottom w:val="nil"/>
              <w:right w:val="nil"/>
            </w:tcBorders>
            <w:shd w:val="clear" w:color="000000" w:fill="FFFFFF"/>
            <w:noWrap/>
            <w:vAlign w:val="bottom"/>
            <w:hideMark/>
          </w:tcPr>
          <w:p w14:paraId="39569D4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4ADD0B1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1CFFE1E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1F892AC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72</w:t>
            </w:r>
          </w:p>
        </w:tc>
        <w:tc>
          <w:tcPr>
            <w:tcW w:w="586" w:type="dxa"/>
            <w:tcBorders>
              <w:top w:val="nil"/>
              <w:left w:val="nil"/>
              <w:bottom w:val="nil"/>
              <w:right w:val="nil"/>
            </w:tcBorders>
            <w:shd w:val="clear" w:color="000000" w:fill="FFFFFF"/>
            <w:noWrap/>
            <w:vAlign w:val="bottom"/>
            <w:hideMark/>
          </w:tcPr>
          <w:p w14:paraId="6C3A534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95</w:t>
            </w:r>
          </w:p>
        </w:tc>
        <w:tc>
          <w:tcPr>
            <w:tcW w:w="351" w:type="dxa"/>
            <w:tcBorders>
              <w:top w:val="nil"/>
              <w:left w:val="nil"/>
              <w:bottom w:val="nil"/>
              <w:right w:val="nil"/>
            </w:tcBorders>
            <w:shd w:val="clear" w:color="000000" w:fill="FFFFFF"/>
            <w:noWrap/>
            <w:vAlign w:val="bottom"/>
            <w:hideMark/>
          </w:tcPr>
          <w:p w14:paraId="1498CB58"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44BDA3A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43</w:t>
            </w:r>
          </w:p>
        </w:tc>
        <w:tc>
          <w:tcPr>
            <w:tcW w:w="497" w:type="dxa"/>
            <w:tcBorders>
              <w:top w:val="nil"/>
              <w:left w:val="nil"/>
              <w:bottom w:val="nil"/>
              <w:right w:val="nil"/>
            </w:tcBorders>
            <w:shd w:val="clear" w:color="000000" w:fill="FFFFFF"/>
            <w:noWrap/>
            <w:vAlign w:val="bottom"/>
            <w:hideMark/>
          </w:tcPr>
          <w:p w14:paraId="3A3BBF0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38</w:t>
            </w:r>
          </w:p>
        </w:tc>
        <w:tc>
          <w:tcPr>
            <w:tcW w:w="497" w:type="dxa"/>
            <w:tcBorders>
              <w:top w:val="nil"/>
              <w:left w:val="nil"/>
              <w:bottom w:val="nil"/>
              <w:right w:val="nil"/>
            </w:tcBorders>
            <w:shd w:val="clear" w:color="000000" w:fill="FFFFFF"/>
            <w:noWrap/>
            <w:vAlign w:val="bottom"/>
            <w:hideMark/>
          </w:tcPr>
          <w:p w14:paraId="211BE0A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43</w:t>
            </w:r>
          </w:p>
        </w:tc>
        <w:tc>
          <w:tcPr>
            <w:tcW w:w="497" w:type="dxa"/>
            <w:tcBorders>
              <w:top w:val="nil"/>
              <w:left w:val="nil"/>
              <w:bottom w:val="nil"/>
              <w:right w:val="nil"/>
            </w:tcBorders>
            <w:shd w:val="clear" w:color="000000" w:fill="FFFFFF"/>
            <w:noWrap/>
            <w:vAlign w:val="bottom"/>
            <w:hideMark/>
          </w:tcPr>
          <w:p w14:paraId="45857B1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74</w:t>
            </w:r>
          </w:p>
        </w:tc>
        <w:tc>
          <w:tcPr>
            <w:tcW w:w="497" w:type="dxa"/>
            <w:tcBorders>
              <w:top w:val="nil"/>
              <w:left w:val="nil"/>
              <w:bottom w:val="nil"/>
              <w:right w:val="nil"/>
            </w:tcBorders>
            <w:shd w:val="clear" w:color="000000" w:fill="FFFFFF"/>
            <w:noWrap/>
            <w:vAlign w:val="bottom"/>
            <w:hideMark/>
          </w:tcPr>
          <w:p w14:paraId="2CCF41A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44</w:t>
            </w:r>
          </w:p>
        </w:tc>
        <w:tc>
          <w:tcPr>
            <w:tcW w:w="351" w:type="dxa"/>
            <w:tcBorders>
              <w:top w:val="nil"/>
              <w:left w:val="nil"/>
              <w:bottom w:val="nil"/>
              <w:right w:val="nil"/>
            </w:tcBorders>
            <w:shd w:val="clear" w:color="000000" w:fill="FFFFFF"/>
            <w:noWrap/>
            <w:vAlign w:val="bottom"/>
            <w:hideMark/>
          </w:tcPr>
          <w:p w14:paraId="26173F0C"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64DA87D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40</w:t>
            </w:r>
          </w:p>
        </w:tc>
        <w:tc>
          <w:tcPr>
            <w:tcW w:w="497" w:type="dxa"/>
            <w:tcBorders>
              <w:top w:val="nil"/>
              <w:left w:val="nil"/>
              <w:bottom w:val="nil"/>
              <w:right w:val="nil"/>
            </w:tcBorders>
            <w:shd w:val="clear" w:color="000000" w:fill="FFFFFF"/>
            <w:noWrap/>
            <w:vAlign w:val="bottom"/>
            <w:hideMark/>
          </w:tcPr>
          <w:p w14:paraId="2E9A7D8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55</w:t>
            </w:r>
          </w:p>
        </w:tc>
        <w:tc>
          <w:tcPr>
            <w:tcW w:w="497" w:type="dxa"/>
            <w:tcBorders>
              <w:top w:val="nil"/>
              <w:left w:val="nil"/>
              <w:bottom w:val="nil"/>
              <w:right w:val="nil"/>
            </w:tcBorders>
            <w:shd w:val="clear" w:color="000000" w:fill="FFFFFF"/>
            <w:noWrap/>
            <w:vAlign w:val="bottom"/>
            <w:hideMark/>
          </w:tcPr>
          <w:p w14:paraId="77CE7AE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74D1DF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66</w:t>
            </w:r>
          </w:p>
        </w:tc>
        <w:tc>
          <w:tcPr>
            <w:tcW w:w="497" w:type="dxa"/>
            <w:tcBorders>
              <w:top w:val="nil"/>
              <w:left w:val="nil"/>
              <w:bottom w:val="nil"/>
              <w:right w:val="nil"/>
            </w:tcBorders>
            <w:shd w:val="clear" w:color="000000" w:fill="FFFFFF"/>
            <w:noWrap/>
            <w:vAlign w:val="bottom"/>
            <w:hideMark/>
          </w:tcPr>
          <w:p w14:paraId="7482B1D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51</w:t>
            </w:r>
          </w:p>
        </w:tc>
        <w:tc>
          <w:tcPr>
            <w:tcW w:w="351" w:type="dxa"/>
            <w:tcBorders>
              <w:top w:val="nil"/>
              <w:left w:val="nil"/>
              <w:bottom w:val="nil"/>
              <w:right w:val="nil"/>
            </w:tcBorders>
            <w:shd w:val="clear" w:color="000000" w:fill="FFFFFF"/>
            <w:noWrap/>
            <w:vAlign w:val="bottom"/>
            <w:hideMark/>
          </w:tcPr>
          <w:p w14:paraId="54ED78A5"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353A2F6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18</w:t>
            </w:r>
          </w:p>
        </w:tc>
        <w:tc>
          <w:tcPr>
            <w:tcW w:w="497" w:type="dxa"/>
            <w:tcBorders>
              <w:top w:val="nil"/>
              <w:left w:val="nil"/>
              <w:bottom w:val="nil"/>
              <w:right w:val="nil"/>
            </w:tcBorders>
            <w:shd w:val="clear" w:color="000000" w:fill="FFFFFF"/>
            <w:noWrap/>
            <w:vAlign w:val="bottom"/>
            <w:hideMark/>
          </w:tcPr>
          <w:p w14:paraId="1438632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37</w:t>
            </w:r>
          </w:p>
        </w:tc>
        <w:tc>
          <w:tcPr>
            <w:tcW w:w="497" w:type="dxa"/>
            <w:tcBorders>
              <w:top w:val="nil"/>
              <w:left w:val="nil"/>
              <w:bottom w:val="nil"/>
              <w:right w:val="nil"/>
            </w:tcBorders>
            <w:shd w:val="clear" w:color="000000" w:fill="FFFFFF"/>
            <w:noWrap/>
            <w:vAlign w:val="bottom"/>
            <w:hideMark/>
          </w:tcPr>
          <w:p w14:paraId="523F6FA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91</w:t>
            </w:r>
          </w:p>
        </w:tc>
        <w:tc>
          <w:tcPr>
            <w:tcW w:w="497" w:type="dxa"/>
            <w:tcBorders>
              <w:top w:val="nil"/>
              <w:left w:val="nil"/>
              <w:bottom w:val="nil"/>
              <w:right w:val="nil"/>
            </w:tcBorders>
            <w:shd w:val="clear" w:color="000000" w:fill="FFFFFF"/>
            <w:noWrap/>
            <w:vAlign w:val="bottom"/>
            <w:hideMark/>
          </w:tcPr>
          <w:p w14:paraId="66AB603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23</w:t>
            </w:r>
          </w:p>
        </w:tc>
        <w:tc>
          <w:tcPr>
            <w:tcW w:w="497" w:type="dxa"/>
            <w:tcBorders>
              <w:top w:val="nil"/>
              <w:left w:val="nil"/>
              <w:bottom w:val="nil"/>
              <w:right w:val="nil"/>
            </w:tcBorders>
            <w:shd w:val="clear" w:color="000000" w:fill="FFFFFF"/>
            <w:noWrap/>
            <w:vAlign w:val="bottom"/>
            <w:hideMark/>
          </w:tcPr>
          <w:p w14:paraId="5797E6B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71</w:t>
            </w:r>
          </w:p>
        </w:tc>
      </w:tr>
      <w:tr w:rsidR="00E1298C" w:rsidRPr="00FD3202" w14:paraId="1B7DBE1E"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54DFD631"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2A28E933"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Benthodytes</w:t>
            </w:r>
          </w:p>
        </w:tc>
        <w:tc>
          <w:tcPr>
            <w:tcW w:w="587" w:type="dxa"/>
            <w:tcBorders>
              <w:top w:val="nil"/>
              <w:left w:val="nil"/>
              <w:bottom w:val="nil"/>
              <w:right w:val="nil"/>
            </w:tcBorders>
            <w:shd w:val="clear" w:color="000000" w:fill="FFFFFF"/>
            <w:noWrap/>
            <w:vAlign w:val="bottom"/>
            <w:hideMark/>
          </w:tcPr>
          <w:p w14:paraId="7E87035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1C99360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3CBB187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70A575B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16A22FC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670F7241"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569F11B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F7754C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FFB173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EB6DED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890B97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23283418"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58634E1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4B7AC3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557588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2EB3D7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5A271B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53F292F6"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1BFCDAC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E6113D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D426D3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8643EC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8C93ED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r>
      <w:tr w:rsidR="00E1298C" w:rsidRPr="00FD3202" w14:paraId="36CFC7AA"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41F334DA"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2A3F72A0"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Double velum mtps</w:t>
            </w:r>
          </w:p>
        </w:tc>
        <w:tc>
          <w:tcPr>
            <w:tcW w:w="587" w:type="dxa"/>
            <w:tcBorders>
              <w:top w:val="nil"/>
              <w:left w:val="nil"/>
              <w:bottom w:val="nil"/>
              <w:right w:val="nil"/>
            </w:tcBorders>
            <w:shd w:val="clear" w:color="000000" w:fill="FFFFFF"/>
            <w:noWrap/>
            <w:vAlign w:val="bottom"/>
            <w:hideMark/>
          </w:tcPr>
          <w:p w14:paraId="5F1D3F6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00159BF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80C6AB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6F675D4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6B724FF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48</w:t>
            </w:r>
          </w:p>
        </w:tc>
        <w:tc>
          <w:tcPr>
            <w:tcW w:w="351" w:type="dxa"/>
            <w:tcBorders>
              <w:top w:val="nil"/>
              <w:left w:val="nil"/>
              <w:bottom w:val="nil"/>
              <w:right w:val="nil"/>
            </w:tcBorders>
            <w:shd w:val="clear" w:color="000000" w:fill="FFFFFF"/>
            <w:noWrap/>
            <w:vAlign w:val="bottom"/>
            <w:hideMark/>
          </w:tcPr>
          <w:p w14:paraId="1B73D65C"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45F3507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26335F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531AB9F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35D4C7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D4C38B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2029A8FE"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7944D55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0B945D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EBA38C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921100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471697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1DE7AA30"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5B78B08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018202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8954E9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2F5682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BA868F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0675B6DD"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5C2B8904"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0D344A81"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Elpidiidae</w:t>
            </w:r>
          </w:p>
        </w:tc>
        <w:tc>
          <w:tcPr>
            <w:tcW w:w="587" w:type="dxa"/>
            <w:tcBorders>
              <w:top w:val="nil"/>
              <w:left w:val="nil"/>
              <w:bottom w:val="nil"/>
              <w:right w:val="nil"/>
            </w:tcBorders>
            <w:shd w:val="clear" w:color="000000" w:fill="FFFFFF"/>
            <w:noWrap/>
            <w:vAlign w:val="bottom"/>
            <w:hideMark/>
          </w:tcPr>
          <w:p w14:paraId="2A1AE77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652FA23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6F6E0E5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6C28DF9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7716A8D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351" w:type="dxa"/>
            <w:tcBorders>
              <w:top w:val="nil"/>
              <w:left w:val="nil"/>
              <w:bottom w:val="nil"/>
              <w:right w:val="nil"/>
            </w:tcBorders>
            <w:shd w:val="clear" w:color="000000" w:fill="FFFFFF"/>
            <w:noWrap/>
            <w:vAlign w:val="bottom"/>
            <w:hideMark/>
          </w:tcPr>
          <w:p w14:paraId="3B589CEB"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5188C89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07847EA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0FAD9A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w:t>
            </w:r>
          </w:p>
        </w:tc>
        <w:tc>
          <w:tcPr>
            <w:tcW w:w="497" w:type="dxa"/>
            <w:tcBorders>
              <w:top w:val="nil"/>
              <w:left w:val="nil"/>
              <w:bottom w:val="nil"/>
              <w:right w:val="nil"/>
            </w:tcBorders>
            <w:shd w:val="clear" w:color="000000" w:fill="FFFFFF"/>
            <w:noWrap/>
            <w:vAlign w:val="bottom"/>
            <w:hideMark/>
          </w:tcPr>
          <w:p w14:paraId="327CBC7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65761D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11528D48"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2702B62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E13F74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F0310B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3A57B8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E818AB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0AB46F8C"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4727FD2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427192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AFCED8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430E6E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317E33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12B0A535"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6CF500FE"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lastRenderedPageBreak/>
              <w:t> </w:t>
            </w:r>
          </w:p>
        </w:tc>
        <w:tc>
          <w:tcPr>
            <w:tcW w:w="2379" w:type="dxa"/>
            <w:tcBorders>
              <w:top w:val="nil"/>
              <w:left w:val="nil"/>
              <w:bottom w:val="nil"/>
              <w:right w:val="nil"/>
            </w:tcBorders>
            <w:shd w:val="clear" w:color="000000" w:fill="FFFFFF"/>
            <w:noWrap/>
            <w:vAlign w:val="bottom"/>
            <w:hideMark/>
          </w:tcPr>
          <w:p w14:paraId="0E33FFC5" w14:textId="577BBADE"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Holothuroidea</w:t>
            </w:r>
            <w:r w:rsidR="000C455D">
              <w:rPr>
                <w:rFonts w:eastAsia="Times New Roman" w:cs="Times New Roman"/>
                <w:color w:val="000000"/>
                <w:kern w:val="0"/>
                <w:sz w:val="20"/>
                <w:szCs w:val="20"/>
                <w:lang w:val="en-GB" w:eastAsia="nl-BE"/>
                <w14:ligatures w14:val="none"/>
              </w:rPr>
              <w:t xml:space="preserve"> </w:t>
            </w:r>
            <w:r w:rsidR="000C455D" w:rsidRPr="0016473F">
              <w:rPr>
                <w:rFonts w:eastAsia="Times New Roman" w:cs="Times New Roman"/>
                <w:i/>
                <w:color w:val="000000"/>
                <w:kern w:val="0"/>
                <w:sz w:val="20"/>
                <w:szCs w:val="20"/>
                <w:lang w:val="en-GB" w:eastAsia="nl-BE"/>
                <w14:ligatures w14:val="none"/>
              </w:rPr>
              <w:t>mtps</w:t>
            </w:r>
          </w:p>
        </w:tc>
        <w:tc>
          <w:tcPr>
            <w:tcW w:w="587" w:type="dxa"/>
            <w:tcBorders>
              <w:top w:val="nil"/>
              <w:left w:val="nil"/>
              <w:bottom w:val="nil"/>
              <w:right w:val="nil"/>
            </w:tcBorders>
            <w:shd w:val="clear" w:color="000000" w:fill="FFFFFF"/>
            <w:noWrap/>
            <w:vAlign w:val="bottom"/>
            <w:hideMark/>
          </w:tcPr>
          <w:p w14:paraId="7BE7E6D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0A8F510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372500E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21A0FCC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72</w:t>
            </w:r>
          </w:p>
        </w:tc>
        <w:tc>
          <w:tcPr>
            <w:tcW w:w="586" w:type="dxa"/>
            <w:tcBorders>
              <w:top w:val="nil"/>
              <w:left w:val="nil"/>
              <w:bottom w:val="nil"/>
              <w:right w:val="nil"/>
            </w:tcBorders>
            <w:shd w:val="clear" w:color="000000" w:fill="FFFFFF"/>
            <w:noWrap/>
            <w:vAlign w:val="bottom"/>
            <w:hideMark/>
          </w:tcPr>
          <w:p w14:paraId="380D599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351" w:type="dxa"/>
            <w:tcBorders>
              <w:top w:val="nil"/>
              <w:left w:val="nil"/>
              <w:bottom w:val="nil"/>
              <w:right w:val="nil"/>
            </w:tcBorders>
            <w:shd w:val="clear" w:color="000000" w:fill="FFFFFF"/>
            <w:noWrap/>
            <w:vAlign w:val="bottom"/>
            <w:hideMark/>
          </w:tcPr>
          <w:p w14:paraId="7333021E"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06E53A4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31</w:t>
            </w:r>
          </w:p>
        </w:tc>
        <w:tc>
          <w:tcPr>
            <w:tcW w:w="497" w:type="dxa"/>
            <w:tcBorders>
              <w:top w:val="nil"/>
              <w:left w:val="nil"/>
              <w:bottom w:val="nil"/>
              <w:right w:val="nil"/>
            </w:tcBorders>
            <w:shd w:val="clear" w:color="000000" w:fill="FFFFFF"/>
            <w:noWrap/>
            <w:vAlign w:val="bottom"/>
            <w:hideMark/>
          </w:tcPr>
          <w:p w14:paraId="22FA6A2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31</w:t>
            </w:r>
          </w:p>
        </w:tc>
        <w:tc>
          <w:tcPr>
            <w:tcW w:w="497" w:type="dxa"/>
            <w:tcBorders>
              <w:top w:val="nil"/>
              <w:left w:val="nil"/>
              <w:bottom w:val="nil"/>
              <w:right w:val="nil"/>
            </w:tcBorders>
            <w:shd w:val="clear" w:color="000000" w:fill="FFFFFF"/>
            <w:noWrap/>
            <w:vAlign w:val="bottom"/>
            <w:hideMark/>
          </w:tcPr>
          <w:p w14:paraId="7BC6126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31</w:t>
            </w:r>
          </w:p>
        </w:tc>
        <w:tc>
          <w:tcPr>
            <w:tcW w:w="497" w:type="dxa"/>
            <w:tcBorders>
              <w:top w:val="nil"/>
              <w:left w:val="nil"/>
              <w:bottom w:val="nil"/>
              <w:right w:val="nil"/>
            </w:tcBorders>
            <w:shd w:val="clear" w:color="000000" w:fill="FFFFFF"/>
            <w:noWrap/>
            <w:vAlign w:val="bottom"/>
            <w:hideMark/>
          </w:tcPr>
          <w:p w14:paraId="78BD163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68</w:t>
            </w:r>
          </w:p>
        </w:tc>
        <w:tc>
          <w:tcPr>
            <w:tcW w:w="497" w:type="dxa"/>
            <w:tcBorders>
              <w:top w:val="nil"/>
              <w:left w:val="nil"/>
              <w:bottom w:val="nil"/>
              <w:right w:val="nil"/>
            </w:tcBorders>
            <w:shd w:val="clear" w:color="000000" w:fill="FFFFFF"/>
            <w:noWrap/>
            <w:vAlign w:val="bottom"/>
            <w:hideMark/>
          </w:tcPr>
          <w:p w14:paraId="090B291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38</w:t>
            </w:r>
          </w:p>
        </w:tc>
        <w:tc>
          <w:tcPr>
            <w:tcW w:w="351" w:type="dxa"/>
            <w:tcBorders>
              <w:top w:val="nil"/>
              <w:left w:val="nil"/>
              <w:bottom w:val="nil"/>
              <w:right w:val="nil"/>
            </w:tcBorders>
            <w:shd w:val="clear" w:color="000000" w:fill="FFFFFF"/>
            <w:noWrap/>
            <w:vAlign w:val="bottom"/>
            <w:hideMark/>
          </w:tcPr>
          <w:p w14:paraId="0C34CFE5"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61184AE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40</w:t>
            </w:r>
          </w:p>
        </w:tc>
        <w:tc>
          <w:tcPr>
            <w:tcW w:w="497" w:type="dxa"/>
            <w:tcBorders>
              <w:top w:val="nil"/>
              <w:left w:val="nil"/>
              <w:bottom w:val="nil"/>
              <w:right w:val="nil"/>
            </w:tcBorders>
            <w:shd w:val="clear" w:color="000000" w:fill="FFFFFF"/>
            <w:noWrap/>
            <w:vAlign w:val="bottom"/>
            <w:hideMark/>
          </w:tcPr>
          <w:p w14:paraId="7BFF2B8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55</w:t>
            </w:r>
          </w:p>
        </w:tc>
        <w:tc>
          <w:tcPr>
            <w:tcW w:w="497" w:type="dxa"/>
            <w:tcBorders>
              <w:top w:val="nil"/>
              <w:left w:val="nil"/>
              <w:bottom w:val="nil"/>
              <w:right w:val="nil"/>
            </w:tcBorders>
            <w:shd w:val="clear" w:color="000000" w:fill="FFFFFF"/>
            <w:noWrap/>
            <w:vAlign w:val="bottom"/>
            <w:hideMark/>
          </w:tcPr>
          <w:p w14:paraId="0736CF0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CB16E3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66</w:t>
            </w:r>
          </w:p>
        </w:tc>
        <w:tc>
          <w:tcPr>
            <w:tcW w:w="497" w:type="dxa"/>
            <w:tcBorders>
              <w:top w:val="nil"/>
              <w:left w:val="nil"/>
              <w:bottom w:val="nil"/>
              <w:right w:val="nil"/>
            </w:tcBorders>
            <w:shd w:val="clear" w:color="000000" w:fill="FFFFFF"/>
            <w:noWrap/>
            <w:vAlign w:val="bottom"/>
            <w:hideMark/>
          </w:tcPr>
          <w:p w14:paraId="1DDD83E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51</w:t>
            </w:r>
          </w:p>
        </w:tc>
        <w:tc>
          <w:tcPr>
            <w:tcW w:w="351" w:type="dxa"/>
            <w:tcBorders>
              <w:top w:val="nil"/>
              <w:left w:val="nil"/>
              <w:bottom w:val="nil"/>
              <w:right w:val="nil"/>
            </w:tcBorders>
            <w:shd w:val="clear" w:color="000000" w:fill="FFFFFF"/>
            <w:noWrap/>
            <w:vAlign w:val="bottom"/>
            <w:hideMark/>
          </w:tcPr>
          <w:p w14:paraId="5619110C"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1AAFF00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w:t>
            </w:r>
          </w:p>
        </w:tc>
        <w:tc>
          <w:tcPr>
            <w:tcW w:w="497" w:type="dxa"/>
            <w:tcBorders>
              <w:top w:val="nil"/>
              <w:left w:val="nil"/>
              <w:bottom w:val="nil"/>
              <w:right w:val="nil"/>
            </w:tcBorders>
            <w:shd w:val="clear" w:color="000000" w:fill="FFFFFF"/>
            <w:noWrap/>
            <w:vAlign w:val="bottom"/>
            <w:hideMark/>
          </w:tcPr>
          <w:p w14:paraId="6A98CB6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37</w:t>
            </w:r>
          </w:p>
        </w:tc>
        <w:tc>
          <w:tcPr>
            <w:tcW w:w="497" w:type="dxa"/>
            <w:tcBorders>
              <w:top w:val="nil"/>
              <w:left w:val="nil"/>
              <w:bottom w:val="nil"/>
              <w:right w:val="nil"/>
            </w:tcBorders>
            <w:shd w:val="clear" w:color="000000" w:fill="FFFFFF"/>
            <w:noWrap/>
            <w:vAlign w:val="bottom"/>
            <w:hideMark/>
          </w:tcPr>
          <w:p w14:paraId="02C046D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67</w:t>
            </w:r>
          </w:p>
        </w:tc>
        <w:tc>
          <w:tcPr>
            <w:tcW w:w="497" w:type="dxa"/>
            <w:tcBorders>
              <w:top w:val="nil"/>
              <w:left w:val="nil"/>
              <w:bottom w:val="nil"/>
              <w:right w:val="nil"/>
            </w:tcBorders>
            <w:shd w:val="clear" w:color="000000" w:fill="FFFFFF"/>
            <w:noWrap/>
            <w:vAlign w:val="bottom"/>
            <w:hideMark/>
          </w:tcPr>
          <w:p w14:paraId="2569D1A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17</w:t>
            </w:r>
          </w:p>
        </w:tc>
        <w:tc>
          <w:tcPr>
            <w:tcW w:w="497" w:type="dxa"/>
            <w:tcBorders>
              <w:top w:val="nil"/>
              <w:left w:val="nil"/>
              <w:bottom w:val="nil"/>
              <w:right w:val="nil"/>
            </w:tcBorders>
            <w:shd w:val="clear" w:color="000000" w:fill="FFFFFF"/>
            <w:noWrap/>
            <w:vAlign w:val="bottom"/>
            <w:hideMark/>
          </w:tcPr>
          <w:p w14:paraId="679D256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59</w:t>
            </w:r>
          </w:p>
        </w:tc>
      </w:tr>
      <w:tr w:rsidR="00E1298C" w:rsidRPr="00FD3202" w14:paraId="3809D712"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1DBE8BFE"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320D496B" w14:textId="77777777" w:rsidR="00E1298C" w:rsidRPr="00FD3202" w:rsidRDefault="00E1298C" w:rsidP="00E1298C">
            <w:pPr>
              <w:spacing w:after="0" w:line="240" w:lineRule="auto"/>
              <w:jc w:val="left"/>
              <w:rPr>
                <w:rFonts w:eastAsia="Times New Roman" w:cs="Times New Roman"/>
                <w:i/>
                <w:iCs/>
                <w:color w:val="000000"/>
                <w:kern w:val="0"/>
                <w:sz w:val="20"/>
                <w:szCs w:val="20"/>
                <w:lang w:val="en-GB" w:eastAsia="nl-BE"/>
                <w14:ligatures w14:val="none"/>
              </w:rPr>
            </w:pPr>
            <w:r w:rsidRPr="00FD3202">
              <w:rPr>
                <w:rFonts w:eastAsia="Times New Roman" w:cs="Times New Roman"/>
                <w:i/>
                <w:iCs/>
                <w:color w:val="000000"/>
                <w:kern w:val="0"/>
                <w:sz w:val="20"/>
                <w:szCs w:val="20"/>
                <w:lang w:val="en-GB" w:eastAsia="nl-BE"/>
                <w14:ligatures w14:val="none"/>
              </w:rPr>
              <w:t>Paelopatides sp</w:t>
            </w:r>
          </w:p>
        </w:tc>
        <w:tc>
          <w:tcPr>
            <w:tcW w:w="587" w:type="dxa"/>
            <w:tcBorders>
              <w:top w:val="nil"/>
              <w:left w:val="nil"/>
              <w:bottom w:val="nil"/>
              <w:right w:val="nil"/>
            </w:tcBorders>
            <w:shd w:val="clear" w:color="000000" w:fill="FFFFFF"/>
            <w:noWrap/>
            <w:vAlign w:val="bottom"/>
            <w:hideMark/>
          </w:tcPr>
          <w:p w14:paraId="42C665E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04085E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65D6B6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8EDED4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3AB5036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4D515ABE"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4513055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5BFA32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3E402B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D49DD2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5B53E5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6525531D"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63F272A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7243DF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469FE6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1518EC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0E0698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4C3C2638"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3A93209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955159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029530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C6367A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2C8CFE7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0DAD2BB4"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6C8C92D8"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67EA6958" w14:textId="77777777" w:rsidR="00E1298C" w:rsidRPr="00FD217E" w:rsidRDefault="00E1298C" w:rsidP="00E1298C">
            <w:pPr>
              <w:spacing w:after="0" w:line="240" w:lineRule="auto"/>
              <w:jc w:val="left"/>
              <w:rPr>
                <w:rFonts w:eastAsia="Times New Roman" w:cs="Times New Roman"/>
                <w:i/>
                <w:color w:val="000000"/>
                <w:kern w:val="0"/>
                <w:sz w:val="20"/>
                <w:szCs w:val="20"/>
                <w:lang w:val="en-GB" w:eastAsia="nl-BE"/>
                <w14:ligatures w14:val="none"/>
              </w:rPr>
            </w:pPr>
            <w:r w:rsidRPr="00FD217E">
              <w:rPr>
                <w:rFonts w:eastAsia="Times New Roman" w:cs="Times New Roman"/>
                <w:i/>
                <w:color w:val="000000"/>
                <w:kern w:val="0"/>
                <w:sz w:val="20"/>
                <w:szCs w:val="20"/>
                <w:lang w:val="en-GB" w:eastAsia="nl-BE"/>
                <w14:ligatures w14:val="none"/>
              </w:rPr>
              <w:t>Peniagone leander</w:t>
            </w:r>
          </w:p>
        </w:tc>
        <w:tc>
          <w:tcPr>
            <w:tcW w:w="587" w:type="dxa"/>
            <w:tcBorders>
              <w:top w:val="nil"/>
              <w:left w:val="nil"/>
              <w:bottom w:val="nil"/>
              <w:right w:val="nil"/>
            </w:tcBorders>
            <w:shd w:val="clear" w:color="000000" w:fill="FFFFFF"/>
            <w:noWrap/>
            <w:vAlign w:val="bottom"/>
            <w:hideMark/>
          </w:tcPr>
          <w:p w14:paraId="26D83EF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0F570F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72FA78C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0DF8897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12BD866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0BD9C270"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3C04EBD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3D7CCC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8D7C0F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8119E7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6F8141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0626A0E1"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12F67CE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522875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8AF74F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E2614F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5FE682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0BED4FCC"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2A1AF31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66ED8D9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25E46A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497" w:type="dxa"/>
            <w:tcBorders>
              <w:top w:val="nil"/>
              <w:left w:val="nil"/>
              <w:bottom w:val="nil"/>
              <w:right w:val="nil"/>
            </w:tcBorders>
            <w:shd w:val="clear" w:color="000000" w:fill="FFFFFF"/>
            <w:noWrap/>
            <w:vAlign w:val="bottom"/>
            <w:hideMark/>
          </w:tcPr>
          <w:p w14:paraId="35C867B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440313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r>
      <w:tr w:rsidR="00E1298C" w:rsidRPr="00FD3202" w14:paraId="5484D0C8"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4772639E"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0A648C54" w14:textId="77777777" w:rsidR="00E1298C" w:rsidRPr="00FD3202" w:rsidRDefault="00E1298C" w:rsidP="00E1298C">
            <w:pPr>
              <w:spacing w:after="0" w:line="240" w:lineRule="auto"/>
              <w:jc w:val="left"/>
              <w:rPr>
                <w:rFonts w:eastAsia="Times New Roman" w:cs="Times New Roman"/>
                <w:i/>
                <w:iCs/>
                <w:color w:val="000000"/>
                <w:kern w:val="0"/>
                <w:sz w:val="20"/>
                <w:szCs w:val="20"/>
                <w:lang w:val="en-GB" w:eastAsia="nl-BE"/>
                <w14:ligatures w14:val="none"/>
              </w:rPr>
            </w:pPr>
            <w:r w:rsidRPr="00FD3202">
              <w:rPr>
                <w:rFonts w:eastAsia="Times New Roman" w:cs="Times New Roman"/>
                <w:i/>
                <w:iCs/>
                <w:color w:val="000000"/>
                <w:kern w:val="0"/>
                <w:sz w:val="20"/>
                <w:szCs w:val="20"/>
                <w:lang w:val="en-GB" w:eastAsia="nl-BE"/>
                <w14:ligatures w14:val="none"/>
              </w:rPr>
              <w:t>Psychropotes cf semperiana</w:t>
            </w:r>
          </w:p>
        </w:tc>
        <w:tc>
          <w:tcPr>
            <w:tcW w:w="587" w:type="dxa"/>
            <w:tcBorders>
              <w:top w:val="nil"/>
              <w:left w:val="nil"/>
              <w:bottom w:val="nil"/>
              <w:right w:val="nil"/>
            </w:tcBorders>
            <w:shd w:val="clear" w:color="000000" w:fill="FFFFFF"/>
            <w:noWrap/>
            <w:vAlign w:val="bottom"/>
            <w:hideMark/>
          </w:tcPr>
          <w:p w14:paraId="4E68238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0C27773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611540E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076812E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3EA8C1E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6B23093D"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3A2658F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6C2F62C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0ED59D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C9C562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74A240A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351" w:type="dxa"/>
            <w:tcBorders>
              <w:top w:val="nil"/>
              <w:left w:val="nil"/>
              <w:bottom w:val="nil"/>
              <w:right w:val="nil"/>
            </w:tcBorders>
            <w:shd w:val="clear" w:color="000000" w:fill="FFFFFF"/>
            <w:noWrap/>
            <w:vAlign w:val="bottom"/>
            <w:hideMark/>
          </w:tcPr>
          <w:p w14:paraId="0F96433F"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129E8AF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745558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9F01B2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B4E769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C286D6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45F8D2A4"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75B5C47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93E7F0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D9C87D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914EBF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2AD7C4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44158EE5" w14:textId="77777777" w:rsidTr="00E1298C">
        <w:trPr>
          <w:trHeight w:val="300"/>
          <w:jc w:val="center"/>
        </w:trPr>
        <w:tc>
          <w:tcPr>
            <w:tcW w:w="2565" w:type="dxa"/>
            <w:gridSpan w:val="2"/>
            <w:tcBorders>
              <w:top w:val="nil"/>
              <w:left w:val="nil"/>
              <w:bottom w:val="nil"/>
              <w:right w:val="nil"/>
            </w:tcBorders>
            <w:shd w:val="clear" w:color="000000" w:fill="FFFFFF"/>
            <w:noWrap/>
            <w:vAlign w:val="bottom"/>
            <w:hideMark/>
          </w:tcPr>
          <w:p w14:paraId="064A7C94" w14:textId="0DFE50CB"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Hydrozoa</w:t>
            </w:r>
            <w:r w:rsidR="000C455D">
              <w:rPr>
                <w:rFonts w:eastAsia="Times New Roman" w:cs="Times New Roman"/>
                <w:color w:val="000000"/>
                <w:kern w:val="0"/>
                <w:sz w:val="20"/>
                <w:szCs w:val="20"/>
                <w:lang w:val="en-GB" w:eastAsia="nl-BE"/>
                <w14:ligatures w14:val="none"/>
              </w:rPr>
              <w:t xml:space="preserve"> </w:t>
            </w:r>
            <w:r w:rsidR="000C455D" w:rsidRPr="0016473F">
              <w:rPr>
                <w:rFonts w:eastAsia="Times New Roman" w:cs="Times New Roman"/>
                <w:i/>
                <w:color w:val="000000"/>
                <w:kern w:val="0"/>
                <w:sz w:val="20"/>
                <w:szCs w:val="20"/>
                <w:lang w:val="en-GB" w:eastAsia="nl-BE"/>
                <w14:ligatures w14:val="none"/>
              </w:rPr>
              <w:t>mtps</w:t>
            </w:r>
          </w:p>
        </w:tc>
        <w:tc>
          <w:tcPr>
            <w:tcW w:w="587" w:type="dxa"/>
            <w:tcBorders>
              <w:top w:val="nil"/>
              <w:left w:val="nil"/>
              <w:bottom w:val="nil"/>
              <w:right w:val="nil"/>
            </w:tcBorders>
            <w:shd w:val="clear" w:color="000000" w:fill="FFFFFF"/>
            <w:noWrap/>
            <w:vAlign w:val="bottom"/>
            <w:hideMark/>
          </w:tcPr>
          <w:p w14:paraId="7299DDC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13DF0FD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6F6F631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1F38C40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FC5A27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3BF6086B"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68ADC74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DC23FB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0140CC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C3BF7E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3A2342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50B8ABB1"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579F7D1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C8FBD3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15BC91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93E61D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93BE01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09120ADD"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14376EA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D9D5A4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89E476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B26889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05410C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09D12C67" w14:textId="77777777" w:rsidTr="00E1298C">
        <w:trPr>
          <w:trHeight w:val="300"/>
          <w:jc w:val="center"/>
        </w:trPr>
        <w:tc>
          <w:tcPr>
            <w:tcW w:w="2565" w:type="dxa"/>
            <w:gridSpan w:val="2"/>
            <w:tcBorders>
              <w:top w:val="nil"/>
              <w:left w:val="nil"/>
              <w:bottom w:val="nil"/>
              <w:right w:val="nil"/>
            </w:tcBorders>
            <w:shd w:val="clear" w:color="000000" w:fill="FFFFFF"/>
            <w:noWrap/>
            <w:vAlign w:val="bottom"/>
            <w:hideMark/>
          </w:tcPr>
          <w:p w14:paraId="0A17BBCA"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Mollusca</w:t>
            </w:r>
          </w:p>
        </w:tc>
        <w:tc>
          <w:tcPr>
            <w:tcW w:w="587" w:type="dxa"/>
            <w:tcBorders>
              <w:top w:val="nil"/>
              <w:left w:val="nil"/>
              <w:bottom w:val="nil"/>
              <w:right w:val="nil"/>
            </w:tcBorders>
            <w:shd w:val="clear" w:color="000000" w:fill="FFFFFF"/>
            <w:noWrap/>
            <w:vAlign w:val="bottom"/>
            <w:hideMark/>
          </w:tcPr>
          <w:p w14:paraId="4B8BEAA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1B50FC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2A2C529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01683A6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16953DF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7676D737"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482B3DF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DF450C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0CC5A7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AB704C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A3E608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460A74B6"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1A2C373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D4F35A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14</w:t>
            </w:r>
          </w:p>
        </w:tc>
        <w:tc>
          <w:tcPr>
            <w:tcW w:w="497" w:type="dxa"/>
            <w:tcBorders>
              <w:top w:val="nil"/>
              <w:left w:val="nil"/>
              <w:bottom w:val="nil"/>
              <w:right w:val="nil"/>
            </w:tcBorders>
            <w:shd w:val="clear" w:color="000000" w:fill="FFFFFF"/>
            <w:noWrap/>
            <w:vAlign w:val="bottom"/>
            <w:hideMark/>
          </w:tcPr>
          <w:p w14:paraId="52CA77D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14</w:t>
            </w:r>
          </w:p>
        </w:tc>
        <w:tc>
          <w:tcPr>
            <w:tcW w:w="497" w:type="dxa"/>
            <w:tcBorders>
              <w:top w:val="nil"/>
              <w:left w:val="nil"/>
              <w:bottom w:val="nil"/>
              <w:right w:val="nil"/>
            </w:tcBorders>
            <w:shd w:val="clear" w:color="000000" w:fill="FFFFFF"/>
            <w:noWrap/>
            <w:vAlign w:val="bottom"/>
            <w:hideMark/>
          </w:tcPr>
          <w:p w14:paraId="3C63B4E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13</w:t>
            </w:r>
          </w:p>
        </w:tc>
        <w:tc>
          <w:tcPr>
            <w:tcW w:w="497" w:type="dxa"/>
            <w:tcBorders>
              <w:top w:val="nil"/>
              <w:left w:val="nil"/>
              <w:bottom w:val="nil"/>
              <w:right w:val="nil"/>
            </w:tcBorders>
            <w:shd w:val="clear" w:color="000000" w:fill="FFFFFF"/>
            <w:noWrap/>
            <w:vAlign w:val="bottom"/>
            <w:hideMark/>
          </w:tcPr>
          <w:p w14:paraId="582057F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6BDC5CB9"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7FDE20E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7A186A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AB77FD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CAF7C3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33E586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17D2CDE7"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38A11083"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160338B1"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Bivalvia</w:t>
            </w:r>
          </w:p>
        </w:tc>
        <w:tc>
          <w:tcPr>
            <w:tcW w:w="587" w:type="dxa"/>
            <w:tcBorders>
              <w:top w:val="nil"/>
              <w:left w:val="nil"/>
              <w:bottom w:val="nil"/>
              <w:right w:val="nil"/>
            </w:tcBorders>
            <w:shd w:val="clear" w:color="000000" w:fill="FFFFFF"/>
            <w:noWrap/>
            <w:vAlign w:val="bottom"/>
            <w:hideMark/>
          </w:tcPr>
          <w:p w14:paraId="14A290F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3B9FB26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788B605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15FB1A4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D2B222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5ACB0E22"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3AEA1CD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2626DC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51A522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DCF248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EB8E78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5697A89F"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132CAF8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456D11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14</w:t>
            </w:r>
          </w:p>
        </w:tc>
        <w:tc>
          <w:tcPr>
            <w:tcW w:w="497" w:type="dxa"/>
            <w:tcBorders>
              <w:top w:val="nil"/>
              <w:left w:val="nil"/>
              <w:bottom w:val="nil"/>
              <w:right w:val="nil"/>
            </w:tcBorders>
            <w:shd w:val="clear" w:color="000000" w:fill="FFFFFF"/>
            <w:noWrap/>
            <w:vAlign w:val="bottom"/>
            <w:hideMark/>
          </w:tcPr>
          <w:p w14:paraId="01A053A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14</w:t>
            </w:r>
          </w:p>
        </w:tc>
        <w:tc>
          <w:tcPr>
            <w:tcW w:w="497" w:type="dxa"/>
            <w:tcBorders>
              <w:top w:val="nil"/>
              <w:left w:val="nil"/>
              <w:bottom w:val="nil"/>
              <w:right w:val="nil"/>
            </w:tcBorders>
            <w:shd w:val="clear" w:color="000000" w:fill="FFFFFF"/>
            <w:noWrap/>
            <w:vAlign w:val="bottom"/>
            <w:hideMark/>
          </w:tcPr>
          <w:p w14:paraId="7EB5B72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C41628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136E0CB2"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7FE9C3D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60B956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57073F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61D2D1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85674F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44E1E160"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0D31CF0B"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4AE08E58" w14:textId="0F059C0A"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Mollusca</w:t>
            </w:r>
            <w:r w:rsidR="000C455D">
              <w:rPr>
                <w:rFonts w:eastAsia="Times New Roman" w:cs="Times New Roman"/>
                <w:color w:val="000000"/>
                <w:kern w:val="0"/>
                <w:sz w:val="20"/>
                <w:szCs w:val="20"/>
                <w:lang w:val="en-GB" w:eastAsia="nl-BE"/>
                <w14:ligatures w14:val="none"/>
              </w:rPr>
              <w:t xml:space="preserve"> </w:t>
            </w:r>
            <w:r w:rsidR="000C455D" w:rsidRPr="0016473F">
              <w:rPr>
                <w:rFonts w:eastAsia="Times New Roman" w:cs="Times New Roman"/>
                <w:i/>
                <w:color w:val="000000"/>
                <w:kern w:val="0"/>
                <w:sz w:val="20"/>
                <w:szCs w:val="20"/>
                <w:lang w:val="en-GB" w:eastAsia="nl-BE"/>
                <w14:ligatures w14:val="none"/>
              </w:rPr>
              <w:t>mtps</w:t>
            </w:r>
          </w:p>
        </w:tc>
        <w:tc>
          <w:tcPr>
            <w:tcW w:w="587" w:type="dxa"/>
            <w:tcBorders>
              <w:top w:val="nil"/>
              <w:left w:val="nil"/>
              <w:bottom w:val="nil"/>
              <w:right w:val="nil"/>
            </w:tcBorders>
            <w:shd w:val="clear" w:color="000000" w:fill="FFFFFF"/>
            <w:noWrap/>
            <w:vAlign w:val="bottom"/>
            <w:hideMark/>
          </w:tcPr>
          <w:p w14:paraId="23C1AC6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7FF842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007D570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6380B4B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BA165A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59C6DF63"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3D74B99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201EEB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F30AAA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9102C1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C77B97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08128E35"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4AE62C6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B42E24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FF0B79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0BFA2A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13</w:t>
            </w:r>
          </w:p>
        </w:tc>
        <w:tc>
          <w:tcPr>
            <w:tcW w:w="497" w:type="dxa"/>
            <w:tcBorders>
              <w:top w:val="nil"/>
              <w:left w:val="nil"/>
              <w:bottom w:val="nil"/>
              <w:right w:val="nil"/>
            </w:tcBorders>
            <w:shd w:val="clear" w:color="000000" w:fill="FFFFFF"/>
            <w:noWrap/>
            <w:vAlign w:val="bottom"/>
            <w:hideMark/>
          </w:tcPr>
          <w:p w14:paraId="32D08EA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05FC90C8"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454AF76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8025E2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DE38E7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DDCFB7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1A8D43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0F11C141" w14:textId="77777777" w:rsidTr="00E1298C">
        <w:trPr>
          <w:trHeight w:val="300"/>
          <w:jc w:val="center"/>
        </w:trPr>
        <w:tc>
          <w:tcPr>
            <w:tcW w:w="2565" w:type="dxa"/>
            <w:gridSpan w:val="2"/>
            <w:tcBorders>
              <w:top w:val="nil"/>
              <w:left w:val="nil"/>
              <w:bottom w:val="nil"/>
              <w:right w:val="nil"/>
            </w:tcBorders>
            <w:shd w:val="clear" w:color="000000" w:fill="FFFFFF"/>
            <w:noWrap/>
            <w:vAlign w:val="bottom"/>
            <w:hideMark/>
          </w:tcPr>
          <w:p w14:paraId="288FFDD7" w14:textId="601E7B5C"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Ophiuroidea</w:t>
            </w:r>
            <w:r w:rsidR="000C455D">
              <w:rPr>
                <w:rFonts w:eastAsia="Times New Roman" w:cs="Times New Roman"/>
                <w:color w:val="000000"/>
                <w:kern w:val="0"/>
                <w:sz w:val="20"/>
                <w:szCs w:val="20"/>
                <w:lang w:val="en-GB" w:eastAsia="nl-BE"/>
                <w14:ligatures w14:val="none"/>
              </w:rPr>
              <w:t xml:space="preserve"> </w:t>
            </w:r>
            <w:r w:rsidR="000C455D" w:rsidRPr="0016473F">
              <w:rPr>
                <w:rFonts w:eastAsia="Times New Roman" w:cs="Times New Roman"/>
                <w:i/>
                <w:color w:val="000000"/>
                <w:kern w:val="0"/>
                <w:sz w:val="20"/>
                <w:szCs w:val="20"/>
                <w:lang w:val="en-GB" w:eastAsia="nl-BE"/>
                <w14:ligatures w14:val="none"/>
              </w:rPr>
              <w:t>mtps</w:t>
            </w:r>
          </w:p>
        </w:tc>
        <w:tc>
          <w:tcPr>
            <w:tcW w:w="587" w:type="dxa"/>
            <w:tcBorders>
              <w:top w:val="nil"/>
              <w:left w:val="nil"/>
              <w:bottom w:val="nil"/>
              <w:right w:val="nil"/>
            </w:tcBorders>
            <w:shd w:val="clear" w:color="000000" w:fill="FFFFFF"/>
            <w:noWrap/>
            <w:vAlign w:val="bottom"/>
            <w:hideMark/>
          </w:tcPr>
          <w:p w14:paraId="3709D78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648</w:t>
            </w:r>
          </w:p>
        </w:tc>
        <w:tc>
          <w:tcPr>
            <w:tcW w:w="586" w:type="dxa"/>
            <w:tcBorders>
              <w:top w:val="nil"/>
              <w:left w:val="nil"/>
              <w:bottom w:val="nil"/>
              <w:right w:val="nil"/>
            </w:tcBorders>
            <w:shd w:val="clear" w:color="000000" w:fill="FFFFFF"/>
            <w:noWrap/>
            <w:vAlign w:val="bottom"/>
            <w:hideMark/>
          </w:tcPr>
          <w:p w14:paraId="0F9D44C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611</w:t>
            </w:r>
          </w:p>
        </w:tc>
        <w:tc>
          <w:tcPr>
            <w:tcW w:w="586" w:type="dxa"/>
            <w:tcBorders>
              <w:top w:val="nil"/>
              <w:left w:val="nil"/>
              <w:bottom w:val="nil"/>
              <w:right w:val="nil"/>
            </w:tcBorders>
            <w:shd w:val="clear" w:color="000000" w:fill="FFFFFF"/>
            <w:noWrap/>
            <w:vAlign w:val="bottom"/>
            <w:hideMark/>
          </w:tcPr>
          <w:p w14:paraId="1F63989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600</w:t>
            </w:r>
          </w:p>
        </w:tc>
        <w:tc>
          <w:tcPr>
            <w:tcW w:w="586" w:type="dxa"/>
            <w:tcBorders>
              <w:top w:val="nil"/>
              <w:left w:val="nil"/>
              <w:bottom w:val="nil"/>
              <w:right w:val="nil"/>
            </w:tcBorders>
            <w:shd w:val="clear" w:color="000000" w:fill="FFFFFF"/>
            <w:noWrap/>
            <w:vAlign w:val="bottom"/>
            <w:hideMark/>
          </w:tcPr>
          <w:p w14:paraId="4AE2026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627</w:t>
            </w:r>
          </w:p>
        </w:tc>
        <w:tc>
          <w:tcPr>
            <w:tcW w:w="586" w:type="dxa"/>
            <w:tcBorders>
              <w:top w:val="nil"/>
              <w:left w:val="nil"/>
              <w:bottom w:val="nil"/>
              <w:right w:val="nil"/>
            </w:tcBorders>
            <w:shd w:val="clear" w:color="000000" w:fill="FFFFFF"/>
            <w:noWrap/>
            <w:vAlign w:val="bottom"/>
            <w:hideMark/>
          </w:tcPr>
          <w:p w14:paraId="5B839EB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667</w:t>
            </w:r>
          </w:p>
        </w:tc>
        <w:tc>
          <w:tcPr>
            <w:tcW w:w="351" w:type="dxa"/>
            <w:tcBorders>
              <w:top w:val="nil"/>
              <w:left w:val="nil"/>
              <w:bottom w:val="nil"/>
              <w:right w:val="nil"/>
            </w:tcBorders>
            <w:shd w:val="clear" w:color="000000" w:fill="FFFFFF"/>
            <w:noWrap/>
            <w:vAlign w:val="bottom"/>
            <w:hideMark/>
          </w:tcPr>
          <w:p w14:paraId="636D604C"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761420D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360</w:t>
            </w:r>
          </w:p>
        </w:tc>
        <w:tc>
          <w:tcPr>
            <w:tcW w:w="497" w:type="dxa"/>
            <w:tcBorders>
              <w:top w:val="nil"/>
              <w:left w:val="nil"/>
              <w:bottom w:val="nil"/>
              <w:right w:val="nil"/>
            </w:tcBorders>
            <w:shd w:val="clear" w:color="000000" w:fill="FFFFFF"/>
            <w:noWrap/>
            <w:vAlign w:val="bottom"/>
            <w:hideMark/>
          </w:tcPr>
          <w:p w14:paraId="7D3BF0A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451</w:t>
            </w:r>
          </w:p>
        </w:tc>
        <w:tc>
          <w:tcPr>
            <w:tcW w:w="497" w:type="dxa"/>
            <w:tcBorders>
              <w:top w:val="nil"/>
              <w:left w:val="nil"/>
              <w:bottom w:val="nil"/>
              <w:right w:val="nil"/>
            </w:tcBorders>
            <w:shd w:val="clear" w:color="000000" w:fill="FFFFFF"/>
            <w:noWrap/>
            <w:vAlign w:val="bottom"/>
            <w:hideMark/>
          </w:tcPr>
          <w:p w14:paraId="7F8B305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401</w:t>
            </w:r>
          </w:p>
        </w:tc>
        <w:tc>
          <w:tcPr>
            <w:tcW w:w="497" w:type="dxa"/>
            <w:tcBorders>
              <w:top w:val="nil"/>
              <w:left w:val="nil"/>
              <w:bottom w:val="nil"/>
              <w:right w:val="nil"/>
            </w:tcBorders>
            <w:shd w:val="clear" w:color="000000" w:fill="FFFFFF"/>
            <w:noWrap/>
            <w:vAlign w:val="bottom"/>
            <w:hideMark/>
          </w:tcPr>
          <w:p w14:paraId="19C99FE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425</w:t>
            </w:r>
          </w:p>
        </w:tc>
        <w:tc>
          <w:tcPr>
            <w:tcW w:w="497" w:type="dxa"/>
            <w:tcBorders>
              <w:top w:val="nil"/>
              <w:left w:val="nil"/>
              <w:bottom w:val="nil"/>
              <w:right w:val="nil"/>
            </w:tcBorders>
            <w:shd w:val="clear" w:color="000000" w:fill="FFFFFF"/>
            <w:noWrap/>
            <w:vAlign w:val="bottom"/>
            <w:hideMark/>
          </w:tcPr>
          <w:p w14:paraId="6708C40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498</w:t>
            </w:r>
          </w:p>
        </w:tc>
        <w:tc>
          <w:tcPr>
            <w:tcW w:w="351" w:type="dxa"/>
            <w:tcBorders>
              <w:top w:val="nil"/>
              <w:left w:val="nil"/>
              <w:bottom w:val="nil"/>
              <w:right w:val="nil"/>
            </w:tcBorders>
            <w:shd w:val="clear" w:color="000000" w:fill="FFFFFF"/>
            <w:noWrap/>
            <w:vAlign w:val="bottom"/>
            <w:hideMark/>
          </w:tcPr>
          <w:p w14:paraId="56550939"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174FB0E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499</w:t>
            </w:r>
          </w:p>
        </w:tc>
        <w:tc>
          <w:tcPr>
            <w:tcW w:w="497" w:type="dxa"/>
            <w:tcBorders>
              <w:top w:val="nil"/>
              <w:left w:val="nil"/>
              <w:bottom w:val="nil"/>
              <w:right w:val="nil"/>
            </w:tcBorders>
            <w:shd w:val="clear" w:color="000000" w:fill="FFFFFF"/>
            <w:noWrap/>
            <w:vAlign w:val="bottom"/>
            <w:hideMark/>
          </w:tcPr>
          <w:p w14:paraId="6741E4D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450</w:t>
            </w:r>
          </w:p>
        </w:tc>
        <w:tc>
          <w:tcPr>
            <w:tcW w:w="497" w:type="dxa"/>
            <w:tcBorders>
              <w:top w:val="nil"/>
              <w:left w:val="nil"/>
              <w:bottom w:val="nil"/>
              <w:right w:val="nil"/>
            </w:tcBorders>
            <w:shd w:val="clear" w:color="000000" w:fill="FFFFFF"/>
            <w:noWrap/>
            <w:vAlign w:val="bottom"/>
            <w:hideMark/>
          </w:tcPr>
          <w:p w14:paraId="65F5911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392</w:t>
            </w:r>
          </w:p>
        </w:tc>
        <w:tc>
          <w:tcPr>
            <w:tcW w:w="497" w:type="dxa"/>
            <w:tcBorders>
              <w:top w:val="nil"/>
              <w:left w:val="nil"/>
              <w:bottom w:val="nil"/>
              <w:right w:val="nil"/>
            </w:tcBorders>
            <w:shd w:val="clear" w:color="000000" w:fill="FFFFFF"/>
            <w:noWrap/>
            <w:vAlign w:val="bottom"/>
            <w:hideMark/>
          </w:tcPr>
          <w:p w14:paraId="18CB9F3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608</w:t>
            </w:r>
          </w:p>
        </w:tc>
        <w:tc>
          <w:tcPr>
            <w:tcW w:w="497" w:type="dxa"/>
            <w:tcBorders>
              <w:top w:val="nil"/>
              <w:left w:val="nil"/>
              <w:bottom w:val="nil"/>
              <w:right w:val="nil"/>
            </w:tcBorders>
            <w:shd w:val="clear" w:color="000000" w:fill="FFFFFF"/>
            <w:noWrap/>
            <w:vAlign w:val="bottom"/>
            <w:hideMark/>
          </w:tcPr>
          <w:p w14:paraId="56A7802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230</w:t>
            </w:r>
          </w:p>
        </w:tc>
        <w:tc>
          <w:tcPr>
            <w:tcW w:w="351" w:type="dxa"/>
            <w:tcBorders>
              <w:top w:val="nil"/>
              <w:left w:val="nil"/>
              <w:bottom w:val="nil"/>
              <w:right w:val="nil"/>
            </w:tcBorders>
            <w:shd w:val="clear" w:color="000000" w:fill="FFFFFF"/>
            <w:noWrap/>
            <w:vAlign w:val="bottom"/>
            <w:hideMark/>
          </w:tcPr>
          <w:p w14:paraId="72EC5871"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7009E60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304</w:t>
            </w:r>
          </w:p>
        </w:tc>
        <w:tc>
          <w:tcPr>
            <w:tcW w:w="497" w:type="dxa"/>
            <w:tcBorders>
              <w:top w:val="nil"/>
              <w:left w:val="nil"/>
              <w:bottom w:val="nil"/>
              <w:right w:val="nil"/>
            </w:tcBorders>
            <w:shd w:val="clear" w:color="000000" w:fill="FFFFFF"/>
            <w:noWrap/>
            <w:vAlign w:val="bottom"/>
            <w:hideMark/>
          </w:tcPr>
          <w:p w14:paraId="46CB7C6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305</w:t>
            </w:r>
          </w:p>
        </w:tc>
        <w:tc>
          <w:tcPr>
            <w:tcW w:w="497" w:type="dxa"/>
            <w:tcBorders>
              <w:top w:val="nil"/>
              <w:left w:val="nil"/>
              <w:bottom w:val="nil"/>
              <w:right w:val="nil"/>
            </w:tcBorders>
            <w:shd w:val="clear" w:color="000000" w:fill="FFFFFF"/>
            <w:noWrap/>
            <w:vAlign w:val="bottom"/>
            <w:hideMark/>
          </w:tcPr>
          <w:p w14:paraId="07715D9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375</w:t>
            </w:r>
          </w:p>
        </w:tc>
        <w:tc>
          <w:tcPr>
            <w:tcW w:w="497" w:type="dxa"/>
            <w:tcBorders>
              <w:top w:val="nil"/>
              <w:left w:val="nil"/>
              <w:bottom w:val="nil"/>
              <w:right w:val="nil"/>
            </w:tcBorders>
            <w:shd w:val="clear" w:color="000000" w:fill="FFFFFF"/>
            <w:noWrap/>
            <w:vAlign w:val="bottom"/>
            <w:hideMark/>
          </w:tcPr>
          <w:p w14:paraId="2320CE6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215</w:t>
            </w:r>
          </w:p>
        </w:tc>
        <w:tc>
          <w:tcPr>
            <w:tcW w:w="497" w:type="dxa"/>
            <w:tcBorders>
              <w:top w:val="nil"/>
              <w:left w:val="nil"/>
              <w:bottom w:val="nil"/>
              <w:right w:val="nil"/>
            </w:tcBorders>
            <w:shd w:val="clear" w:color="000000" w:fill="FFFFFF"/>
            <w:noWrap/>
            <w:vAlign w:val="bottom"/>
            <w:hideMark/>
          </w:tcPr>
          <w:p w14:paraId="3C9A85F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213</w:t>
            </w:r>
          </w:p>
        </w:tc>
      </w:tr>
      <w:tr w:rsidR="00E1298C" w:rsidRPr="00FD3202" w14:paraId="2B614CB5" w14:textId="77777777" w:rsidTr="00E1298C">
        <w:trPr>
          <w:trHeight w:val="300"/>
          <w:jc w:val="center"/>
        </w:trPr>
        <w:tc>
          <w:tcPr>
            <w:tcW w:w="2565" w:type="dxa"/>
            <w:gridSpan w:val="2"/>
            <w:tcBorders>
              <w:top w:val="nil"/>
              <w:left w:val="nil"/>
              <w:bottom w:val="nil"/>
              <w:right w:val="nil"/>
            </w:tcBorders>
            <w:shd w:val="clear" w:color="000000" w:fill="FFFFFF"/>
            <w:noWrap/>
            <w:vAlign w:val="bottom"/>
            <w:hideMark/>
          </w:tcPr>
          <w:p w14:paraId="372F8566"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Osteichthyes</w:t>
            </w:r>
          </w:p>
        </w:tc>
        <w:tc>
          <w:tcPr>
            <w:tcW w:w="587" w:type="dxa"/>
            <w:tcBorders>
              <w:top w:val="nil"/>
              <w:left w:val="nil"/>
              <w:bottom w:val="nil"/>
              <w:right w:val="nil"/>
            </w:tcBorders>
            <w:shd w:val="clear" w:color="000000" w:fill="FFFFFF"/>
            <w:noWrap/>
            <w:vAlign w:val="bottom"/>
            <w:hideMark/>
          </w:tcPr>
          <w:p w14:paraId="351D690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44531C9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437DA28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48</w:t>
            </w:r>
          </w:p>
        </w:tc>
        <w:tc>
          <w:tcPr>
            <w:tcW w:w="586" w:type="dxa"/>
            <w:tcBorders>
              <w:top w:val="nil"/>
              <w:left w:val="nil"/>
              <w:bottom w:val="nil"/>
              <w:right w:val="nil"/>
            </w:tcBorders>
            <w:shd w:val="clear" w:color="000000" w:fill="FFFFFF"/>
            <w:noWrap/>
            <w:vAlign w:val="bottom"/>
            <w:hideMark/>
          </w:tcPr>
          <w:p w14:paraId="45D0F9A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7D07132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13768694"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4515934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67C0483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69F20A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31</w:t>
            </w:r>
          </w:p>
        </w:tc>
        <w:tc>
          <w:tcPr>
            <w:tcW w:w="497" w:type="dxa"/>
            <w:tcBorders>
              <w:top w:val="nil"/>
              <w:left w:val="nil"/>
              <w:bottom w:val="nil"/>
              <w:right w:val="nil"/>
            </w:tcBorders>
            <w:shd w:val="clear" w:color="000000" w:fill="FFFFFF"/>
            <w:noWrap/>
            <w:vAlign w:val="bottom"/>
            <w:hideMark/>
          </w:tcPr>
          <w:p w14:paraId="31B462C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03DA03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13</w:t>
            </w:r>
          </w:p>
        </w:tc>
        <w:tc>
          <w:tcPr>
            <w:tcW w:w="351" w:type="dxa"/>
            <w:tcBorders>
              <w:top w:val="nil"/>
              <w:left w:val="nil"/>
              <w:bottom w:val="nil"/>
              <w:right w:val="nil"/>
            </w:tcBorders>
            <w:shd w:val="clear" w:color="000000" w:fill="FFFFFF"/>
            <w:noWrap/>
            <w:vAlign w:val="bottom"/>
            <w:hideMark/>
          </w:tcPr>
          <w:p w14:paraId="0739365B"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38E6EDA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13</w:t>
            </w:r>
          </w:p>
        </w:tc>
        <w:tc>
          <w:tcPr>
            <w:tcW w:w="497" w:type="dxa"/>
            <w:tcBorders>
              <w:top w:val="nil"/>
              <w:left w:val="nil"/>
              <w:bottom w:val="nil"/>
              <w:right w:val="nil"/>
            </w:tcBorders>
            <w:shd w:val="clear" w:color="000000" w:fill="FFFFFF"/>
            <w:noWrap/>
            <w:vAlign w:val="bottom"/>
            <w:hideMark/>
          </w:tcPr>
          <w:p w14:paraId="0E37895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41</w:t>
            </w:r>
          </w:p>
        </w:tc>
        <w:tc>
          <w:tcPr>
            <w:tcW w:w="497" w:type="dxa"/>
            <w:tcBorders>
              <w:top w:val="nil"/>
              <w:left w:val="nil"/>
              <w:bottom w:val="nil"/>
              <w:right w:val="nil"/>
            </w:tcBorders>
            <w:shd w:val="clear" w:color="000000" w:fill="FFFFFF"/>
            <w:noWrap/>
            <w:vAlign w:val="bottom"/>
            <w:hideMark/>
          </w:tcPr>
          <w:p w14:paraId="039CA38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27</w:t>
            </w:r>
          </w:p>
        </w:tc>
        <w:tc>
          <w:tcPr>
            <w:tcW w:w="497" w:type="dxa"/>
            <w:tcBorders>
              <w:top w:val="nil"/>
              <w:left w:val="nil"/>
              <w:bottom w:val="nil"/>
              <w:right w:val="nil"/>
            </w:tcBorders>
            <w:shd w:val="clear" w:color="000000" w:fill="FFFFFF"/>
            <w:noWrap/>
            <w:vAlign w:val="bottom"/>
            <w:hideMark/>
          </w:tcPr>
          <w:p w14:paraId="2B39379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26</w:t>
            </w:r>
          </w:p>
        </w:tc>
        <w:tc>
          <w:tcPr>
            <w:tcW w:w="497" w:type="dxa"/>
            <w:tcBorders>
              <w:top w:val="nil"/>
              <w:left w:val="nil"/>
              <w:bottom w:val="nil"/>
              <w:right w:val="nil"/>
            </w:tcBorders>
            <w:shd w:val="clear" w:color="000000" w:fill="FFFFFF"/>
            <w:noWrap/>
            <w:vAlign w:val="bottom"/>
            <w:hideMark/>
          </w:tcPr>
          <w:p w14:paraId="4D17AB9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90</w:t>
            </w:r>
          </w:p>
        </w:tc>
        <w:tc>
          <w:tcPr>
            <w:tcW w:w="351" w:type="dxa"/>
            <w:tcBorders>
              <w:top w:val="nil"/>
              <w:left w:val="nil"/>
              <w:bottom w:val="nil"/>
              <w:right w:val="nil"/>
            </w:tcBorders>
            <w:shd w:val="clear" w:color="000000" w:fill="FFFFFF"/>
            <w:noWrap/>
            <w:vAlign w:val="bottom"/>
            <w:hideMark/>
          </w:tcPr>
          <w:p w14:paraId="201EE872"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5CC82B6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w:t>
            </w:r>
          </w:p>
        </w:tc>
        <w:tc>
          <w:tcPr>
            <w:tcW w:w="497" w:type="dxa"/>
            <w:tcBorders>
              <w:top w:val="nil"/>
              <w:left w:val="nil"/>
              <w:bottom w:val="nil"/>
              <w:right w:val="nil"/>
            </w:tcBorders>
            <w:shd w:val="clear" w:color="000000" w:fill="FFFFFF"/>
            <w:noWrap/>
            <w:vAlign w:val="bottom"/>
            <w:hideMark/>
          </w:tcPr>
          <w:p w14:paraId="06365EB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6EDC912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1EBA97D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17</w:t>
            </w:r>
          </w:p>
        </w:tc>
        <w:tc>
          <w:tcPr>
            <w:tcW w:w="497" w:type="dxa"/>
            <w:tcBorders>
              <w:top w:val="nil"/>
              <w:left w:val="nil"/>
              <w:bottom w:val="nil"/>
              <w:right w:val="nil"/>
            </w:tcBorders>
            <w:shd w:val="clear" w:color="000000" w:fill="FFFFFF"/>
            <w:noWrap/>
            <w:vAlign w:val="bottom"/>
            <w:hideMark/>
          </w:tcPr>
          <w:p w14:paraId="775FA59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w:t>
            </w:r>
          </w:p>
        </w:tc>
      </w:tr>
      <w:tr w:rsidR="00E1298C" w:rsidRPr="00FD3202" w14:paraId="4F670224"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4EC8791F"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7BDB6B08" w14:textId="77777777" w:rsidR="00E1298C" w:rsidRPr="00FD3202" w:rsidRDefault="00E1298C" w:rsidP="00E1298C">
            <w:pPr>
              <w:spacing w:after="0" w:line="240" w:lineRule="auto"/>
              <w:jc w:val="left"/>
              <w:rPr>
                <w:rFonts w:eastAsia="Times New Roman" w:cs="Times New Roman"/>
                <w:i/>
                <w:iCs/>
                <w:color w:val="000000"/>
                <w:kern w:val="0"/>
                <w:sz w:val="20"/>
                <w:szCs w:val="20"/>
                <w:lang w:val="en-GB" w:eastAsia="nl-BE"/>
                <w14:ligatures w14:val="none"/>
              </w:rPr>
            </w:pPr>
            <w:r w:rsidRPr="00FD3202">
              <w:rPr>
                <w:rFonts w:eastAsia="Times New Roman" w:cs="Times New Roman"/>
                <w:i/>
                <w:iCs/>
                <w:color w:val="000000"/>
                <w:kern w:val="0"/>
                <w:sz w:val="20"/>
                <w:szCs w:val="20"/>
                <w:lang w:val="en-GB" w:eastAsia="nl-BE"/>
                <w14:ligatures w14:val="none"/>
              </w:rPr>
              <w:t>Bathysaurus mollis</w:t>
            </w:r>
          </w:p>
        </w:tc>
        <w:tc>
          <w:tcPr>
            <w:tcW w:w="587" w:type="dxa"/>
            <w:tcBorders>
              <w:top w:val="nil"/>
              <w:left w:val="nil"/>
              <w:bottom w:val="nil"/>
              <w:right w:val="nil"/>
            </w:tcBorders>
            <w:shd w:val="clear" w:color="000000" w:fill="FFFFFF"/>
            <w:noWrap/>
            <w:vAlign w:val="bottom"/>
            <w:hideMark/>
          </w:tcPr>
          <w:p w14:paraId="2BA60AC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1BF7DA9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0E89C77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6B52C2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7F6C399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75EA8376"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40C240D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73DBB5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648C68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0F525A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7B22DC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69929796"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37CE439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F02BEA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758261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BBA271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F7A2B9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7CE72D79"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4BC8713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3AB56E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F32415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601D43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0F37168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0205F495"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3DCA1085"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0BE8984F"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Coryphaenoides</w:t>
            </w:r>
          </w:p>
        </w:tc>
        <w:tc>
          <w:tcPr>
            <w:tcW w:w="587" w:type="dxa"/>
            <w:tcBorders>
              <w:top w:val="nil"/>
              <w:left w:val="nil"/>
              <w:bottom w:val="nil"/>
              <w:right w:val="nil"/>
            </w:tcBorders>
            <w:shd w:val="clear" w:color="000000" w:fill="FFFFFF"/>
            <w:noWrap/>
            <w:vAlign w:val="bottom"/>
            <w:hideMark/>
          </w:tcPr>
          <w:p w14:paraId="7527C7F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122E601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182814D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4B52DF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45B121B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376834AA"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33B931E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2BC441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B8CB94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w:t>
            </w:r>
          </w:p>
        </w:tc>
        <w:tc>
          <w:tcPr>
            <w:tcW w:w="497" w:type="dxa"/>
            <w:tcBorders>
              <w:top w:val="nil"/>
              <w:left w:val="nil"/>
              <w:bottom w:val="nil"/>
              <w:right w:val="nil"/>
            </w:tcBorders>
            <w:shd w:val="clear" w:color="000000" w:fill="FFFFFF"/>
            <w:noWrap/>
            <w:vAlign w:val="bottom"/>
            <w:hideMark/>
          </w:tcPr>
          <w:p w14:paraId="10AE0A2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FC9519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351" w:type="dxa"/>
            <w:tcBorders>
              <w:top w:val="nil"/>
              <w:left w:val="nil"/>
              <w:bottom w:val="nil"/>
              <w:right w:val="nil"/>
            </w:tcBorders>
            <w:shd w:val="clear" w:color="000000" w:fill="FFFFFF"/>
            <w:noWrap/>
            <w:vAlign w:val="bottom"/>
            <w:hideMark/>
          </w:tcPr>
          <w:p w14:paraId="694AECC2"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7A69BA9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5285D8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8996EF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141FE6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BC969A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26</w:t>
            </w:r>
          </w:p>
        </w:tc>
        <w:tc>
          <w:tcPr>
            <w:tcW w:w="351" w:type="dxa"/>
            <w:tcBorders>
              <w:top w:val="nil"/>
              <w:left w:val="nil"/>
              <w:bottom w:val="nil"/>
              <w:right w:val="nil"/>
            </w:tcBorders>
            <w:shd w:val="clear" w:color="000000" w:fill="FFFFFF"/>
            <w:noWrap/>
            <w:vAlign w:val="bottom"/>
            <w:hideMark/>
          </w:tcPr>
          <w:p w14:paraId="48E6A9A5"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5406FC7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2B0FBBF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15ABCE8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7B1FB17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w:t>
            </w:r>
          </w:p>
        </w:tc>
        <w:tc>
          <w:tcPr>
            <w:tcW w:w="497" w:type="dxa"/>
            <w:tcBorders>
              <w:top w:val="nil"/>
              <w:left w:val="nil"/>
              <w:bottom w:val="nil"/>
              <w:right w:val="nil"/>
            </w:tcBorders>
            <w:shd w:val="clear" w:color="000000" w:fill="FFFFFF"/>
            <w:noWrap/>
            <w:vAlign w:val="bottom"/>
            <w:hideMark/>
          </w:tcPr>
          <w:p w14:paraId="09E71B1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69C0C4D0"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39849B59"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2F48670C"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Ipnops mtp</w:t>
            </w:r>
          </w:p>
        </w:tc>
        <w:tc>
          <w:tcPr>
            <w:tcW w:w="587" w:type="dxa"/>
            <w:tcBorders>
              <w:top w:val="nil"/>
              <w:left w:val="nil"/>
              <w:bottom w:val="nil"/>
              <w:right w:val="nil"/>
            </w:tcBorders>
            <w:shd w:val="clear" w:color="000000" w:fill="FFFFFF"/>
            <w:noWrap/>
            <w:vAlign w:val="bottom"/>
            <w:hideMark/>
          </w:tcPr>
          <w:p w14:paraId="07A60D4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085929E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FAA329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1F641F0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F081F2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559FBE15"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6C4C1E3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3F2F339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0DAF00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3A3679D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6EDAD6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351" w:type="dxa"/>
            <w:tcBorders>
              <w:top w:val="nil"/>
              <w:left w:val="nil"/>
              <w:bottom w:val="nil"/>
              <w:right w:val="nil"/>
            </w:tcBorders>
            <w:shd w:val="clear" w:color="000000" w:fill="FFFFFF"/>
            <w:noWrap/>
            <w:vAlign w:val="bottom"/>
            <w:hideMark/>
          </w:tcPr>
          <w:p w14:paraId="77236439"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23C8C3F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13</w:t>
            </w:r>
          </w:p>
        </w:tc>
        <w:tc>
          <w:tcPr>
            <w:tcW w:w="497" w:type="dxa"/>
            <w:tcBorders>
              <w:top w:val="nil"/>
              <w:left w:val="nil"/>
              <w:bottom w:val="nil"/>
              <w:right w:val="nil"/>
            </w:tcBorders>
            <w:shd w:val="clear" w:color="000000" w:fill="FFFFFF"/>
            <w:noWrap/>
            <w:vAlign w:val="bottom"/>
            <w:hideMark/>
          </w:tcPr>
          <w:p w14:paraId="681190F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41</w:t>
            </w:r>
          </w:p>
        </w:tc>
        <w:tc>
          <w:tcPr>
            <w:tcW w:w="497" w:type="dxa"/>
            <w:tcBorders>
              <w:top w:val="nil"/>
              <w:left w:val="nil"/>
              <w:bottom w:val="nil"/>
              <w:right w:val="nil"/>
            </w:tcBorders>
            <w:shd w:val="clear" w:color="000000" w:fill="FFFFFF"/>
            <w:noWrap/>
            <w:vAlign w:val="bottom"/>
            <w:hideMark/>
          </w:tcPr>
          <w:p w14:paraId="04F28E0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27</w:t>
            </w:r>
          </w:p>
        </w:tc>
        <w:tc>
          <w:tcPr>
            <w:tcW w:w="497" w:type="dxa"/>
            <w:tcBorders>
              <w:top w:val="nil"/>
              <w:left w:val="nil"/>
              <w:bottom w:val="nil"/>
              <w:right w:val="nil"/>
            </w:tcBorders>
            <w:shd w:val="clear" w:color="000000" w:fill="FFFFFF"/>
            <w:noWrap/>
            <w:vAlign w:val="bottom"/>
            <w:hideMark/>
          </w:tcPr>
          <w:p w14:paraId="68403F0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26</w:t>
            </w:r>
          </w:p>
        </w:tc>
        <w:tc>
          <w:tcPr>
            <w:tcW w:w="497" w:type="dxa"/>
            <w:tcBorders>
              <w:top w:val="nil"/>
              <w:left w:val="nil"/>
              <w:bottom w:val="nil"/>
              <w:right w:val="nil"/>
            </w:tcBorders>
            <w:shd w:val="clear" w:color="000000" w:fill="FFFFFF"/>
            <w:noWrap/>
            <w:vAlign w:val="bottom"/>
            <w:hideMark/>
          </w:tcPr>
          <w:p w14:paraId="03BF7D4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38</w:t>
            </w:r>
          </w:p>
        </w:tc>
        <w:tc>
          <w:tcPr>
            <w:tcW w:w="351" w:type="dxa"/>
            <w:tcBorders>
              <w:top w:val="nil"/>
              <w:left w:val="nil"/>
              <w:bottom w:val="nil"/>
              <w:right w:val="nil"/>
            </w:tcBorders>
            <w:shd w:val="clear" w:color="000000" w:fill="FFFFFF"/>
            <w:noWrap/>
            <w:vAlign w:val="bottom"/>
            <w:hideMark/>
          </w:tcPr>
          <w:p w14:paraId="64362FC3"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0DD3284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8BDF15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9E112A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A95DF1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29C85A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76192ABF"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234B5BA5"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1D079AFE"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Ophidiidae</w:t>
            </w:r>
          </w:p>
        </w:tc>
        <w:tc>
          <w:tcPr>
            <w:tcW w:w="587" w:type="dxa"/>
            <w:tcBorders>
              <w:top w:val="nil"/>
              <w:left w:val="nil"/>
              <w:bottom w:val="nil"/>
              <w:right w:val="nil"/>
            </w:tcBorders>
            <w:shd w:val="clear" w:color="000000" w:fill="FFFFFF"/>
            <w:noWrap/>
            <w:vAlign w:val="bottom"/>
            <w:hideMark/>
          </w:tcPr>
          <w:p w14:paraId="47D1B1C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29DFF4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1257146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31B72D9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B5D59E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274E5DB7"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046DFFD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AFB893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ECC7EE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62CBE3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D8AA95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7B8F2227"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3D1E312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A513A5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9377E1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0ECD61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8DE818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7B1D03D1"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232863F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5F8F91B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1D6AA1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347470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07CFD9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28CDFFC0"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3E89D7A0"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4921E0E1" w14:textId="07D8DF82"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Osteichthyes</w:t>
            </w:r>
            <w:r w:rsidR="000C455D">
              <w:rPr>
                <w:rFonts w:eastAsia="Times New Roman" w:cs="Times New Roman"/>
                <w:color w:val="000000"/>
                <w:kern w:val="0"/>
                <w:sz w:val="20"/>
                <w:szCs w:val="20"/>
                <w:lang w:val="en-GB" w:eastAsia="nl-BE"/>
                <w14:ligatures w14:val="none"/>
              </w:rPr>
              <w:t xml:space="preserve"> </w:t>
            </w:r>
            <w:r w:rsidR="000C455D" w:rsidRPr="0016473F">
              <w:rPr>
                <w:rFonts w:eastAsia="Times New Roman" w:cs="Times New Roman"/>
                <w:i/>
                <w:color w:val="000000"/>
                <w:kern w:val="0"/>
                <w:sz w:val="20"/>
                <w:szCs w:val="20"/>
                <w:lang w:val="en-GB" w:eastAsia="nl-BE"/>
                <w14:ligatures w14:val="none"/>
              </w:rPr>
              <w:t>mtps</w:t>
            </w:r>
          </w:p>
        </w:tc>
        <w:tc>
          <w:tcPr>
            <w:tcW w:w="587" w:type="dxa"/>
            <w:tcBorders>
              <w:top w:val="nil"/>
              <w:left w:val="nil"/>
              <w:bottom w:val="nil"/>
              <w:right w:val="nil"/>
            </w:tcBorders>
            <w:shd w:val="clear" w:color="000000" w:fill="FFFFFF"/>
            <w:noWrap/>
            <w:vAlign w:val="bottom"/>
            <w:hideMark/>
          </w:tcPr>
          <w:p w14:paraId="33BCE3B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7078C45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6411F84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206F9DF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750C714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7961F153"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3D74033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6AB93B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F4ECBA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w:t>
            </w:r>
          </w:p>
        </w:tc>
        <w:tc>
          <w:tcPr>
            <w:tcW w:w="497" w:type="dxa"/>
            <w:tcBorders>
              <w:top w:val="nil"/>
              <w:left w:val="nil"/>
              <w:bottom w:val="nil"/>
              <w:right w:val="nil"/>
            </w:tcBorders>
            <w:shd w:val="clear" w:color="000000" w:fill="FFFFFF"/>
            <w:noWrap/>
            <w:vAlign w:val="bottom"/>
            <w:hideMark/>
          </w:tcPr>
          <w:p w14:paraId="2CE8201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023B1F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546F9052"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5700851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9FE7B0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2C293C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DAD44F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B3C811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26</w:t>
            </w:r>
          </w:p>
        </w:tc>
        <w:tc>
          <w:tcPr>
            <w:tcW w:w="351" w:type="dxa"/>
            <w:tcBorders>
              <w:top w:val="nil"/>
              <w:left w:val="nil"/>
              <w:bottom w:val="nil"/>
              <w:right w:val="nil"/>
            </w:tcBorders>
            <w:shd w:val="clear" w:color="000000" w:fill="FFFFFF"/>
            <w:noWrap/>
            <w:vAlign w:val="bottom"/>
            <w:hideMark/>
          </w:tcPr>
          <w:p w14:paraId="1B322242"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6D5906F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B6CBBB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5697BA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AB95CE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42EF73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w:t>
            </w:r>
          </w:p>
        </w:tc>
      </w:tr>
      <w:tr w:rsidR="00E1298C" w:rsidRPr="00FD3202" w14:paraId="4718B67A" w14:textId="77777777" w:rsidTr="00E1298C">
        <w:trPr>
          <w:trHeight w:val="300"/>
          <w:jc w:val="center"/>
        </w:trPr>
        <w:tc>
          <w:tcPr>
            <w:tcW w:w="2565" w:type="dxa"/>
            <w:gridSpan w:val="2"/>
            <w:tcBorders>
              <w:top w:val="nil"/>
              <w:left w:val="nil"/>
              <w:bottom w:val="nil"/>
              <w:right w:val="nil"/>
            </w:tcBorders>
            <w:shd w:val="clear" w:color="000000" w:fill="FFFFFF"/>
            <w:noWrap/>
            <w:vAlign w:val="bottom"/>
            <w:hideMark/>
          </w:tcPr>
          <w:p w14:paraId="01D92047"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Other_Anthozoa</w:t>
            </w:r>
          </w:p>
        </w:tc>
        <w:tc>
          <w:tcPr>
            <w:tcW w:w="587" w:type="dxa"/>
            <w:tcBorders>
              <w:top w:val="nil"/>
              <w:left w:val="nil"/>
              <w:bottom w:val="nil"/>
              <w:right w:val="nil"/>
            </w:tcBorders>
            <w:shd w:val="clear" w:color="000000" w:fill="FFFFFF"/>
            <w:noWrap/>
            <w:vAlign w:val="bottom"/>
            <w:hideMark/>
          </w:tcPr>
          <w:p w14:paraId="01B7E7C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0742DE8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2B5F1AA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7A8F684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6AA08F6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2CAB8A24"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4BDF415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EDBBF7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F4E006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E72D2D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60ECD3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20E33AF4"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48596E2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13</w:t>
            </w:r>
          </w:p>
        </w:tc>
        <w:tc>
          <w:tcPr>
            <w:tcW w:w="497" w:type="dxa"/>
            <w:tcBorders>
              <w:top w:val="nil"/>
              <w:left w:val="nil"/>
              <w:bottom w:val="nil"/>
              <w:right w:val="nil"/>
            </w:tcBorders>
            <w:shd w:val="clear" w:color="000000" w:fill="FFFFFF"/>
            <w:noWrap/>
            <w:vAlign w:val="bottom"/>
            <w:hideMark/>
          </w:tcPr>
          <w:p w14:paraId="29E4450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14</w:t>
            </w:r>
          </w:p>
        </w:tc>
        <w:tc>
          <w:tcPr>
            <w:tcW w:w="497" w:type="dxa"/>
            <w:tcBorders>
              <w:top w:val="nil"/>
              <w:left w:val="nil"/>
              <w:bottom w:val="nil"/>
              <w:right w:val="nil"/>
            </w:tcBorders>
            <w:shd w:val="clear" w:color="000000" w:fill="FFFFFF"/>
            <w:noWrap/>
            <w:vAlign w:val="bottom"/>
            <w:hideMark/>
          </w:tcPr>
          <w:p w14:paraId="353A175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09DEB4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557BCA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61EC9BBE"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4D1FC2C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67F542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DCD626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B4495E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138B23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2D3F91D2" w14:textId="77777777" w:rsidTr="00E1298C">
        <w:trPr>
          <w:trHeight w:val="300"/>
          <w:jc w:val="center"/>
        </w:trPr>
        <w:tc>
          <w:tcPr>
            <w:tcW w:w="2565" w:type="dxa"/>
            <w:gridSpan w:val="2"/>
            <w:tcBorders>
              <w:top w:val="nil"/>
              <w:left w:val="nil"/>
              <w:bottom w:val="nil"/>
              <w:right w:val="nil"/>
            </w:tcBorders>
            <w:shd w:val="clear" w:color="000000" w:fill="FFFFFF"/>
            <w:noWrap/>
            <w:vAlign w:val="bottom"/>
            <w:hideMark/>
          </w:tcPr>
          <w:p w14:paraId="1A1D3466"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Other_Cnidaria</w:t>
            </w:r>
          </w:p>
        </w:tc>
        <w:tc>
          <w:tcPr>
            <w:tcW w:w="587" w:type="dxa"/>
            <w:tcBorders>
              <w:top w:val="nil"/>
              <w:left w:val="nil"/>
              <w:bottom w:val="nil"/>
              <w:right w:val="nil"/>
            </w:tcBorders>
            <w:shd w:val="clear" w:color="000000" w:fill="FFFFFF"/>
            <w:noWrap/>
            <w:vAlign w:val="bottom"/>
            <w:hideMark/>
          </w:tcPr>
          <w:p w14:paraId="6D6FEAD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7992413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7ADD549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18021A5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23B84E9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70AC0DC2"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1398C4F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6C7EF9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F3F943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5255DA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58632B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68559EE1"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37BD013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8E589C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8E28FF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6BA1BA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13</w:t>
            </w:r>
          </w:p>
        </w:tc>
        <w:tc>
          <w:tcPr>
            <w:tcW w:w="497" w:type="dxa"/>
            <w:tcBorders>
              <w:top w:val="nil"/>
              <w:left w:val="nil"/>
              <w:bottom w:val="nil"/>
              <w:right w:val="nil"/>
            </w:tcBorders>
            <w:shd w:val="clear" w:color="000000" w:fill="FFFFFF"/>
            <w:noWrap/>
            <w:vAlign w:val="bottom"/>
            <w:hideMark/>
          </w:tcPr>
          <w:p w14:paraId="1CC3812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133D8FF4"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3BC849A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DBD4BA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20B246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081214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4E62C5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40E8B112" w14:textId="77777777" w:rsidTr="00E1298C">
        <w:trPr>
          <w:trHeight w:val="300"/>
          <w:jc w:val="center"/>
        </w:trPr>
        <w:tc>
          <w:tcPr>
            <w:tcW w:w="2565" w:type="dxa"/>
            <w:gridSpan w:val="2"/>
            <w:tcBorders>
              <w:top w:val="nil"/>
              <w:left w:val="nil"/>
              <w:bottom w:val="nil"/>
              <w:right w:val="nil"/>
            </w:tcBorders>
            <w:shd w:val="clear" w:color="000000" w:fill="FFFFFF"/>
            <w:noWrap/>
            <w:vAlign w:val="bottom"/>
            <w:hideMark/>
          </w:tcPr>
          <w:p w14:paraId="7AC9F010" w14:textId="073CA2B9"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Pennatulacea</w:t>
            </w:r>
            <w:r w:rsidR="000C455D">
              <w:rPr>
                <w:rFonts w:eastAsia="Times New Roman" w:cs="Times New Roman"/>
                <w:color w:val="000000"/>
                <w:kern w:val="0"/>
                <w:sz w:val="20"/>
                <w:szCs w:val="20"/>
                <w:lang w:val="en-GB" w:eastAsia="nl-BE"/>
                <w14:ligatures w14:val="none"/>
              </w:rPr>
              <w:t xml:space="preserve"> </w:t>
            </w:r>
            <w:r w:rsidR="000C455D" w:rsidRPr="0016473F">
              <w:rPr>
                <w:rFonts w:eastAsia="Times New Roman" w:cs="Times New Roman"/>
                <w:i/>
                <w:color w:val="000000"/>
                <w:kern w:val="0"/>
                <w:sz w:val="20"/>
                <w:szCs w:val="20"/>
                <w:lang w:val="en-GB" w:eastAsia="nl-BE"/>
                <w14:ligatures w14:val="none"/>
              </w:rPr>
              <w:t>mtps</w:t>
            </w:r>
          </w:p>
        </w:tc>
        <w:tc>
          <w:tcPr>
            <w:tcW w:w="587" w:type="dxa"/>
            <w:tcBorders>
              <w:top w:val="nil"/>
              <w:left w:val="nil"/>
              <w:bottom w:val="nil"/>
              <w:right w:val="nil"/>
            </w:tcBorders>
            <w:shd w:val="clear" w:color="000000" w:fill="FFFFFF"/>
            <w:noWrap/>
            <w:vAlign w:val="bottom"/>
            <w:hideMark/>
          </w:tcPr>
          <w:p w14:paraId="300BA0A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491F16D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48BBE65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6B81305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6292A9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0452BAF2"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74DA873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E8236B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47B41A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791D49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096996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0C87BC65"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4E53161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483D21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020873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AF10DC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CAB0E6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09541708"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7A04355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E7E531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F46A48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742181B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47B153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5B6864F5" w14:textId="77777777" w:rsidTr="00E1298C">
        <w:trPr>
          <w:trHeight w:val="300"/>
          <w:jc w:val="center"/>
        </w:trPr>
        <w:tc>
          <w:tcPr>
            <w:tcW w:w="2565" w:type="dxa"/>
            <w:gridSpan w:val="2"/>
            <w:tcBorders>
              <w:top w:val="nil"/>
              <w:left w:val="nil"/>
              <w:bottom w:val="nil"/>
              <w:right w:val="nil"/>
            </w:tcBorders>
            <w:shd w:val="clear" w:color="000000" w:fill="FFFFFF"/>
            <w:noWrap/>
            <w:vAlign w:val="bottom"/>
            <w:hideMark/>
          </w:tcPr>
          <w:p w14:paraId="39DDE930"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Scyphozoa</w:t>
            </w:r>
          </w:p>
        </w:tc>
        <w:tc>
          <w:tcPr>
            <w:tcW w:w="587" w:type="dxa"/>
            <w:tcBorders>
              <w:top w:val="nil"/>
              <w:left w:val="nil"/>
              <w:bottom w:val="nil"/>
              <w:right w:val="nil"/>
            </w:tcBorders>
            <w:shd w:val="clear" w:color="000000" w:fill="FFFFFF"/>
            <w:noWrap/>
            <w:vAlign w:val="bottom"/>
            <w:hideMark/>
          </w:tcPr>
          <w:p w14:paraId="1147B4A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06E91DF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382F5D4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0C1A50C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6898951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409B734F"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26A3782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844B9C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F97995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5E2E2E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C28275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3B790F04"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2E41D5F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EB9F91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F96909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E3606D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9B2187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006242D7"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54AAD3E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88FF55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5C3400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2E7D16D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FE1904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61CD1843"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4EF5E631"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4A8CC1D0" w14:textId="77777777" w:rsidR="00E1298C" w:rsidRPr="00FD3202" w:rsidRDefault="00E1298C" w:rsidP="00E1298C">
            <w:pPr>
              <w:spacing w:after="0" w:line="240" w:lineRule="auto"/>
              <w:jc w:val="left"/>
              <w:rPr>
                <w:rFonts w:eastAsia="Times New Roman" w:cs="Times New Roman"/>
                <w:i/>
                <w:iCs/>
                <w:color w:val="000000"/>
                <w:kern w:val="0"/>
                <w:sz w:val="20"/>
                <w:szCs w:val="20"/>
                <w:lang w:val="en-GB" w:eastAsia="nl-BE"/>
                <w14:ligatures w14:val="none"/>
              </w:rPr>
            </w:pPr>
            <w:r w:rsidRPr="00FD3202">
              <w:rPr>
                <w:rFonts w:eastAsia="Times New Roman" w:cs="Times New Roman"/>
                <w:i/>
                <w:iCs/>
                <w:color w:val="000000"/>
                <w:kern w:val="0"/>
                <w:sz w:val="20"/>
                <w:szCs w:val="20"/>
                <w:lang w:val="en-GB" w:eastAsia="nl-BE"/>
                <w14:ligatures w14:val="none"/>
              </w:rPr>
              <w:t>Periphylla periphylla</w:t>
            </w:r>
          </w:p>
        </w:tc>
        <w:tc>
          <w:tcPr>
            <w:tcW w:w="587" w:type="dxa"/>
            <w:tcBorders>
              <w:top w:val="nil"/>
              <w:left w:val="nil"/>
              <w:bottom w:val="nil"/>
              <w:right w:val="nil"/>
            </w:tcBorders>
            <w:shd w:val="clear" w:color="000000" w:fill="FFFFFF"/>
            <w:noWrap/>
            <w:vAlign w:val="bottom"/>
            <w:hideMark/>
          </w:tcPr>
          <w:p w14:paraId="14F4248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7529177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44762FA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0510255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77643F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6F1B2DA1"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00B268D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76C8A3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9FF743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81945A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C9301F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0EBE83AC"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3DCE206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7BDA46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158B18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29E4A2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D906F8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2914277A"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053B301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AB0A1B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539E97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49BF36B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7A3610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2892B92A" w14:textId="77777777" w:rsidTr="00E1298C">
        <w:trPr>
          <w:trHeight w:val="300"/>
          <w:jc w:val="center"/>
        </w:trPr>
        <w:tc>
          <w:tcPr>
            <w:tcW w:w="2565" w:type="dxa"/>
            <w:gridSpan w:val="2"/>
            <w:tcBorders>
              <w:top w:val="nil"/>
              <w:left w:val="nil"/>
              <w:bottom w:val="nil"/>
              <w:right w:val="nil"/>
            </w:tcBorders>
            <w:shd w:val="clear" w:color="000000" w:fill="FFFFFF"/>
            <w:noWrap/>
            <w:vAlign w:val="bottom"/>
            <w:hideMark/>
          </w:tcPr>
          <w:p w14:paraId="1428A553" w14:textId="1E73308D"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Polychaeta</w:t>
            </w:r>
            <w:r w:rsidR="000C455D">
              <w:rPr>
                <w:rFonts w:eastAsia="Times New Roman" w:cs="Times New Roman"/>
                <w:color w:val="000000"/>
                <w:kern w:val="0"/>
                <w:sz w:val="20"/>
                <w:szCs w:val="20"/>
                <w:lang w:val="en-GB" w:eastAsia="nl-BE"/>
                <w14:ligatures w14:val="none"/>
              </w:rPr>
              <w:t xml:space="preserve"> </w:t>
            </w:r>
            <w:r w:rsidR="000C455D" w:rsidRPr="0016473F">
              <w:rPr>
                <w:rFonts w:eastAsia="Times New Roman" w:cs="Times New Roman"/>
                <w:i/>
                <w:color w:val="000000"/>
                <w:kern w:val="0"/>
                <w:sz w:val="20"/>
                <w:szCs w:val="20"/>
                <w:lang w:val="en-GB" w:eastAsia="nl-BE"/>
                <w14:ligatures w14:val="none"/>
              </w:rPr>
              <w:t>mtps</w:t>
            </w:r>
          </w:p>
        </w:tc>
        <w:tc>
          <w:tcPr>
            <w:tcW w:w="587" w:type="dxa"/>
            <w:tcBorders>
              <w:top w:val="nil"/>
              <w:left w:val="nil"/>
              <w:bottom w:val="nil"/>
              <w:right w:val="nil"/>
            </w:tcBorders>
            <w:shd w:val="clear" w:color="000000" w:fill="FFFFFF"/>
            <w:noWrap/>
            <w:vAlign w:val="bottom"/>
            <w:hideMark/>
          </w:tcPr>
          <w:p w14:paraId="765B129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360</w:t>
            </w:r>
          </w:p>
        </w:tc>
        <w:tc>
          <w:tcPr>
            <w:tcW w:w="586" w:type="dxa"/>
            <w:tcBorders>
              <w:top w:val="nil"/>
              <w:left w:val="nil"/>
              <w:bottom w:val="nil"/>
              <w:right w:val="nil"/>
            </w:tcBorders>
            <w:shd w:val="clear" w:color="000000" w:fill="FFFFFF"/>
            <w:noWrap/>
            <w:vAlign w:val="bottom"/>
            <w:hideMark/>
          </w:tcPr>
          <w:p w14:paraId="1EE599A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147</w:t>
            </w:r>
          </w:p>
        </w:tc>
        <w:tc>
          <w:tcPr>
            <w:tcW w:w="586" w:type="dxa"/>
            <w:tcBorders>
              <w:top w:val="nil"/>
              <w:left w:val="nil"/>
              <w:bottom w:val="nil"/>
              <w:right w:val="nil"/>
            </w:tcBorders>
            <w:shd w:val="clear" w:color="000000" w:fill="FFFFFF"/>
            <w:noWrap/>
            <w:vAlign w:val="bottom"/>
            <w:hideMark/>
          </w:tcPr>
          <w:p w14:paraId="6944714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144</w:t>
            </w:r>
          </w:p>
        </w:tc>
        <w:tc>
          <w:tcPr>
            <w:tcW w:w="586" w:type="dxa"/>
            <w:tcBorders>
              <w:top w:val="nil"/>
              <w:left w:val="nil"/>
              <w:bottom w:val="nil"/>
              <w:right w:val="nil"/>
            </w:tcBorders>
            <w:shd w:val="clear" w:color="000000" w:fill="FFFFFF"/>
            <w:noWrap/>
            <w:vAlign w:val="bottom"/>
            <w:hideMark/>
          </w:tcPr>
          <w:p w14:paraId="01BBD52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120</w:t>
            </w:r>
          </w:p>
        </w:tc>
        <w:tc>
          <w:tcPr>
            <w:tcW w:w="586" w:type="dxa"/>
            <w:tcBorders>
              <w:top w:val="nil"/>
              <w:left w:val="nil"/>
              <w:bottom w:val="nil"/>
              <w:right w:val="nil"/>
            </w:tcBorders>
            <w:shd w:val="clear" w:color="000000" w:fill="FFFFFF"/>
            <w:noWrap/>
            <w:vAlign w:val="bottom"/>
            <w:hideMark/>
          </w:tcPr>
          <w:p w14:paraId="1DECA01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167</w:t>
            </w:r>
          </w:p>
        </w:tc>
        <w:tc>
          <w:tcPr>
            <w:tcW w:w="351" w:type="dxa"/>
            <w:tcBorders>
              <w:top w:val="nil"/>
              <w:left w:val="nil"/>
              <w:bottom w:val="nil"/>
              <w:right w:val="nil"/>
            </w:tcBorders>
            <w:shd w:val="clear" w:color="000000" w:fill="FFFFFF"/>
            <w:noWrap/>
            <w:vAlign w:val="bottom"/>
            <w:hideMark/>
          </w:tcPr>
          <w:p w14:paraId="19C58BCA"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4A90862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5780BE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96D15B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8E749A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C005CC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351" w:type="dxa"/>
            <w:tcBorders>
              <w:top w:val="nil"/>
              <w:left w:val="nil"/>
              <w:bottom w:val="nil"/>
              <w:right w:val="nil"/>
            </w:tcBorders>
            <w:shd w:val="clear" w:color="000000" w:fill="FFFFFF"/>
            <w:noWrap/>
            <w:vAlign w:val="bottom"/>
            <w:hideMark/>
          </w:tcPr>
          <w:p w14:paraId="54F466CE"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3F18DA3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121</w:t>
            </w:r>
          </w:p>
        </w:tc>
        <w:tc>
          <w:tcPr>
            <w:tcW w:w="497" w:type="dxa"/>
            <w:tcBorders>
              <w:top w:val="nil"/>
              <w:left w:val="nil"/>
              <w:bottom w:val="nil"/>
              <w:right w:val="nil"/>
            </w:tcBorders>
            <w:shd w:val="clear" w:color="000000" w:fill="FFFFFF"/>
            <w:noWrap/>
            <w:vAlign w:val="bottom"/>
            <w:hideMark/>
          </w:tcPr>
          <w:p w14:paraId="3778EAC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41</w:t>
            </w:r>
          </w:p>
        </w:tc>
        <w:tc>
          <w:tcPr>
            <w:tcW w:w="497" w:type="dxa"/>
            <w:tcBorders>
              <w:top w:val="nil"/>
              <w:left w:val="nil"/>
              <w:bottom w:val="nil"/>
              <w:right w:val="nil"/>
            </w:tcBorders>
            <w:shd w:val="clear" w:color="000000" w:fill="FFFFFF"/>
            <w:noWrap/>
            <w:vAlign w:val="bottom"/>
            <w:hideMark/>
          </w:tcPr>
          <w:p w14:paraId="34D3392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365</w:t>
            </w:r>
          </w:p>
        </w:tc>
        <w:tc>
          <w:tcPr>
            <w:tcW w:w="497" w:type="dxa"/>
            <w:tcBorders>
              <w:top w:val="nil"/>
              <w:left w:val="nil"/>
              <w:bottom w:val="nil"/>
              <w:right w:val="nil"/>
            </w:tcBorders>
            <w:shd w:val="clear" w:color="000000" w:fill="FFFFFF"/>
            <w:noWrap/>
            <w:vAlign w:val="bottom"/>
            <w:hideMark/>
          </w:tcPr>
          <w:p w14:paraId="264509E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132</w:t>
            </w:r>
          </w:p>
        </w:tc>
        <w:tc>
          <w:tcPr>
            <w:tcW w:w="497" w:type="dxa"/>
            <w:tcBorders>
              <w:top w:val="nil"/>
              <w:left w:val="nil"/>
              <w:bottom w:val="nil"/>
              <w:right w:val="nil"/>
            </w:tcBorders>
            <w:shd w:val="clear" w:color="000000" w:fill="FFFFFF"/>
            <w:noWrap/>
            <w:vAlign w:val="bottom"/>
            <w:hideMark/>
          </w:tcPr>
          <w:p w14:paraId="4199B03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102</w:t>
            </w:r>
          </w:p>
        </w:tc>
        <w:tc>
          <w:tcPr>
            <w:tcW w:w="351" w:type="dxa"/>
            <w:tcBorders>
              <w:top w:val="nil"/>
              <w:left w:val="nil"/>
              <w:bottom w:val="nil"/>
              <w:right w:val="nil"/>
            </w:tcBorders>
            <w:shd w:val="clear" w:color="000000" w:fill="FFFFFF"/>
            <w:noWrap/>
            <w:vAlign w:val="bottom"/>
            <w:hideMark/>
          </w:tcPr>
          <w:p w14:paraId="400B25BF"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06B3E77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49</w:t>
            </w:r>
          </w:p>
        </w:tc>
        <w:tc>
          <w:tcPr>
            <w:tcW w:w="497" w:type="dxa"/>
            <w:tcBorders>
              <w:top w:val="nil"/>
              <w:left w:val="nil"/>
              <w:bottom w:val="nil"/>
              <w:right w:val="nil"/>
            </w:tcBorders>
            <w:shd w:val="clear" w:color="000000" w:fill="FFFFFF"/>
            <w:noWrap/>
            <w:vAlign w:val="bottom"/>
            <w:hideMark/>
          </w:tcPr>
          <w:p w14:paraId="3EC3298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93</w:t>
            </w:r>
          </w:p>
        </w:tc>
        <w:tc>
          <w:tcPr>
            <w:tcW w:w="497" w:type="dxa"/>
            <w:tcBorders>
              <w:top w:val="nil"/>
              <w:left w:val="nil"/>
              <w:bottom w:val="nil"/>
              <w:right w:val="nil"/>
            </w:tcBorders>
            <w:shd w:val="clear" w:color="000000" w:fill="FFFFFF"/>
            <w:noWrap/>
            <w:vAlign w:val="bottom"/>
            <w:hideMark/>
          </w:tcPr>
          <w:p w14:paraId="601CF87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85</w:t>
            </w:r>
          </w:p>
        </w:tc>
        <w:tc>
          <w:tcPr>
            <w:tcW w:w="497" w:type="dxa"/>
            <w:tcBorders>
              <w:top w:val="nil"/>
              <w:left w:val="nil"/>
              <w:bottom w:val="nil"/>
              <w:right w:val="nil"/>
            </w:tcBorders>
            <w:shd w:val="clear" w:color="000000" w:fill="FFFFFF"/>
            <w:noWrap/>
            <w:vAlign w:val="bottom"/>
            <w:hideMark/>
          </w:tcPr>
          <w:p w14:paraId="5274873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76</w:t>
            </w:r>
          </w:p>
        </w:tc>
        <w:tc>
          <w:tcPr>
            <w:tcW w:w="497" w:type="dxa"/>
            <w:tcBorders>
              <w:top w:val="nil"/>
              <w:left w:val="nil"/>
              <w:bottom w:val="nil"/>
              <w:right w:val="nil"/>
            </w:tcBorders>
            <w:shd w:val="clear" w:color="000000" w:fill="FFFFFF"/>
            <w:noWrap/>
            <w:vAlign w:val="bottom"/>
            <w:hideMark/>
          </w:tcPr>
          <w:p w14:paraId="5B74BD6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47</w:t>
            </w:r>
          </w:p>
        </w:tc>
      </w:tr>
      <w:tr w:rsidR="00E1298C" w:rsidRPr="00FD3202" w14:paraId="5DD7F1DC" w14:textId="77777777" w:rsidTr="00E1298C">
        <w:trPr>
          <w:trHeight w:val="300"/>
          <w:jc w:val="center"/>
        </w:trPr>
        <w:tc>
          <w:tcPr>
            <w:tcW w:w="2565" w:type="dxa"/>
            <w:gridSpan w:val="2"/>
            <w:tcBorders>
              <w:top w:val="nil"/>
              <w:left w:val="nil"/>
              <w:bottom w:val="nil"/>
              <w:right w:val="nil"/>
            </w:tcBorders>
            <w:shd w:val="clear" w:color="000000" w:fill="FFFFFF"/>
            <w:noWrap/>
            <w:vAlign w:val="bottom"/>
            <w:hideMark/>
          </w:tcPr>
          <w:p w14:paraId="1FD64232"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Porifera</w:t>
            </w:r>
          </w:p>
        </w:tc>
        <w:tc>
          <w:tcPr>
            <w:tcW w:w="587" w:type="dxa"/>
            <w:tcBorders>
              <w:top w:val="nil"/>
              <w:left w:val="nil"/>
              <w:bottom w:val="nil"/>
              <w:right w:val="nil"/>
            </w:tcBorders>
            <w:shd w:val="clear" w:color="000000" w:fill="FFFFFF"/>
            <w:noWrap/>
            <w:vAlign w:val="bottom"/>
            <w:hideMark/>
          </w:tcPr>
          <w:p w14:paraId="79B64C0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168</w:t>
            </w:r>
          </w:p>
        </w:tc>
        <w:tc>
          <w:tcPr>
            <w:tcW w:w="586" w:type="dxa"/>
            <w:tcBorders>
              <w:top w:val="nil"/>
              <w:left w:val="nil"/>
              <w:bottom w:val="nil"/>
              <w:right w:val="nil"/>
            </w:tcBorders>
            <w:shd w:val="clear" w:color="000000" w:fill="FFFFFF"/>
            <w:noWrap/>
            <w:vAlign w:val="bottom"/>
            <w:hideMark/>
          </w:tcPr>
          <w:p w14:paraId="618ECC6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73</w:t>
            </w:r>
          </w:p>
        </w:tc>
        <w:tc>
          <w:tcPr>
            <w:tcW w:w="586" w:type="dxa"/>
            <w:tcBorders>
              <w:top w:val="nil"/>
              <w:left w:val="nil"/>
              <w:bottom w:val="nil"/>
              <w:right w:val="nil"/>
            </w:tcBorders>
            <w:shd w:val="clear" w:color="000000" w:fill="FFFFFF"/>
            <w:noWrap/>
            <w:vAlign w:val="bottom"/>
            <w:hideMark/>
          </w:tcPr>
          <w:p w14:paraId="3E43958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120</w:t>
            </w:r>
          </w:p>
        </w:tc>
        <w:tc>
          <w:tcPr>
            <w:tcW w:w="586" w:type="dxa"/>
            <w:tcBorders>
              <w:top w:val="nil"/>
              <w:left w:val="nil"/>
              <w:bottom w:val="nil"/>
              <w:right w:val="nil"/>
            </w:tcBorders>
            <w:shd w:val="clear" w:color="000000" w:fill="FFFFFF"/>
            <w:noWrap/>
            <w:vAlign w:val="bottom"/>
            <w:hideMark/>
          </w:tcPr>
          <w:p w14:paraId="41CD4D2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7C152EC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48</w:t>
            </w:r>
          </w:p>
        </w:tc>
        <w:tc>
          <w:tcPr>
            <w:tcW w:w="351" w:type="dxa"/>
            <w:tcBorders>
              <w:top w:val="nil"/>
              <w:left w:val="nil"/>
              <w:bottom w:val="nil"/>
              <w:right w:val="nil"/>
            </w:tcBorders>
            <w:shd w:val="clear" w:color="000000" w:fill="FFFFFF"/>
            <w:noWrap/>
            <w:vAlign w:val="bottom"/>
            <w:hideMark/>
          </w:tcPr>
          <w:p w14:paraId="53B053D2"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2E8C7CB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67</w:t>
            </w:r>
          </w:p>
        </w:tc>
        <w:tc>
          <w:tcPr>
            <w:tcW w:w="497" w:type="dxa"/>
            <w:tcBorders>
              <w:top w:val="nil"/>
              <w:left w:val="nil"/>
              <w:bottom w:val="nil"/>
              <w:right w:val="nil"/>
            </w:tcBorders>
            <w:shd w:val="clear" w:color="000000" w:fill="FFFFFF"/>
            <w:noWrap/>
            <w:vAlign w:val="bottom"/>
            <w:hideMark/>
          </w:tcPr>
          <w:p w14:paraId="5E99B27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31</w:t>
            </w:r>
          </w:p>
        </w:tc>
        <w:tc>
          <w:tcPr>
            <w:tcW w:w="497" w:type="dxa"/>
            <w:tcBorders>
              <w:top w:val="nil"/>
              <w:left w:val="nil"/>
              <w:bottom w:val="nil"/>
              <w:right w:val="nil"/>
            </w:tcBorders>
            <w:shd w:val="clear" w:color="000000" w:fill="FFFFFF"/>
            <w:noWrap/>
            <w:vAlign w:val="bottom"/>
            <w:hideMark/>
          </w:tcPr>
          <w:p w14:paraId="495FDF8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49</w:t>
            </w:r>
          </w:p>
        </w:tc>
        <w:tc>
          <w:tcPr>
            <w:tcW w:w="497" w:type="dxa"/>
            <w:tcBorders>
              <w:top w:val="nil"/>
              <w:left w:val="nil"/>
              <w:bottom w:val="nil"/>
              <w:right w:val="nil"/>
            </w:tcBorders>
            <w:shd w:val="clear" w:color="000000" w:fill="FFFFFF"/>
            <w:noWrap/>
            <w:vAlign w:val="bottom"/>
            <w:hideMark/>
          </w:tcPr>
          <w:p w14:paraId="7E0F6AF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37</w:t>
            </w:r>
          </w:p>
        </w:tc>
        <w:tc>
          <w:tcPr>
            <w:tcW w:w="497" w:type="dxa"/>
            <w:tcBorders>
              <w:top w:val="nil"/>
              <w:left w:val="nil"/>
              <w:bottom w:val="nil"/>
              <w:right w:val="nil"/>
            </w:tcBorders>
            <w:shd w:val="clear" w:color="000000" w:fill="FFFFFF"/>
            <w:noWrap/>
            <w:vAlign w:val="bottom"/>
            <w:hideMark/>
          </w:tcPr>
          <w:p w14:paraId="3087DB5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113</w:t>
            </w:r>
          </w:p>
        </w:tc>
        <w:tc>
          <w:tcPr>
            <w:tcW w:w="351" w:type="dxa"/>
            <w:tcBorders>
              <w:top w:val="nil"/>
              <w:left w:val="nil"/>
              <w:bottom w:val="nil"/>
              <w:right w:val="nil"/>
            </w:tcBorders>
            <w:shd w:val="clear" w:color="000000" w:fill="FFFFFF"/>
            <w:noWrap/>
            <w:vAlign w:val="bottom"/>
            <w:hideMark/>
          </w:tcPr>
          <w:p w14:paraId="66F6E023"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280193C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54</w:t>
            </w:r>
          </w:p>
        </w:tc>
        <w:tc>
          <w:tcPr>
            <w:tcW w:w="497" w:type="dxa"/>
            <w:tcBorders>
              <w:top w:val="nil"/>
              <w:left w:val="nil"/>
              <w:bottom w:val="nil"/>
              <w:right w:val="nil"/>
            </w:tcBorders>
            <w:shd w:val="clear" w:color="000000" w:fill="FFFFFF"/>
            <w:noWrap/>
            <w:vAlign w:val="bottom"/>
            <w:hideMark/>
          </w:tcPr>
          <w:p w14:paraId="5F8E225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136</w:t>
            </w:r>
          </w:p>
        </w:tc>
        <w:tc>
          <w:tcPr>
            <w:tcW w:w="497" w:type="dxa"/>
            <w:tcBorders>
              <w:top w:val="nil"/>
              <w:left w:val="nil"/>
              <w:bottom w:val="nil"/>
              <w:right w:val="nil"/>
            </w:tcBorders>
            <w:shd w:val="clear" w:color="000000" w:fill="FFFFFF"/>
            <w:noWrap/>
            <w:vAlign w:val="bottom"/>
            <w:hideMark/>
          </w:tcPr>
          <w:p w14:paraId="6AC730A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81</w:t>
            </w:r>
          </w:p>
        </w:tc>
        <w:tc>
          <w:tcPr>
            <w:tcW w:w="497" w:type="dxa"/>
            <w:tcBorders>
              <w:top w:val="nil"/>
              <w:left w:val="nil"/>
              <w:bottom w:val="nil"/>
              <w:right w:val="nil"/>
            </w:tcBorders>
            <w:shd w:val="clear" w:color="000000" w:fill="FFFFFF"/>
            <w:noWrap/>
            <w:vAlign w:val="bottom"/>
            <w:hideMark/>
          </w:tcPr>
          <w:p w14:paraId="76A33FF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53</w:t>
            </w:r>
          </w:p>
        </w:tc>
        <w:tc>
          <w:tcPr>
            <w:tcW w:w="497" w:type="dxa"/>
            <w:tcBorders>
              <w:top w:val="nil"/>
              <w:left w:val="nil"/>
              <w:bottom w:val="nil"/>
              <w:right w:val="nil"/>
            </w:tcBorders>
            <w:shd w:val="clear" w:color="000000" w:fill="FFFFFF"/>
            <w:noWrap/>
            <w:vAlign w:val="bottom"/>
            <w:hideMark/>
          </w:tcPr>
          <w:p w14:paraId="6FDA3FA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90</w:t>
            </w:r>
          </w:p>
        </w:tc>
        <w:tc>
          <w:tcPr>
            <w:tcW w:w="351" w:type="dxa"/>
            <w:tcBorders>
              <w:top w:val="nil"/>
              <w:left w:val="nil"/>
              <w:bottom w:val="nil"/>
              <w:right w:val="nil"/>
            </w:tcBorders>
            <w:shd w:val="clear" w:color="000000" w:fill="FFFFFF"/>
            <w:noWrap/>
            <w:vAlign w:val="bottom"/>
            <w:hideMark/>
          </w:tcPr>
          <w:p w14:paraId="22C89774"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0466F00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55</w:t>
            </w:r>
          </w:p>
        </w:tc>
        <w:tc>
          <w:tcPr>
            <w:tcW w:w="497" w:type="dxa"/>
            <w:tcBorders>
              <w:top w:val="nil"/>
              <w:left w:val="nil"/>
              <w:bottom w:val="nil"/>
              <w:right w:val="nil"/>
            </w:tcBorders>
            <w:shd w:val="clear" w:color="000000" w:fill="FFFFFF"/>
            <w:noWrap/>
            <w:vAlign w:val="bottom"/>
            <w:hideMark/>
          </w:tcPr>
          <w:p w14:paraId="7C12B01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50</w:t>
            </w:r>
          </w:p>
        </w:tc>
        <w:tc>
          <w:tcPr>
            <w:tcW w:w="497" w:type="dxa"/>
            <w:tcBorders>
              <w:top w:val="nil"/>
              <w:left w:val="nil"/>
              <w:bottom w:val="nil"/>
              <w:right w:val="nil"/>
            </w:tcBorders>
            <w:shd w:val="clear" w:color="000000" w:fill="FFFFFF"/>
            <w:noWrap/>
            <w:vAlign w:val="bottom"/>
            <w:hideMark/>
          </w:tcPr>
          <w:p w14:paraId="73FACFC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61</w:t>
            </w:r>
          </w:p>
        </w:tc>
        <w:tc>
          <w:tcPr>
            <w:tcW w:w="497" w:type="dxa"/>
            <w:tcBorders>
              <w:top w:val="nil"/>
              <w:left w:val="nil"/>
              <w:bottom w:val="nil"/>
              <w:right w:val="nil"/>
            </w:tcBorders>
            <w:shd w:val="clear" w:color="000000" w:fill="FFFFFF"/>
            <w:noWrap/>
            <w:vAlign w:val="bottom"/>
            <w:hideMark/>
          </w:tcPr>
          <w:p w14:paraId="7802DD2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17</w:t>
            </w:r>
          </w:p>
        </w:tc>
        <w:tc>
          <w:tcPr>
            <w:tcW w:w="497" w:type="dxa"/>
            <w:tcBorders>
              <w:top w:val="nil"/>
              <w:left w:val="nil"/>
              <w:bottom w:val="nil"/>
              <w:right w:val="nil"/>
            </w:tcBorders>
            <w:shd w:val="clear" w:color="000000" w:fill="FFFFFF"/>
            <w:noWrap/>
            <w:vAlign w:val="bottom"/>
            <w:hideMark/>
          </w:tcPr>
          <w:p w14:paraId="20EA76B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65</w:t>
            </w:r>
          </w:p>
        </w:tc>
      </w:tr>
      <w:tr w:rsidR="00E1298C" w:rsidRPr="00FD3202" w14:paraId="6BF8A346"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40668067"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3758D672"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Chonelasma</w:t>
            </w:r>
          </w:p>
        </w:tc>
        <w:tc>
          <w:tcPr>
            <w:tcW w:w="587" w:type="dxa"/>
            <w:tcBorders>
              <w:top w:val="nil"/>
              <w:left w:val="nil"/>
              <w:bottom w:val="nil"/>
              <w:right w:val="nil"/>
            </w:tcBorders>
            <w:shd w:val="clear" w:color="000000" w:fill="FFFFFF"/>
            <w:noWrap/>
            <w:vAlign w:val="bottom"/>
            <w:hideMark/>
          </w:tcPr>
          <w:p w14:paraId="6627A3E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19C7187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0601DD9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109E3C8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2184BEA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7C926ADF"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181AF04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C81035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C6A5D9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794ADF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DE397B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3F40AC16"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2F16A8F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35C4DC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72029B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7ED900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13</w:t>
            </w:r>
          </w:p>
        </w:tc>
        <w:tc>
          <w:tcPr>
            <w:tcW w:w="497" w:type="dxa"/>
            <w:tcBorders>
              <w:top w:val="nil"/>
              <w:left w:val="nil"/>
              <w:bottom w:val="nil"/>
              <w:right w:val="nil"/>
            </w:tcBorders>
            <w:shd w:val="clear" w:color="000000" w:fill="FFFFFF"/>
            <w:noWrap/>
            <w:vAlign w:val="bottom"/>
            <w:hideMark/>
          </w:tcPr>
          <w:p w14:paraId="3FBB0CA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05E10750"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24E234B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50D5A9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C588A2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BB9B2D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E0EE1C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r>
      <w:tr w:rsidR="00E1298C" w:rsidRPr="00FD3202" w14:paraId="48AEA493"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3C9CAAAB"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614C2DDF"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Docosaccus</w:t>
            </w:r>
          </w:p>
        </w:tc>
        <w:tc>
          <w:tcPr>
            <w:tcW w:w="587" w:type="dxa"/>
            <w:tcBorders>
              <w:top w:val="nil"/>
              <w:left w:val="nil"/>
              <w:bottom w:val="nil"/>
              <w:right w:val="nil"/>
            </w:tcBorders>
            <w:shd w:val="clear" w:color="000000" w:fill="FFFFFF"/>
            <w:noWrap/>
            <w:vAlign w:val="bottom"/>
            <w:hideMark/>
          </w:tcPr>
          <w:p w14:paraId="4288B65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11C87B9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73</w:t>
            </w:r>
          </w:p>
        </w:tc>
        <w:tc>
          <w:tcPr>
            <w:tcW w:w="586" w:type="dxa"/>
            <w:tcBorders>
              <w:top w:val="nil"/>
              <w:left w:val="nil"/>
              <w:bottom w:val="nil"/>
              <w:right w:val="nil"/>
            </w:tcBorders>
            <w:shd w:val="clear" w:color="000000" w:fill="FFFFFF"/>
            <w:noWrap/>
            <w:vAlign w:val="bottom"/>
            <w:hideMark/>
          </w:tcPr>
          <w:p w14:paraId="5339B14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48</w:t>
            </w:r>
          </w:p>
        </w:tc>
        <w:tc>
          <w:tcPr>
            <w:tcW w:w="586" w:type="dxa"/>
            <w:tcBorders>
              <w:top w:val="nil"/>
              <w:left w:val="nil"/>
              <w:bottom w:val="nil"/>
              <w:right w:val="nil"/>
            </w:tcBorders>
            <w:shd w:val="clear" w:color="000000" w:fill="FFFFFF"/>
            <w:noWrap/>
            <w:vAlign w:val="bottom"/>
            <w:hideMark/>
          </w:tcPr>
          <w:p w14:paraId="6753132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7912FD5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688DA63B"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1D2F051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2FE4280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5EDFEC4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19</w:t>
            </w:r>
          </w:p>
        </w:tc>
        <w:tc>
          <w:tcPr>
            <w:tcW w:w="497" w:type="dxa"/>
            <w:tcBorders>
              <w:top w:val="nil"/>
              <w:left w:val="nil"/>
              <w:bottom w:val="nil"/>
              <w:right w:val="nil"/>
            </w:tcBorders>
            <w:shd w:val="clear" w:color="000000" w:fill="FFFFFF"/>
            <w:noWrap/>
            <w:vAlign w:val="bottom"/>
            <w:hideMark/>
          </w:tcPr>
          <w:p w14:paraId="4F7957C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w:t>
            </w:r>
          </w:p>
        </w:tc>
        <w:tc>
          <w:tcPr>
            <w:tcW w:w="497" w:type="dxa"/>
            <w:tcBorders>
              <w:top w:val="nil"/>
              <w:left w:val="nil"/>
              <w:bottom w:val="nil"/>
              <w:right w:val="nil"/>
            </w:tcBorders>
            <w:shd w:val="clear" w:color="000000" w:fill="FFFFFF"/>
            <w:noWrap/>
            <w:vAlign w:val="bottom"/>
            <w:hideMark/>
          </w:tcPr>
          <w:p w14:paraId="7D297FA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31</w:t>
            </w:r>
          </w:p>
        </w:tc>
        <w:tc>
          <w:tcPr>
            <w:tcW w:w="351" w:type="dxa"/>
            <w:tcBorders>
              <w:top w:val="nil"/>
              <w:left w:val="nil"/>
              <w:bottom w:val="nil"/>
              <w:right w:val="nil"/>
            </w:tcBorders>
            <w:shd w:val="clear" w:color="000000" w:fill="FFFFFF"/>
            <w:noWrap/>
            <w:vAlign w:val="bottom"/>
            <w:hideMark/>
          </w:tcPr>
          <w:p w14:paraId="3C121383"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1C83622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40</w:t>
            </w:r>
          </w:p>
        </w:tc>
        <w:tc>
          <w:tcPr>
            <w:tcW w:w="497" w:type="dxa"/>
            <w:tcBorders>
              <w:top w:val="nil"/>
              <w:left w:val="nil"/>
              <w:bottom w:val="nil"/>
              <w:right w:val="nil"/>
            </w:tcBorders>
            <w:shd w:val="clear" w:color="000000" w:fill="FFFFFF"/>
            <w:noWrap/>
            <w:vAlign w:val="bottom"/>
            <w:hideMark/>
          </w:tcPr>
          <w:p w14:paraId="7758682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14</w:t>
            </w:r>
          </w:p>
        </w:tc>
        <w:tc>
          <w:tcPr>
            <w:tcW w:w="497" w:type="dxa"/>
            <w:tcBorders>
              <w:top w:val="nil"/>
              <w:left w:val="nil"/>
              <w:bottom w:val="nil"/>
              <w:right w:val="nil"/>
            </w:tcBorders>
            <w:shd w:val="clear" w:color="000000" w:fill="FFFFFF"/>
            <w:noWrap/>
            <w:vAlign w:val="bottom"/>
            <w:hideMark/>
          </w:tcPr>
          <w:p w14:paraId="15A063A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14</w:t>
            </w:r>
          </w:p>
        </w:tc>
        <w:tc>
          <w:tcPr>
            <w:tcW w:w="497" w:type="dxa"/>
            <w:tcBorders>
              <w:top w:val="nil"/>
              <w:left w:val="nil"/>
              <w:bottom w:val="nil"/>
              <w:right w:val="nil"/>
            </w:tcBorders>
            <w:shd w:val="clear" w:color="000000" w:fill="FFFFFF"/>
            <w:noWrap/>
            <w:vAlign w:val="bottom"/>
            <w:hideMark/>
          </w:tcPr>
          <w:p w14:paraId="451CD70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E716EE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13</w:t>
            </w:r>
          </w:p>
        </w:tc>
        <w:tc>
          <w:tcPr>
            <w:tcW w:w="351" w:type="dxa"/>
            <w:tcBorders>
              <w:top w:val="nil"/>
              <w:left w:val="nil"/>
              <w:bottom w:val="nil"/>
              <w:right w:val="nil"/>
            </w:tcBorders>
            <w:shd w:val="clear" w:color="000000" w:fill="FFFFFF"/>
            <w:noWrap/>
            <w:vAlign w:val="bottom"/>
            <w:hideMark/>
          </w:tcPr>
          <w:p w14:paraId="60B83B1B"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16C054A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18</w:t>
            </w:r>
          </w:p>
        </w:tc>
        <w:tc>
          <w:tcPr>
            <w:tcW w:w="497" w:type="dxa"/>
            <w:tcBorders>
              <w:top w:val="nil"/>
              <w:left w:val="nil"/>
              <w:bottom w:val="nil"/>
              <w:right w:val="nil"/>
            </w:tcBorders>
            <w:shd w:val="clear" w:color="000000" w:fill="FFFFFF"/>
            <w:noWrap/>
            <w:vAlign w:val="bottom"/>
            <w:hideMark/>
          </w:tcPr>
          <w:p w14:paraId="6B7C35F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172F913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497" w:type="dxa"/>
            <w:tcBorders>
              <w:top w:val="nil"/>
              <w:left w:val="nil"/>
              <w:bottom w:val="nil"/>
              <w:right w:val="nil"/>
            </w:tcBorders>
            <w:shd w:val="clear" w:color="000000" w:fill="FFFFFF"/>
            <w:noWrap/>
            <w:vAlign w:val="bottom"/>
            <w:hideMark/>
          </w:tcPr>
          <w:p w14:paraId="16E292E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D2B141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36</w:t>
            </w:r>
          </w:p>
        </w:tc>
      </w:tr>
      <w:tr w:rsidR="00E1298C" w:rsidRPr="00FD3202" w14:paraId="249DB653"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6EEC7CA8"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01773065"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Euplectella</w:t>
            </w:r>
          </w:p>
        </w:tc>
        <w:tc>
          <w:tcPr>
            <w:tcW w:w="587" w:type="dxa"/>
            <w:tcBorders>
              <w:top w:val="nil"/>
              <w:left w:val="nil"/>
              <w:bottom w:val="nil"/>
              <w:right w:val="nil"/>
            </w:tcBorders>
            <w:shd w:val="clear" w:color="000000" w:fill="FFFFFF"/>
            <w:noWrap/>
            <w:vAlign w:val="bottom"/>
            <w:hideMark/>
          </w:tcPr>
          <w:p w14:paraId="548853C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586" w:type="dxa"/>
            <w:tcBorders>
              <w:top w:val="nil"/>
              <w:left w:val="nil"/>
              <w:bottom w:val="nil"/>
              <w:right w:val="nil"/>
            </w:tcBorders>
            <w:shd w:val="clear" w:color="000000" w:fill="FFFFFF"/>
            <w:noWrap/>
            <w:vAlign w:val="bottom"/>
            <w:hideMark/>
          </w:tcPr>
          <w:p w14:paraId="0D03D9C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67C5B73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2712038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791F4B3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4095FECF"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555D261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718B007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C9ECE3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35927B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E5538F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25</w:t>
            </w:r>
          </w:p>
        </w:tc>
        <w:tc>
          <w:tcPr>
            <w:tcW w:w="351" w:type="dxa"/>
            <w:tcBorders>
              <w:top w:val="nil"/>
              <w:left w:val="nil"/>
              <w:bottom w:val="nil"/>
              <w:right w:val="nil"/>
            </w:tcBorders>
            <w:shd w:val="clear" w:color="000000" w:fill="FFFFFF"/>
            <w:noWrap/>
            <w:vAlign w:val="bottom"/>
            <w:hideMark/>
          </w:tcPr>
          <w:p w14:paraId="667789C9"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12EDE25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B11539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14</w:t>
            </w:r>
          </w:p>
        </w:tc>
        <w:tc>
          <w:tcPr>
            <w:tcW w:w="497" w:type="dxa"/>
            <w:tcBorders>
              <w:top w:val="nil"/>
              <w:left w:val="nil"/>
              <w:bottom w:val="nil"/>
              <w:right w:val="nil"/>
            </w:tcBorders>
            <w:shd w:val="clear" w:color="000000" w:fill="FFFFFF"/>
            <w:noWrap/>
            <w:vAlign w:val="bottom"/>
            <w:hideMark/>
          </w:tcPr>
          <w:p w14:paraId="72C17B5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41</w:t>
            </w:r>
          </w:p>
        </w:tc>
        <w:tc>
          <w:tcPr>
            <w:tcW w:w="497" w:type="dxa"/>
            <w:tcBorders>
              <w:top w:val="nil"/>
              <w:left w:val="nil"/>
              <w:bottom w:val="nil"/>
              <w:right w:val="nil"/>
            </w:tcBorders>
            <w:shd w:val="clear" w:color="000000" w:fill="FFFFFF"/>
            <w:noWrap/>
            <w:vAlign w:val="bottom"/>
            <w:hideMark/>
          </w:tcPr>
          <w:p w14:paraId="03A663A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2149881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51</w:t>
            </w:r>
          </w:p>
        </w:tc>
        <w:tc>
          <w:tcPr>
            <w:tcW w:w="351" w:type="dxa"/>
            <w:tcBorders>
              <w:top w:val="nil"/>
              <w:left w:val="nil"/>
              <w:bottom w:val="nil"/>
              <w:right w:val="nil"/>
            </w:tcBorders>
            <w:shd w:val="clear" w:color="000000" w:fill="FFFFFF"/>
            <w:noWrap/>
            <w:vAlign w:val="bottom"/>
            <w:hideMark/>
          </w:tcPr>
          <w:p w14:paraId="1CF670FC"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355947D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3D25EA3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296CAB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DEAE78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nil"/>
              <w:right w:val="nil"/>
            </w:tcBorders>
            <w:shd w:val="clear" w:color="000000" w:fill="FFFFFF"/>
            <w:noWrap/>
            <w:vAlign w:val="bottom"/>
            <w:hideMark/>
          </w:tcPr>
          <w:p w14:paraId="57C1105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r>
      <w:tr w:rsidR="00E1298C" w:rsidRPr="00FD3202" w14:paraId="5B83EF35"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51684F44"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lastRenderedPageBreak/>
              <w:t> </w:t>
            </w:r>
          </w:p>
        </w:tc>
        <w:tc>
          <w:tcPr>
            <w:tcW w:w="2379" w:type="dxa"/>
            <w:tcBorders>
              <w:top w:val="nil"/>
              <w:left w:val="nil"/>
              <w:bottom w:val="nil"/>
              <w:right w:val="nil"/>
            </w:tcBorders>
            <w:shd w:val="clear" w:color="000000" w:fill="FFFFFF"/>
            <w:noWrap/>
            <w:vAlign w:val="bottom"/>
            <w:hideMark/>
          </w:tcPr>
          <w:p w14:paraId="29B5B7A0" w14:textId="05F6D364"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Porifera</w:t>
            </w:r>
            <w:r w:rsidR="000C455D">
              <w:rPr>
                <w:rFonts w:eastAsia="Times New Roman" w:cs="Times New Roman"/>
                <w:color w:val="000000"/>
                <w:kern w:val="0"/>
                <w:sz w:val="20"/>
                <w:szCs w:val="20"/>
                <w:lang w:val="en-GB" w:eastAsia="nl-BE"/>
                <w14:ligatures w14:val="none"/>
              </w:rPr>
              <w:t xml:space="preserve"> </w:t>
            </w:r>
            <w:r w:rsidR="000C455D" w:rsidRPr="0016473F">
              <w:rPr>
                <w:rFonts w:eastAsia="Times New Roman" w:cs="Times New Roman"/>
                <w:i/>
                <w:color w:val="000000"/>
                <w:kern w:val="0"/>
                <w:sz w:val="20"/>
                <w:szCs w:val="20"/>
                <w:lang w:val="en-GB" w:eastAsia="nl-BE"/>
                <w14:ligatures w14:val="none"/>
              </w:rPr>
              <w:t>mtps</w:t>
            </w:r>
          </w:p>
        </w:tc>
        <w:tc>
          <w:tcPr>
            <w:tcW w:w="587" w:type="dxa"/>
            <w:tcBorders>
              <w:top w:val="nil"/>
              <w:left w:val="nil"/>
              <w:bottom w:val="nil"/>
              <w:right w:val="nil"/>
            </w:tcBorders>
            <w:shd w:val="clear" w:color="000000" w:fill="FFFFFF"/>
            <w:noWrap/>
            <w:vAlign w:val="bottom"/>
            <w:hideMark/>
          </w:tcPr>
          <w:p w14:paraId="3B52396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120</w:t>
            </w:r>
          </w:p>
        </w:tc>
        <w:tc>
          <w:tcPr>
            <w:tcW w:w="586" w:type="dxa"/>
            <w:tcBorders>
              <w:top w:val="nil"/>
              <w:left w:val="nil"/>
              <w:bottom w:val="nil"/>
              <w:right w:val="nil"/>
            </w:tcBorders>
            <w:shd w:val="clear" w:color="000000" w:fill="FFFFFF"/>
            <w:noWrap/>
            <w:vAlign w:val="bottom"/>
            <w:hideMark/>
          </w:tcPr>
          <w:p w14:paraId="5C7050A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5BD2C74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72</w:t>
            </w:r>
          </w:p>
        </w:tc>
        <w:tc>
          <w:tcPr>
            <w:tcW w:w="586" w:type="dxa"/>
            <w:tcBorders>
              <w:top w:val="nil"/>
              <w:left w:val="nil"/>
              <w:bottom w:val="nil"/>
              <w:right w:val="nil"/>
            </w:tcBorders>
            <w:shd w:val="clear" w:color="000000" w:fill="FFFFFF"/>
            <w:noWrap/>
            <w:vAlign w:val="bottom"/>
            <w:hideMark/>
          </w:tcPr>
          <w:p w14:paraId="4034840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39B9DD1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48</w:t>
            </w:r>
          </w:p>
        </w:tc>
        <w:tc>
          <w:tcPr>
            <w:tcW w:w="351" w:type="dxa"/>
            <w:tcBorders>
              <w:top w:val="nil"/>
              <w:left w:val="nil"/>
              <w:bottom w:val="nil"/>
              <w:right w:val="nil"/>
            </w:tcBorders>
            <w:shd w:val="clear" w:color="000000" w:fill="FFFFFF"/>
            <w:noWrap/>
            <w:vAlign w:val="bottom"/>
            <w:hideMark/>
          </w:tcPr>
          <w:p w14:paraId="2A632E9F"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3A0041E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55</w:t>
            </w:r>
          </w:p>
        </w:tc>
        <w:tc>
          <w:tcPr>
            <w:tcW w:w="497" w:type="dxa"/>
            <w:tcBorders>
              <w:top w:val="nil"/>
              <w:left w:val="nil"/>
              <w:bottom w:val="nil"/>
              <w:right w:val="nil"/>
            </w:tcBorders>
            <w:shd w:val="clear" w:color="000000" w:fill="FFFFFF"/>
            <w:noWrap/>
            <w:vAlign w:val="bottom"/>
            <w:hideMark/>
          </w:tcPr>
          <w:p w14:paraId="36EC56D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25</w:t>
            </w:r>
          </w:p>
        </w:tc>
        <w:tc>
          <w:tcPr>
            <w:tcW w:w="497" w:type="dxa"/>
            <w:tcBorders>
              <w:top w:val="nil"/>
              <w:left w:val="nil"/>
              <w:bottom w:val="nil"/>
              <w:right w:val="nil"/>
            </w:tcBorders>
            <w:shd w:val="clear" w:color="000000" w:fill="FFFFFF"/>
            <w:noWrap/>
            <w:vAlign w:val="bottom"/>
            <w:hideMark/>
          </w:tcPr>
          <w:p w14:paraId="23CB4FF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31</w:t>
            </w:r>
          </w:p>
        </w:tc>
        <w:tc>
          <w:tcPr>
            <w:tcW w:w="497" w:type="dxa"/>
            <w:tcBorders>
              <w:top w:val="nil"/>
              <w:left w:val="nil"/>
              <w:bottom w:val="nil"/>
              <w:right w:val="nil"/>
            </w:tcBorders>
            <w:shd w:val="clear" w:color="000000" w:fill="FFFFFF"/>
            <w:noWrap/>
            <w:vAlign w:val="bottom"/>
            <w:hideMark/>
          </w:tcPr>
          <w:p w14:paraId="49C8825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25</w:t>
            </w:r>
          </w:p>
        </w:tc>
        <w:tc>
          <w:tcPr>
            <w:tcW w:w="497" w:type="dxa"/>
            <w:tcBorders>
              <w:top w:val="nil"/>
              <w:left w:val="nil"/>
              <w:bottom w:val="nil"/>
              <w:right w:val="nil"/>
            </w:tcBorders>
            <w:shd w:val="clear" w:color="000000" w:fill="FFFFFF"/>
            <w:noWrap/>
            <w:vAlign w:val="bottom"/>
            <w:hideMark/>
          </w:tcPr>
          <w:p w14:paraId="2C3E016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57</w:t>
            </w:r>
          </w:p>
        </w:tc>
        <w:tc>
          <w:tcPr>
            <w:tcW w:w="351" w:type="dxa"/>
            <w:tcBorders>
              <w:top w:val="nil"/>
              <w:left w:val="nil"/>
              <w:bottom w:val="nil"/>
              <w:right w:val="nil"/>
            </w:tcBorders>
            <w:shd w:val="clear" w:color="000000" w:fill="FFFFFF"/>
            <w:noWrap/>
            <w:vAlign w:val="bottom"/>
            <w:hideMark/>
          </w:tcPr>
          <w:p w14:paraId="61C7A6AD"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43521CC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13</w:t>
            </w:r>
          </w:p>
        </w:tc>
        <w:tc>
          <w:tcPr>
            <w:tcW w:w="497" w:type="dxa"/>
            <w:tcBorders>
              <w:top w:val="nil"/>
              <w:left w:val="nil"/>
              <w:bottom w:val="nil"/>
              <w:right w:val="nil"/>
            </w:tcBorders>
            <w:shd w:val="clear" w:color="000000" w:fill="FFFFFF"/>
            <w:noWrap/>
            <w:vAlign w:val="bottom"/>
            <w:hideMark/>
          </w:tcPr>
          <w:p w14:paraId="4026E7A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109</w:t>
            </w:r>
          </w:p>
        </w:tc>
        <w:tc>
          <w:tcPr>
            <w:tcW w:w="497" w:type="dxa"/>
            <w:tcBorders>
              <w:top w:val="nil"/>
              <w:left w:val="nil"/>
              <w:bottom w:val="nil"/>
              <w:right w:val="nil"/>
            </w:tcBorders>
            <w:shd w:val="clear" w:color="000000" w:fill="FFFFFF"/>
            <w:noWrap/>
            <w:vAlign w:val="bottom"/>
            <w:hideMark/>
          </w:tcPr>
          <w:p w14:paraId="2F91674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27</w:t>
            </w:r>
          </w:p>
        </w:tc>
        <w:tc>
          <w:tcPr>
            <w:tcW w:w="497" w:type="dxa"/>
            <w:tcBorders>
              <w:top w:val="nil"/>
              <w:left w:val="nil"/>
              <w:bottom w:val="nil"/>
              <w:right w:val="nil"/>
            </w:tcBorders>
            <w:shd w:val="clear" w:color="000000" w:fill="FFFFFF"/>
            <w:noWrap/>
            <w:vAlign w:val="bottom"/>
            <w:hideMark/>
          </w:tcPr>
          <w:p w14:paraId="7832F8E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40</w:t>
            </w:r>
          </w:p>
        </w:tc>
        <w:tc>
          <w:tcPr>
            <w:tcW w:w="497" w:type="dxa"/>
            <w:tcBorders>
              <w:top w:val="nil"/>
              <w:left w:val="nil"/>
              <w:bottom w:val="nil"/>
              <w:right w:val="nil"/>
            </w:tcBorders>
            <w:shd w:val="clear" w:color="000000" w:fill="FFFFFF"/>
            <w:noWrap/>
            <w:vAlign w:val="bottom"/>
            <w:hideMark/>
          </w:tcPr>
          <w:p w14:paraId="5684DE3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26</w:t>
            </w:r>
          </w:p>
        </w:tc>
        <w:tc>
          <w:tcPr>
            <w:tcW w:w="351" w:type="dxa"/>
            <w:tcBorders>
              <w:top w:val="nil"/>
              <w:left w:val="nil"/>
              <w:bottom w:val="nil"/>
              <w:right w:val="nil"/>
            </w:tcBorders>
            <w:shd w:val="clear" w:color="000000" w:fill="FFFFFF"/>
            <w:noWrap/>
            <w:vAlign w:val="bottom"/>
            <w:hideMark/>
          </w:tcPr>
          <w:p w14:paraId="424E95EA"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5BD9FDF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30</w:t>
            </w:r>
          </w:p>
        </w:tc>
        <w:tc>
          <w:tcPr>
            <w:tcW w:w="497" w:type="dxa"/>
            <w:tcBorders>
              <w:top w:val="nil"/>
              <w:left w:val="nil"/>
              <w:bottom w:val="nil"/>
              <w:right w:val="nil"/>
            </w:tcBorders>
            <w:shd w:val="clear" w:color="000000" w:fill="FFFFFF"/>
            <w:noWrap/>
            <w:vAlign w:val="bottom"/>
            <w:hideMark/>
          </w:tcPr>
          <w:p w14:paraId="54F18D6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44</w:t>
            </w:r>
          </w:p>
        </w:tc>
        <w:tc>
          <w:tcPr>
            <w:tcW w:w="497" w:type="dxa"/>
            <w:tcBorders>
              <w:top w:val="nil"/>
              <w:left w:val="nil"/>
              <w:bottom w:val="nil"/>
              <w:right w:val="nil"/>
            </w:tcBorders>
            <w:shd w:val="clear" w:color="000000" w:fill="FFFFFF"/>
            <w:noWrap/>
            <w:vAlign w:val="bottom"/>
            <w:hideMark/>
          </w:tcPr>
          <w:p w14:paraId="51CB897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36</w:t>
            </w:r>
          </w:p>
        </w:tc>
        <w:tc>
          <w:tcPr>
            <w:tcW w:w="497" w:type="dxa"/>
            <w:tcBorders>
              <w:top w:val="nil"/>
              <w:left w:val="nil"/>
              <w:bottom w:val="nil"/>
              <w:right w:val="nil"/>
            </w:tcBorders>
            <w:shd w:val="clear" w:color="000000" w:fill="FFFFFF"/>
            <w:noWrap/>
            <w:vAlign w:val="bottom"/>
            <w:hideMark/>
          </w:tcPr>
          <w:p w14:paraId="0866095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w:t>
            </w:r>
          </w:p>
        </w:tc>
        <w:tc>
          <w:tcPr>
            <w:tcW w:w="497" w:type="dxa"/>
            <w:tcBorders>
              <w:top w:val="nil"/>
              <w:left w:val="nil"/>
              <w:bottom w:val="nil"/>
              <w:right w:val="nil"/>
            </w:tcBorders>
            <w:shd w:val="clear" w:color="000000" w:fill="FFFFFF"/>
            <w:noWrap/>
            <w:vAlign w:val="bottom"/>
            <w:hideMark/>
          </w:tcPr>
          <w:p w14:paraId="4D80A69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18</w:t>
            </w:r>
          </w:p>
        </w:tc>
      </w:tr>
      <w:tr w:rsidR="00E1298C" w:rsidRPr="00FD3202" w14:paraId="5D9578C4"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6F7CA3DC"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1BA7266F"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Staurocalyptus mtp</w:t>
            </w:r>
          </w:p>
        </w:tc>
        <w:tc>
          <w:tcPr>
            <w:tcW w:w="587" w:type="dxa"/>
            <w:tcBorders>
              <w:top w:val="nil"/>
              <w:left w:val="nil"/>
              <w:bottom w:val="nil"/>
              <w:right w:val="nil"/>
            </w:tcBorders>
            <w:shd w:val="clear" w:color="000000" w:fill="FFFFFF"/>
            <w:noWrap/>
            <w:vAlign w:val="bottom"/>
            <w:hideMark/>
          </w:tcPr>
          <w:p w14:paraId="767A3F5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4ADE118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445439B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6E3820F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586" w:type="dxa"/>
            <w:tcBorders>
              <w:top w:val="nil"/>
              <w:left w:val="nil"/>
              <w:bottom w:val="nil"/>
              <w:right w:val="nil"/>
            </w:tcBorders>
            <w:shd w:val="clear" w:color="000000" w:fill="FFFFFF"/>
            <w:noWrap/>
            <w:vAlign w:val="bottom"/>
            <w:hideMark/>
          </w:tcPr>
          <w:p w14:paraId="7A556FA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3AA873D7"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6B70DEC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641FC37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319BD05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194F82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B00690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29CAE7BF"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682963E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16EB574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D7F68D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BE63FE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4B2F1A9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351" w:type="dxa"/>
            <w:tcBorders>
              <w:top w:val="nil"/>
              <w:left w:val="nil"/>
              <w:bottom w:val="nil"/>
              <w:right w:val="nil"/>
            </w:tcBorders>
            <w:shd w:val="clear" w:color="000000" w:fill="FFFFFF"/>
            <w:noWrap/>
            <w:vAlign w:val="bottom"/>
            <w:hideMark/>
          </w:tcPr>
          <w:p w14:paraId="691B4B26"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571ED12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44B025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5CA675E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79065A7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nil"/>
              <w:right w:val="nil"/>
            </w:tcBorders>
            <w:shd w:val="clear" w:color="000000" w:fill="FFFFFF"/>
            <w:noWrap/>
            <w:vAlign w:val="bottom"/>
            <w:hideMark/>
          </w:tcPr>
          <w:p w14:paraId="03C9538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r>
      <w:tr w:rsidR="00E1298C" w:rsidRPr="00FD3202" w14:paraId="7CAF5DDC" w14:textId="77777777" w:rsidTr="00E1298C">
        <w:trPr>
          <w:trHeight w:val="300"/>
          <w:jc w:val="center"/>
        </w:trPr>
        <w:tc>
          <w:tcPr>
            <w:tcW w:w="2565" w:type="dxa"/>
            <w:gridSpan w:val="2"/>
            <w:tcBorders>
              <w:top w:val="nil"/>
              <w:left w:val="nil"/>
              <w:bottom w:val="nil"/>
              <w:right w:val="nil"/>
            </w:tcBorders>
            <w:shd w:val="clear" w:color="000000" w:fill="FFFFFF"/>
            <w:noWrap/>
            <w:vAlign w:val="bottom"/>
            <w:hideMark/>
          </w:tcPr>
          <w:p w14:paraId="4A46EF8A"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Unknown</w:t>
            </w:r>
          </w:p>
        </w:tc>
        <w:tc>
          <w:tcPr>
            <w:tcW w:w="587" w:type="dxa"/>
            <w:tcBorders>
              <w:top w:val="nil"/>
              <w:left w:val="nil"/>
              <w:bottom w:val="nil"/>
              <w:right w:val="nil"/>
            </w:tcBorders>
            <w:shd w:val="clear" w:color="000000" w:fill="FFFFFF"/>
            <w:noWrap/>
            <w:vAlign w:val="bottom"/>
            <w:hideMark/>
          </w:tcPr>
          <w:p w14:paraId="1E60500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4413</w:t>
            </w:r>
          </w:p>
        </w:tc>
        <w:tc>
          <w:tcPr>
            <w:tcW w:w="586" w:type="dxa"/>
            <w:tcBorders>
              <w:top w:val="nil"/>
              <w:left w:val="nil"/>
              <w:bottom w:val="nil"/>
              <w:right w:val="nil"/>
            </w:tcBorders>
            <w:shd w:val="clear" w:color="000000" w:fill="FFFFFF"/>
            <w:noWrap/>
            <w:vAlign w:val="bottom"/>
            <w:hideMark/>
          </w:tcPr>
          <w:p w14:paraId="6FEB270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4598</w:t>
            </w:r>
          </w:p>
        </w:tc>
        <w:tc>
          <w:tcPr>
            <w:tcW w:w="586" w:type="dxa"/>
            <w:tcBorders>
              <w:top w:val="nil"/>
              <w:left w:val="nil"/>
              <w:bottom w:val="nil"/>
              <w:right w:val="nil"/>
            </w:tcBorders>
            <w:shd w:val="clear" w:color="000000" w:fill="FFFFFF"/>
            <w:noWrap/>
            <w:vAlign w:val="bottom"/>
            <w:hideMark/>
          </w:tcPr>
          <w:p w14:paraId="2B446B5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4129</w:t>
            </w:r>
          </w:p>
        </w:tc>
        <w:tc>
          <w:tcPr>
            <w:tcW w:w="586" w:type="dxa"/>
            <w:tcBorders>
              <w:top w:val="nil"/>
              <w:left w:val="nil"/>
              <w:bottom w:val="nil"/>
              <w:right w:val="nil"/>
            </w:tcBorders>
            <w:shd w:val="clear" w:color="000000" w:fill="FFFFFF"/>
            <w:noWrap/>
            <w:vAlign w:val="bottom"/>
            <w:hideMark/>
          </w:tcPr>
          <w:p w14:paraId="7AD6CCE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2771</w:t>
            </w:r>
          </w:p>
        </w:tc>
        <w:tc>
          <w:tcPr>
            <w:tcW w:w="586" w:type="dxa"/>
            <w:tcBorders>
              <w:top w:val="nil"/>
              <w:left w:val="nil"/>
              <w:bottom w:val="nil"/>
              <w:right w:val="nil"/>
            </w:tcBorders>
            <w:shd w:val="clear" w:color="000000" w:fill="FFFFFF"/>
            <w:noWrap/>
            <w:vAlign w:val="bottom"/>
            <w:hideMark/>
          </w:tcPr>
          <w:p w14:paraId="1D80CEF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3337</w:t>
            </w:r>
          </w:p>
        </w:tc>
        <w:tc>
          <w:tcPr>
            <w:tcW w:w="351" w:type="dxa"/>
            <w:tcBorders>
              <w:top w:val="nil"/>
              <w:left w:val="nil"/>
              <w:bottom w:val="nil"/>
              <w:right w:val="nil"/>
            </w:tcBorders>
            <w:shd w:val="clear" w:color="000000" w:fill="FFFFFF"/>
            <w:noWrap/>
            <w:vAlign w:val="bottom"/>
            <w:hideMark/>
          </w:tcPr>
          <w:p w14:paraId="71914B39"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6DFFB3F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1544</w:t>
            </w:r>
          </w:p>
        </w:tc>
        <w:tc>
          <w:tcPr>
            <w:tcW w:w="497" w:type="dxa"/>
            <w:tcBorders>
              <w:top w:val="nil"/>
              <w:left w:val="nil"/>
              <w:bottom w:val="nil"/>
              <w:right w:val="nil"/>
            </w:tcBorders>
            <w:shd w:val="clear" w:color="000000" w:fill="FFFFFF"/>
            <w:noWrap/>
            <w:vAlign w:val="bottom"/>
            <w:hideMark/>
          </w:tcPr>
          <w:p w14:paraId="05A7875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2303</w:t>
            </w:r>
          </w:p>
        </w:tc>
        <w:tc>
          <w:tcPr>
            <w:tcW w:w="497" w:type="dxa"/>
            <w:tcBorders>
              <w:top w:val="nil"/>
              <w:left w:val="nil"/>
              <w:bottom w:val="nil"/>
              <w:right w:val="nil"/>
            </w:tcBorders>
            <w:shd w:val="clear" w:color="000000" w:fill="FFFFFF"/>
            <w:noWrap/>
            <w:vAlign w:val="bottom"/>
            <w:hideMark/>
          </w:tcPr>
          <w:p w14:paraId="0700A7A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2242</w:t>
            </w:r>
          </w:p>
        </w:tc>
        <w:tc>
          <w:tcPr>
            <w:tcW w:w="497" w:type="dxa"/>
            <w:tcBorders>
              <w:top w:val="nil"/>
              <w:left w:val="nil"/>
              <w:bottom w:val="nil"/>
              <w:right w:val="nil"/>
            </w:tcBorders>
            <w:shd w:val="clear" w:color="000000" w:fill="FFFFFF"/>
            <w:noWrap/>
            <w:vAlign w:val="bottom"/>
            <w:hideMark/>
          </w:tcPr>
          <w:p w14:paraId="3F2D1D6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2402</w:t>
            </w:r>
          </w:p>
        </w:tc>
        <w:tc>
          <w:tcPr>
            <w:tcW w:w="497" w:type="dxa"/>
            <w:tcBorders>
              <w:top w:val="nil"/>
              <w:left w:val="nil"/>
              <w:bottom w:val="nil"/>
              <w:right w:val="nil"/>
            </w:tcBorders>
            <w:shd w:val="clear" w:color="000000" w:fill="FFFFFF"/>
            <w:noWrap/>
            <w:vAlign w:val="bottom"/>
            <w:hideMark/>
          </w:tcPr>
          <w:p w14:paraId="40CD701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1449</w:t>
            </w:r>
          </w:p>
        </w:tc>
        <w:tc>
          <w:tcPr>
            <w:tcW w:w="351" w:type="dxa"/>
            <w:tcBorders>
              <w:top w:val="nil"/>
              <w:left w:val="nil"/>
              <w:bottom w:val="nil"/>
              <w:right w:val="nil"/>
            </w:tcBorders>
            <w:shd w:val="clear" w:color="000000" w:fill="FFFFFF"/>
            <w:noWrap/>
            <w:vAlign w:val="bottom"/>
            <w:hideMark/>
          </w:tcPr>
          <w:p w14:paraId="24526911"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08957FE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3334</w:t>
            </w:r>
          </w:p>
        </w:tc>
        <w:tc>
          <w:tcPr>
            <w:tcW w:w="497" w:type="dxa"/>
            <w:tcBorders>
              <w:top w:val="nil"/>
              <w:left w:val="nil"/>
              <w:bottom w:val="nil"/>
              <w:right w:val="nil"/>
            </w:tcBorders>
            <w:shd w:val="clear" w:color="000000" w:fill="FFFFFF"/>
            <w:noWrap/>
            <w:vAlign w:val="bottom"/>
            <w:hideMark/>
          </w:tcPr>
          <w:p w14:paraId="6A597D4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3016</w:t>
            </w:r>
          </w:p>
        </w:tc>
        <w:tc>
          <w:tcPr>
            <w:tcW w:w="497" w:type="dxa"/>
            <w:tcBorders>
              <w:top w:val="nil"/>
              <w:left w:val="nil"/>
              <w:bottom w:val="nil"/>
              <w:right w:val="nil"/>
            </w:tcBorders>
            <w:shd w:val="clear" w:color="000000" w:fill="FFFFFF"/>
            <w:noWrap/>
            <w:vAlign w:val="bottom"/>
            <w:hideMark/>
          </w:tcPr>
          <w:p w14:paraId="06276F3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3957</w:t>
            </w:r>
          </w:p>
        </w:tc>
        <w:tc>
          <w:tcPr>
            <w:tcW w:w="497" w:type="dxa"/>
            <w:tcBorders>
              <w:top w:val="nil"/>
              <w:left w:val="nil"/>
              <w:bottom w:val="nil"/>
              <w:right w:val="nil"/>
            </w:tcBorders>
            <w:shd w:val="clear" w:color="000000" w:fill="FFFFFF"/>
            <w:noWrap/>
            <w:vAlign w:val="bottom"/>
            <w:hideMark/>
          </w:tcPr>
          <w:p w14:paraId="31E1B4A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4587</w:t>
            </w:r>
          </w:p>
        </w:tc>
        <w:tc>
          <w:tcPr>
            <w:tcW w:w="497" w:type="dxa"/>
            <w:tcBorders>
              <w:top w:val="nil"/>
              <w:left w:val="nil"/>
              <w:bottom w:val="nil"/>
              <w:right w:val="nil"/>
            </w:tcBorders>
            <w:shd w:val="clear" w:color="000000" w:fill="FFFFFF"/>
            <w:noWrap/>
            <w:vAlign w:val="bottom"/>
            <w:hideMark/>
          </w:tcPr>
          <w:p w14:paraId="3ADCE65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6345</w:t>
            </w:r>
          </w:p>
        </w:tc>
        <w:tc>
          <w:tcPr>
            <w:tcW w:w="351" w:type="dxa"/>
            <w:tcBorders>
              <w:top w:val="nil"/>
              <w:left w:val="nil"/>
              <w:bottom w:val="nil"/>
              <w:right w:val="nil"/>
            </w:tcBorders>
            <w:shd w:val="clear" w:color="000000" w:fill="FFFFFF"/>
            <w:noWrap/>
            <w:vAlign w:val="bottom"/>
            <w:hideMark/>
          </w:tcPr>
          <w:p w14:paraId="477DE98E"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4475C4C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1848</w:t>
            </w:r>
          </w:p>
        </w:tc>
        <w:tc>
          <w:tcPr>
            <w:tcW w:w="497" w:type="dxa"/>
            <w:tcBorders>
              <w:top w:val="nil"/>
              <w:left w:val="nil"/>
              <w:bottom w:val="nil"/>
              <w:right w:val="nil"/>
            </w:tcBorders>
            <w:shd w:val="clear" w:color="000000" w:fill="FFFFFF"/>
            <w:noWrap/>
            <w:vAlign w:val="bottom"/>
            <w:hideMark/>
          </w:tcPr>
          <w:p w14:paraId="750AD81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2262</w:t>
            </w:r>
          </w:p>
        </w:tc>
        <w:tc>
          <w:tcPr>
            <w:tcW w:w="497" w:type="dxa"/>
            <w:tcBorders>
              <w:top w:val="nil"/>
              <w:left w:val="nil"/>
              <w:bottom w:val="nil"/>
              <w:right w:val="nil"/>
            </w:tcBorders>
            <w:shd w:val="clear" w:color="000000" w:fill="FFFFFF"/>
            <w:noWrap/>
            <w:vAlign w:val="bottom"/>
            <w:hideMark/>
          </w:tcPr>
          <w:p w14:paraId="3C11B7D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2644</w:t>
            </w:r>
          </w:p>
        </w:tc>
        <w:tc>
          <w:tcPr>
            <w:tcW w:w="497" w:type="dxa"/>
            <w:tcBorders>
              <w:top w:val="nil"/>
              <w:left w:val="nil"/>
              <w:bottom w:val="nil"/>
              <w:right w:val="nil"/>
            </w:tcBorders>
            <w:shd w:val="clear" w:color="000000" w:fill="FFFFFF"/>
            <w:noWrap/>
            <w:vAlign w:val="bottom"/>
            <w:hideMark/>
          </w:tcPr>
          <w:p w14:paraId="0EC75F5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1676</w:t>
            </w:r>
          </w:p>
        </w:tc>
        <w:tc>
          <w:tcPr>
            <w:tcW w:w="497" w:type="dxa"/>
            <w:tcBorders>
              <w:top w:val="nil"/>
              <w:left w:val="nil"/>
              <w:bottom w:val="nil"/>
              <w:right w:val="nil"/>
            </w:tcBorders>
            <w:shd w:val="clear" w:color="000000" w:fill="FFFFFF"/>
            <w:noWrap/>
            <w:vAlign w:val="bottom"/>
            <w:hideMark/>
          </w:tcPr>
          <w:p w14:paraId="11A1867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1943</w:t>
            </w:r>
          </w:p>
        </w:tc>
      </w:tr>
      <w:tr w:rsidR="00E1298C" w:rsidRPr="00FD3202" w14:paraId="5CB4CDA1" w14:textId="77777777" w:rsidTr="00E1298C">
        <w:trPr>
          <w:trHeight w:val="300"/>
          <w:jc w:val="center"/>
        </w:trPr>
        <w:tc>
          <w:tcPr>
            <w:tcW w:w="2565" w:type="dxa"/>
            <w:gridSpan w:val="2"/>
            <w:tcBorders>
              <w:top w:val="nil"/>
              <w:left w:val="nil"/>
              <w:bottom w:val="nil"/>
              <w:right w:val="nil"/>
            </w:tcBorders>
            <w:shd w:val="clear" w:color="000000" w:fill="FFFFFF"/>
            <w:noWrap/>
            <w:vAlign w:val="bottom"/>
            <w:hideMark/>
          </w:tcPr>
          <w:p w14:paraId="6EB0C5B1"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Xenophyophora</w:t>
            </w:r>
          </w:p>
        </w:tc>
        <w:tc>
          <w:tcPr>
            <w:tcW w:w="587" w:type="dxa"/>
            <w:tcBorders>
              <w:top w:val="nil"/>
              <w:left w:val="nil"/>
              <w:bottom w:val="nil"/>
              <w:right w:val="nil"/>
            </w:tcBorders>
            <w:shd w:val="clear" w:color="000000" w:fill="FFFFFF"/>
            <w:noWrap/>
            <w:vAlign w:val="bottom"/>
            <w:hideMark/>
          </w:tcPr>
          <w:p w14:paraId="0E9D126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17989</w:t>
            </w:r>
          </w:p>
        </w:tc>
        <w:tc>
          <w:tcPr>
            <w:tcW w:w="586" w:type="dxa"/>
            <w:tcBorders>
              <w:top w:val="nil"/>
              <w:left w:val="nil"/>
              <w:bottom w:val="nil"/>
              <w:right w:val="nil"/>
            </w:tcBorders>
            <w:shd w:val="clear" w:color="000000" w:fill="FFFFFF"/>
            <w:noWrap/>
            <w:vAlign w:val="bottom"/>
            <w:hideMark/>
          </w:tcPr>
          <w:p w14:paraId="3AD80A6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23261</w:t>
            </w:r>
          </w:p>
        </w:tc>
        <w:tc>
          <w:tcPr>
            <w:tcW w:w="586" w:type="dxa"/>
            <w:tcBorders>
              <w:top w:val="nil"/>
              <w:left w:val="nil"/>
              <w:bottom w:val="nil"/>
              <w:right w:val="nil"/>
            </w:tcBorders>
            <w:shd w:val="clear" w:color="000000" w:fill="FFFFFF"/>
            <w:noWrap/>
            <w:vAlign w:val="bottom"/>
            <w:hideMark/>
          </w:tcPr>
          <w:p w14:paraId="0D13FD7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19444</w:t>
            </w:r>
          </w:p>
        </w:tc>
        <w:tc>
          <w:tcPr>
            <w:tcW w:w="586" w:type="dxa"/>
            <w:tcBorders>
              <w:top w:val="nil"/>
              <w:left w:val="nil"/>
              <w:bottom w:val="nil"/>
              <w:right w:val="nil"/>
            </w:tcBorders>
            <w:shd w:val="clear" w:color="000000" w:fill="FFFFFF"/>
            <w:noWrap/>
            <w:vAlign w:val="bottom"/>
            <w:hideMark/>
          </w:tcPr>
          <w:p w14:paraId="52EF953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14629</w:t>
            </w:r>
          </w:p>
        </w:tc>
        <w:tc>
          <w:tcPr>
            <w:tcW w:w="586" w:type="dxa"/>
            <w:tcBorders>
              <w:top w:val="nil"/>
              <w:left w:val="nil"/>
              <w:bottom w:val="nil"/>
              <w:right w:val="nil"/>
            </w:tcBorders>
            <w:shd w:val="clear" w:color="000000" w:fill="FFFFFF"/>
            <w:noWrap/>
            <w:vAlign w:val="bottom"/>
            <w:hideMark/>
          </w:tcPr>
          <w:p w14:paraId="4C3C812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19712</w:t>
            </w:r>
          </w:p>
        </w:tc>
        <w:tc>
          <w:tcPr>
            <w:tcW w:w="351" w:type="dxa"/>
            <w:tcBorders>
              <w:top w:val="nil"/>
              <w:left w:val="nil"/>
              <w:bottom w:val="nil"/>
              <w:right w:val="nil"/>
            </w:tcBorders>
            <w:shd w:val="clear" w:color="000000" w:fill="FFFFFF"/>
            <w:noWrap/>
            <w:vAlign w:val="bottom"/>
            <w:hideMark/>
          </w:tcPr>
          <w:p w14:paraId="48328529"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552B5C3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464</w:t>
            </w:r>
          </w:p>
        </w:tc>
        <w:tc>
          <w:tcPr>
            <w:tcW w:w="497" w:type="dxa"/>
            <w:tcBorders>
              <w:top w:val="nil"/>
              <w:left w:val="nil"/>
              <w:bottom w:val="nil"/>
              <w:right w:val="nil"/>
            </w:tcBorders>
            <w:shd w:val="clear" w:color="000000" w:fill="FFFFFF"/>
            <w:noWrap/>
            <w:vAlign w:val="bottom"/>
            <w:hideMark/>
          </w:tcPr>
          <w:p w14:paraId="7B7EBB5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839</w:t>
            </w:r>
          </w:p>
        </w:tc>
        <w:tc>
          <w:tcPr>
            <w:tcW w:w="497" w:type="dxa"/>
            <w:tcBorders>
              <w:top w:val="nil"/>
              <w:left w:val="nil"/>
              <w:bottom w:val="nil"/>
              <w:right w:val="nil"/>
            </w:tcBorders>
            <w:shd w:val="clear" w:color="000000" w:fill="FFFFFF"/>
            <w:noWrap/>
            <w:vAlign w:val="bottom"/>
            <w:hideMark/>
          </w:tcPr>
          <w:p w14:paraId="47E7073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1000</w:t>
            </w:r>
          </w:p>
        </w:tc>
        <w:tc>
          <w:tcPr>
            <w:tcW w:w="497" w:type="dxa"/>
            <w:tcBorders>
              <w:top w:val="nil"/>
              <w:left w:val="nil"/>
              <w:bottom w:val="nil"/>
              <w:right w:val="nil"/>
            </w:tcBorders>
            <w:shd w:val="clear" w:color="000000" w:fill="FFFFFF"/>
            <w:noWrap/>
            <w:vAlign w:val="bottom"/>
            <w:hideMark/>
          </w:tcPr>
          <w:p w14:paraId="050CFC2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1028</w:t>
            </w:r>
          </w:p>
        </w:tc>
        <w:tc>
          <w:tcPr>
            <w:tcW w:w="497" w:type="dxa"/>
            <w:tcBorders>
              <w:top w:val="nil"/>
              <w:left w:val="nil"/>
              <w:bottom w:val="nil"/>
              <w:right w:val="nil"/>
            </w:tcBorders>
            <w:shd w:val="clear" w:color="000000" w:fill="FFFFFF"/>
            <w:noWrap/>
            <w:vAlign w:val="bottom"/>
            <w:hideMark/>
          </w:tcPr>
          <w:p w14:paraId="5E3189C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907</w:t>
            </w:r>
          </w:p>
        </w:tc>
        <w:tc>
          <w:tcPr>
            <w:tcW w:w="351" w:type="dxa"/>
            <w:tcBorders>
              <w:top w:val="nil"/>
              <w:left w:val="nil"/>
              <w:bottom w:val="nil"/>
              <w:right w:val="nil"/>
            </w:tcBorders>
            <w:shd w:val="clear" w:color="000000" w:fill="FFFFFF"/>
            <w:noWrap/>
            <w:vAlign w:val="bottom"/>
            <w:hideMark/>
          </w:tcPr>
          <w:p w14:paraId="2D807B6E"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350BEB6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2767</w:t>
            </w:r>
          </w:p>
        </w:tc>
        <w:tc>
          <w:tcPr>
            <w:tcW w:w="497" w:type="dxa"/>
            <w:tcBorders>
              <w:top w:val="nil"/>
              <w:left w:val="nil"/>
              <w:bottom w:val="nil"/>
              <w:right w:val="nil"/>
            </w:tcBorders>
            <w:shd w:val="clear" w:color="000000" w:fill="FFFFFF"/>
            <w:noWrap/>
            <w:vAlign w:val="bottom"/>
            <w:hideMark/>
          </w:tcPr>
          <w:p w14:paraId="255289F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3193</w:t>
            </w:r>
          </w:p>
        </w:tc>
        <w:tc>
          <w:tcPr>
            <w:tcW w:w="497" w:type="dxa"/>
            <w:tcBorders>
              <w:top w:val="nil"/>
              <w:left w:val="nil"/>
              <w:bottom w:val="nil"/>
              <w:right w:val="nil"/>
            </w:tcBorders>
            <w:shd w:val="clear" w:color="000000" w:fill="FFFFFF"/>
            <w:noWrap/>
            <w:vAlign w:val="bottom"/>
            <w:hideMark/>
          </w:tcPr>
          <w:p w14:paraId="6A8471E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3120</w:t>
            </w:r>
          </w:p>
        </w:tc>
        <w:tc>
          <w:tcPr>
            <w:tcW w:w="497" w:type="dxa"/>
            <w:tcBorders>
              <w:top w:val="nil"/>
              <w:left w:val="nil"/>
              <w:bottom w:val="nil"/>
              <w:right w:val="nil"/>
            </w:tcBorders>
            <w:shd w:val="clear" w:color="000000" w:fill="FFFFFF"/>
            <w:noWrap/>
            <w:vAlign w:val="bottom"/>
            <w:hideMark/>
          </w:tcPr>
          <w:p w14:paraId="761246DD"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4944</w:t>
            </w:r>
          </w:p>
        </w:tc>
        <w:tc>
          <w:tcPr>
            <w:tcW w:w="497" w:type="dxa"/>
            <w:tcBorders>
              <w:top w:val="nil"/>
              <w:left w:val="nil"/>
              <w:bottom w:val="nil"/>
              <w:right w:val="nil"/>
            </w:tcBorders>
            <w:shd w:val="clear" w:color="000000" w:fill="FFFFFF"/>
            <w:noWrap/>
            <w:vAlign w:val="bottom"/>
            <w:hideMark/>
          </w:tcPr>
          <w:p w14:paraId="363582F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3223</w:t>
            </w:r>
          </w:p>
        </w:tc>
        <w:tc>
          <w:tcPr>
            <w:tcW w:w="351" w:type="dxa"/>
            <w:tcBorders>
              <w:top w:val="nil"/>
              <w:left w:val="nil"/>
              <w:bottom w:val="nil"/>
              <w:right w:val="nil"/>
            </w:tcBorders>
            <w:shd w:val="clear" w:color="000000" w:fill="FFFFFF"/>
            <w:noWrap/>
            <w:vAlign w:val="bottom"/>
            <w:hideMark/>
          </w:tcPr>
          <w:p w14:paraId="3DEE5982"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7BEC9BE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590</w:t>
            </w:r>
          </w:p>
        </w:tc>
        <w:tc>
          <w:tcPr>
            <w:tcW w:w="497" w:type="dxa"/>
            <w:tcBorders>
              <w:top w:val="nil"/>
              <w:left w:val="nil"/>
              <w:bottom w:val="nil"/>
              <w:right w:val="nil"/>
            </w:tcBorders>
            <w:shd w:val="clear" w:color="000000" w:fill="FFFFFF"/>
            <w:noWrap/>
            <w:vAlign w:val="bottom"/>
            <w:hideMark/>
          </w:tcPr>
          <w:p w14:paraId="3F25D84A"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536</w:t>
            </w:r>
          </w:p>
        </w:tc>
        <w:tc>
          <w:tcPr>
            <w:tcW w:w="497" w:type="dxa"/>
            <w:tcBorders>
              <w:top w:val="nil"/>
              <w:left w:val="nil"/>
              <w:bottom w:val="nil"/>
              <w:right w:val="nil"/>
            </w:tcBorders>
            <w:shd w:val="clear" w:color="000000" w:fill="FFFFFF"/>
            <w:noWrap/>
            <w:vAlign w:val="bottom"/>
            <w:hideMark/>
          </w:tcPr>
          <w:p w14:paraId="29E773F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629</w:t>
            </w:r>
          </w:p>
        </w:tc>
        <w:tc>
          <w:tcPr>
            <w:tcW w:w="497" w:type="dxa"/>
            <w:tcBorders>
              <w:top w:val="nil"/>
              <w:left w:val="nil"/>
              <w:bottom w:val="nil"/>
              <w:right w:val="nil"/>
            </w:tcBorders>
            <w:shd w:val="clear" w:color="000000" w:fill="FFFFFF"/>
            <w:noWrap/>
            <w:vAlign w:val="bottom"/>
            <w:hideMark/>
          </w:tcPr>
          <w:p w14:paraId="2F587F7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396</w:t>
            </w:r>
          </w:p>
        </w:tc>
        <w:tc>
          <w:tcPr>
            <w:tcW w:w="497" w:type="dxa"/>
            <w:tcBorders>
              <w:top w:val="nil"/>
              <w:left w:val="nil"/>
              <w:bottom w:val="nil"/>
              <w:right w:val="nil"/>
            </w:tcBorders>
            <w:shd w:val="clear" w:color="000000" w:fill="FFFFFF"/>
            <w:noWrap/>
            <w:vAlign w:val="bottom"/>
            <w:hideMark/>
          </w:tcPr>
          <w:p w14:paraId="711F66B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486</w:t>
            </w:r>
          </w:p>
        </w:tc>
      </w:tr>
      <w:tr w:rsidR="00E1298C" w:rsidRPr="00FD3202" w14:paraId="1BFD3DFB" w14:textId="77777777" w:rsidTr="00E1298C">
        <w:trPr>
          <w:trHeight w:val="300"/>
          <w:jc w:val="center"/>
        </w:trPr>
        <w:tc>
          <w:tcPr>
            <w:tcW w:w="186" w:type="dxa"/>
            <w:tcBorders>
              <w:top w:val="nil"/>
              <w:left w:val="nil"/>
              <w:bottom w:val="nil"/>
              <w:right w:val="nil"/>
            </w:tcBorders>
            <w:shd w:val="clear" w:color="000000" w:fill="FFFFFF"/>
            <w:noWrap/>
            <w:vAlign w:val="bottom"/>
            <w:hideMark/>
          </w:tcPr>
          <w:p w14:paraId="1F416E3C"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nil"/>
              <w:right w:val="nil"/>
            </w:tcBorders>
            <w:shd w:val="clear" w:color="000000" w:fill="FFFFFF"/>
            <w:noWrap/>
            <w:vAlign w:val="bottom"/>
            <w:hideMark/>
          </w:tcPr>
          <w:p w14:paraId="2C2EB7FC"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Plate-like mtps</w:t>
            </w:r>
          </w:p>
        </w:tc>
        <w:tc>
          <w:tcPr>
            <w:tcW w:w="587" w:type="dxa"/>
            <w:tcBorders>
              <w:top w:val="nil"/>
              <w:left w:val="nil"/>
              <w:bottom w:val="nil"/>
              <w:right w:val="nil"/>
            </w:tcBorders>
            <w:shd w:val="clear" w:color="000000" w:fill="FFFFFF"/>
            <w:noWrap/>
            <w:vAlign w:val="bottom"/>
            <w:hideMark/>
          </w:tcPr>
          <w:p w14:paraId="1754FD4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7627</w:t>
            </w:r>
          </w:p>
        </w:tc>
        <w:tc>
          <w:tcPr>
            <w:tcW w:w="586" w:type="dxa"/>
            <w:tcBorders>
              <w:top w:val="nil"/>
              <w:left w:val="nil"/>
              <w:bottom w:val="nil"/>
              <w:right w:val="nil"/>
            </w:tcBorders>
            <w:shd w:val="clear" w:color="000000" w:fill="FFFFFF"/>
            <w:noWrap/>
            <w:vAlign w:val="bottom"/>
            <w:hideMark/>
          </w:tcPr>
          <w:p w14:paraId="3284CE7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11031</w:t>
            </w:r>
          </w:p>
        </w:tc>
        <w:tc>
          <w:tcPr>
            <w:tcW w:w="586" w:type="dxa"/>
            <w:tcBorders>
              <w:top w:val="nil"/>
              <w:left w:val="nil"/>
              <w:bottom w:val="nil"/>
              <w:right w:val="nil"/>
            </w:tcBorders>
            <w:shd w:val="clear" w:color="000000" w:fill="FFFFFF"/>
            <w:noWrap/>
            <w:vAlign w:val="bottom"/>
            <w:hideMark/>
          </w:tcPr>
          <w:p w14:paraId="2BF10D30"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9338</w:t>
            </w:r>
          </w:p>
        </w:tc>
        <w:tc>
          <w:tcPr>
            <w:tcW w:w="586" w:type="dxa"/>
            <w:tcBorders>
              <w:top w:val="nil"/>
              <w:left w:val="nil"/>
              <w:bottom w:val="nil"/>
              <w:right w:val="nil"/>
            </w:tcBorders>
            <w:shd w:val="clear" w:color="000000" w:fill="FFFFFF"/>
            <w:noWrap/>
            <w:vAlign w:val="bottom"/>
            <w:hideMark/>
          </w:tcPr>
          <w:p w14:paraId="5993A422"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6507</w:t>
            </w:r>
          </w:p>
        </w:tc>
        <w:tc>
          <w:tcPr>
            <w:tcW w:w="586" w:type="dxa"/>
            <w:tcBorders>
              <w:top w:val="nil"/>
              <w:left w:val="nil"/>
              <w:bottom w:val="nil"/>
              <w:right w:val="nil"/>
            </w:tcBorders>
            <w:shd w:val="clear" w:color="000000" w:fill="FFFFFF"/>
            <w:noWrap/>
            <w:vAlign w:val="bottom"/>
            <w:hideMark/>
          </w:tcPr>
          <w:p w14:paraId="100C80F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8199</w:t>
            </w:r>
          </w:p>
        </w:tc>
        <w:tc>
          <w:tcPr>
            <w:tcW w:w="351" w:type="dxa"/>
            <w:tcBorders>
              <w:top w:val="nil"/>
              <w:left w:val="nil"/>
              <w:bottom w:val="nil"/>
              <w:right w:val="nil"/>
            </w:tcBorders>
            <w:shd w:val="clear" w:color="000000" w:fill="FFFFFF"/>
            <w:noWrap/>
            <w:vAlign w:val="bottom"/>
            <w:hideMark/>
          </w:tcPr>
          <w:p w14:paraId="4ABBA086"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nil"/>
              <w:right w:val="nil"/>
            </w:tcBorders>
            <w:shd w:val="clear" w:color="000000" w:fill="FFFFFF"/>
            <w:noWrap/>
            <w:vAlign w:val="bottom"/>
            <w:hideMark/>
          </w:tcPr>
          <w:p w14:paraId="1B0A220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439</w:t>
            </w:r>
          </w:p>
        </w:tc>
        <w:tc>
          <w:tcPr>
            <w:tcW w:w="497" w:type="dxa"/>
            <w:tcBorders>
              <w:top w:val="nil"/>
              <w:left w:val="nil"/>
              <w:bottom w:val="nil"/>
              <w:right w:val="nil"/>
            </w:tcBorders>
            <w:shd w:val="clear" w:color="000000" w:fill="FFFFFF"/>
            <w:noWrap/>
            <w:vAlign w:val="bottom"/>
            <w:hideMark/>
          </w:tcPr>
          <w:p w14:paraId="6EC7345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820</w:t>
            </w:r>
          </w:p>
        </w:tc>
        <w:tc>
          <w:tcPr>
            <w:tcW w:w="497" w:type="dxa"/>
            <w:tcBorders>
              <w:top w:val="nil"/>
              <w:left w:val="nil"/>
              <w:bottom w:val="nil"/>
              <w:right w:val="nil"/>
            </w:tcBorders>
            <w:shd w:val="clear" w:color="000000" w:fill="FFFFFF"/>
            <w:noWrap/>
            <w:vAlign w:val="bottom"/>
            <w:hideMark/>
          </w:tcPr>
          <w:p w14:paraId="6B30AFD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994</w:t>
            </w:r>
          </w:p>
        </w:tc>
        <w:tc>
          <w:tcPr>
            <w:tcW w:w="497" w:type="dxa"/>
            <w:tcBorders>
              <w:top w:val="nil"/>
              <w:left w:val="nil"/>
              <w:bottom w:val="nil"/>
              <w:right w:val="nil"/>
            </w:tcBorders>
            <w:shd w:val="clear" w:color="000000" w:fill="FFFFFF"/>
            <w:noWrap/>
            <w:vAlign w:val="bottom"/>
            <w:hideMark/>
          </w:tcPr>
          <w:p w14:paraId="45D7E0F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998</w:t>
            </w:r>
          </w:p>
        </w:tc>
        <w:tc>
          <w:tcPr>
            <w:tcW w:w="497" w:type="dxa"/>
            <w:tcBorders>
              <w:top w:val="nil"/>
              <w:left w:val="nil"/>
              <w:bottom w:val="nil"/>
              <w:right w:val="nil"/>
            </w:tcBorders>
            <w:shd w:val="clear" w:color="000000" w:fill="FFFFFF"/>
            <w:noWrap/>
            <w:vAlign w:val="bottom"/>
            <w:hideMark/>
          </w:tcPr>
          <w:p w14:paraId="05DF482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875</w:t>
            </w:r>
          </w:p>
        </w:tc>
        <w:tc>
          <w:tcPr>
            <w:tcW w:w="351" w:type="dxa"/>
            <w:tcBorders>
              <w:top w:val="nil"/>
              <w:left w:val="nil"/>
              <w:bottom w:val="nil"/>
              <w:right w:val="nil"/>
            </w:tcBorders>
            <w:shd w:val="clear" w:color="000000" w:fill="FFFFFF"/>
            <w:noWrap/>
            <w:vAlign w:val="bottom"/>
            <w:hideMark/>
          </w:tcPr>
          <w:p w14:paraId="61E04F91"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7559657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2430</w:t>
            </w:r>
          </w:p>
        </w:tc>
        <w:tc>
          <w:tcPr>
            <w:tcW w:w="497" w:type="dxa"/>
            <w:tcBorders>
              <w:top w:val="nil"/>
              <w:left w:val="nil"/>
              <w:bottom w:val="nil"/>
              <w:right w:val="nil"/>
            </w:tcBorders>
            <w:shd w:val="clear" w:color="000000" w:fill="FFFFFF"/>
            <w:noWrap/>
            <w:vAlign w:val="bottom"/>
            <w:hideMark/>
          </w:tcPr>
          <w:p w14:paraId="019730E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2893</w:t>
            </w:r>
          </w:p>
        </w:tc>
        <w:tc>
          <w:tcPr>
            <w:tcW w:w="497" w:type="dxa"/>
            <w:tcBorders>
              <w:top w:val="nil"/>
              <w:left w:val="nil"/>
              <w:bottom w:val="nil"/>
              <w:right w:val="nil"/>
            </w:tcBorders>
            <w:shd w:val="clear" w:color="000000" w:fill="FFFFFF"/>
            <w:noWrap/>
            <w:vAlign w:val="bottom"/>
            <w:hideMark/>
          </w:tcPr>
          <w:p w14:paraId="203B9BE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2850</w:t>
            </w:r>
          </w:p>
        </w:tc>
        <w:tc>
          <w:tcPr>
            <w:tcW w:w="497" w:type="dxa"/>
            <w:tcBorders>
              <w:top w:val="nil"/>
              <w:left w:val="nil"/>
              <w:bottom w:val="nil"/>
              <w:right w:val="nil"/>
            </w:tcBorders>
            <w:shd w:val="clear" w:color="000000" w:fill="FFFFFF"/>
            <w:noWrap/>
            <w:vAlign w:val="bottom"/>
            <w:hideMark/>
          </w:tcPr>
          <w:p w14:paraId="29D9D20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4058</w:t>
            </w:r>
          </w:p>
        </w:tc>
        <w:tc>
          <w:tcPr>
            <w:tcW w:w="497" w:type="dxa"/>
            <w:tcBorders>
              <w:top w:val="nil"/>
              <w:left w:val="nil"/>
              <w:bottom w:val="nil"/>
              <w:right w:val="nil"/>
            </w:tcBorders>
            <w:shd w:val="clear" w:color="000000" w:fill="FFFFFF"/>
            <w:noWrap/>
            <w:vAlign w:val="bottom"/>
            <w:hideMark/>
          </w:tcPr>
          <w:p w14:paraId="245B305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2993</w:t>
            </w:r>
          </w:p>
        </w:tc>
        <w:tc>
          <w:tcPr>
            <w:tcW w:w="351" w:type="dxa"/>
            <w:tcBorders>
              <w:top w:val="nil"/>
              <w:left w:val="nil"/>
              <w:bottom w:val="nil"/>
              <w:right w:val="nil"/>
            </w:tcBorders>
            <w:shd w:val="clear" w:color="000000" w:fill="FFFFFF"/>
            <w:noWrap/>
            <w:vAlign w:val="bottom"/>
            <w:hideMark/>
          </w:tcPr>
          <w:p w14:paraId="595A8156"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nil"/>
              <w:right w:val="nil"/>
            </w:tcBorders>
            <w:shd w:val="clear" w:color="000000" w:fill="FFFFFF"/>
            <w:noWrap/>
            <w:vAlign w:val="bottom"/>
            <w:hideMark/>
          </w:tcPr>
          <w:p w14:paraId="0020AEE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584</w:t>
            </w:r>
          </w:p>
        </w:tc>
        <w:tc>
          <w:tcPr>
            <w:tcW w:w="497" w:type="dxa"/>
            <w:tcBorders>
              <w:top w:val="nil"/>
              <w:left w:val="nil"/>
              <w:bottom w:val="nil"/>
              <w:right w:val="nil"/>
            </w:tcBorders>
            <w:shd w:val="clear" w:color="000000" w:fill="FFFFFF"/>
            <w:noWrap/>
            <w:vAlign w:val="bottom"/>
            <w:hideMark/>
          </w:tcPr>
          <w:p w14:paraId="00E19574"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536</w:t>
            </w:r>
          </w:p>
        </w:tc>
        <w:tc>
          <w:tcPr>
            <w:tcW w:w="497" w:type="dxa"/>
            <w:tcBorders>
              <w:top w:val="nil"/>
              <w:left w:val="nil"/>
              <w:bottom w:val="nil"/>
              <w:right w:val="nil"/>
            </w:tcBorders>
            <w:shd w:val="clear" w:color="000000" w:fill="FFFFFF"/>
            <w:noWrap/>
            <w:vAlign w:val="bottom"/>
            <w:hideMark/>
          </w:tcPr>
          <w:p w14:paraId="692F40F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575</w:t>
            </w:r>
          </w:p>
        </w:tc>
        <w:tc>
          <w:tcPr>
            <w:tcW w:w="497" w:type="dxa"/>
            <w:tcBorders>
              <w:top w:val="nil"/>
              <w:left w:val="nil"/>
              <w:bottom w:val="nil"/>
              <w:right w:val="nil"/>
            </w:tcBorders>
            <w:shd w:val="clear" w:color="000000" w:fill="FFFFFF"/>
            <w:noWrap/>
            <w:vAlign w:val="bottom"/>
            <w:hideMark/>
          </w:tcPr>
          <w:p w14:paraId="54DBD99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373</w:t>
            </w:r>
          </w:p>
        </w:tc>
        <w:tc>
          <w:tcPr>
            <w:tcW w:w="497" w:type="dxa"/>
            <w:tcBorders>
              <w:top w:val="nil"/>
              <w:left w:val="nil"/>
              <w:bottom w:val="nil"/>
              <w:right w:val="nil"/>
            </w:tcBorders>
            <w:shd w:val="clear" w:color="000000" w:fill="FFFFFF"/>
            <w:noWrap/>
            <w:vAlign w:val="bottom"/>
            <w:hideMark/>
          </w:tcPr>
          <w:p w14:paraId="1137928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438</w:t>
            </w:r>
          </w:p>
        </w:tc>
      </w:tr>
      <w:tr w:rsidR="00E1298C" w:rsidRPr="00FD3202" w14:paraId="09B87906" w14:textId="77777777" w:rsidTr="00E1298C">
        <w:trPr>
          <w:trHeight w:val="300"/>
          <w:jc w:val="center"/>
        </w:trPr>
        <w:tc>
          <w:tcPr>
            <w:tcW w:w="186" w:type="dxa"/>
            <w:tcBorders>
              <w:top w:val="nil"/>
              <w:left w:val="nil"/>
              <w:bottom w:val="single" w:sz="4" w:space="0" w:color="auto"/>
              <w:right w:val="nil"/>
            </w:tcBorders>
            <w:shd w:val="clear" w:color="000000" w:fill="FFFFFF"/>
            <w:noWrap/>
            <w:vAlign w:val="bottom"/>
            <w:hideMark/>
          </w:tcPr>
          <w:p w14:paraId="5D3F801A"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2379" w:type="dxa"/>
            <w:tcBorders>
              <w:top w:val="nil"/>
              <w:left w:val="nil"/>
              <w:bottom w:val="single" w:sz="4" w:space="0" w:color="auto"/>
              <w:right w:val="nil"/>
            </w:tcBorders>
            <w:shd w:val="clear" w:color="000000" w:fill="FFFFFF"/>
            <w:noWrap/>
            <w:vAlign w:val="bottom"/>
            <w:hideMark/>
          </w:tcPr>
          <w:p w14:paraId="68224EF1"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Reticulate mtps</w:t>
            </w:r>
          </w:p>
        </w:tc>
        <w:tc>
          <w:tcPr>
            <w:tcW w:w="587" w:type="dxa"/>
            <w:tcBorders>
              <w:top w:val="nil"/>
              <w:left w:val="nil"/>
              <w:bottom w:val="single" w:sz="4" w:space="0" w:color="auto"/>
              <w:right w:val="nil"/>
            </w:tcBorders>
            <w:shd w:val="clear" w:color="000000" w:fill="FFFFFF"/>
            <w:noWrap/>
            <w:vAlign w:val="bottom"/>
            <w:hideMark/>
          </w:tcPr>
          <w:p w14:paraId="073B6A2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10361</w:t>
            </w:r>
          </w:p>
        </w:tc>
        <w:tc>
          <w:tcPr>
            <w:tcW w:w="586" w:type="dxa"/>
            <w:tcBorders>
              <w:top w:val="nil"/>
              <w:left w:val="nil"/>
              <w:bottom w:val="single" w:sz="4" w:space="0" w:color="auto"/>
              <w:right w:val="nil"/>
            </w:tcBorders>
            <w:shd w:val="clear" w:color="000000" w:fill="FFFFFF"/>
            <w:noWrap/>
            <w:vAlign w:val="bottom"/>
            <w:hideMark/>
          </w:tcPr>
          <w:p w14:paraId="0D64955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12230</w:t>
            </w:r>
          </w:p>
        </w:tc>
        <w:tc>
          <w:tcPr>
            <w:tcW w:w="586" w:type="dxa"/>
            <w:tcBorders>
              <w:top w:val="nil"/>
              <w:left w:val="nil"/>
              <w:bottom w:val="single" w:sz="4" w:space="0" w:color="auto"/>
              <w:right w:val="nil"/>
            </w:tcBorders>
            <w:shd w:val="clear" w:color="000000" w:fill="FFFFFF"/>
            <w:noWrap/>
            <w:vAlign w:val="bottom"/>
            <w:hideMark/>
          </w:tcPr>
          <w:p w14:paraId="66C1FA6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10106</w:t>
            </w:r>
          </w:p>
        </w:tc>
        <w:tc>
          <w:tcPr>
            <w:tcW w:w="586" w:type="dxa"/>
            <w:tcBorders>
              <w:top w:val="nil"/>
              <w:left w:val="nil"/>
              <w:bottom w:val="single" w:sz="4" w:space="0" w:color="auto"/>
              <w:right w:val="nil"/>
            </w:tcBorders>
            <w:shd w:val="clear" w:color="000000" w:fill="FFFFFF"/>
            <w:noWrap/>
            <w:vAlign w:val="bottom"/>
            <w:hideMark/>
          </w:tcPr>
          <w:p w14:paraId="3AB02C6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8122</w:t>
            </w:r>
          </w:p>
        </w:tc>
        <w:tc>
          <w:tcPr>
            <w:tcW w:w="586" w:type="dxa"/>
            <w:tcBorders>
              <w:top w:val="nil"/>
              <w:left w:val="nil"/>
              <w:bottom w:val="single" w:sz="4" w:space="0" w:color="auto"/>
              <w:right w:val="nil"/>
            </w:tcBorders>
            <w:shd w:val="clear" w:color="000000" w:fill="FFFFFF"/>
            <w:noWrap/>
            <w:vAlign w:val="bottom"/>
            <w:hideMark/>
          </w:tcPr>
          <w:p w14:paraId="13A4C70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11512</w:t>
            </w:r>
          </w:p>
        </w:tc>
        <w:tc>
          <w:tcPr>
            <w:tcW w:w="351" w:type="dxa"/>
            <w:tcBorders>
              <w:top w:val="nil"/>
              <w:left w:val="nil"/>
              <w:bottom w:val="single" w:sz="4" w:space="0" w:color="auto"/>
              <w:right w:val="nil"/>
            </w:tcBorders>
            <w:shd w:val="clear" w:color="000000" w:fill="FFFFFF"/>
            <w:noWrap/>
            <w:vAlign w:val="bottom"/>
            <w:hideMark/>
          </w:tcPr>
          <w:p w14:paraId="337466A8"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640" w:type="dxa"/>
            <w:tcBorders>
              <w:top w:val="nil"/>
              <w:left w:val="nil"/>
              <w:bottom w:val="single" w:sz="4" w:space="0" w:color="auto"/>
              <w:right w:val="nil"/>
            </w:tcBorders>
            <w:shd w:val="clear" w:color="000000" w:fill="FFFFFF"/>
            <w:noWrap/>
            <w:vAlign w:val="bottom"/>
            <w:hideMark/>
          </w:tcPr>
          <w:p w14:paraId="13931253"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24</w:t>
            </w:r>
          </w:p>
        </w:tc>
        <w:tc>
          <w:tcPr>
            <w:tcW w:w="497" w:type="dxa"/>
            <w:tcBorders>
              <w:top w:val="nil"/>
              <w:left w:val="nil"/>
              <w:bottom w:val="single" w:sz="4" w:space="0" w:color="auto"/>
              <w:right w:val="nil"/>
            </w:tcBorders>
            <w:shd w:val="clear" w:color="000000" w:fill="FFFFFF"/>
            <w:noWrap/>
            <w:vAlign w:val="bottom"/>
            <w:hideMark/>
          </w:tcPr>
          <w:p w14:paraId="0C32C51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19</w:t>
            </w:r>
          </w:p>
        </w:tc>
        <w:tc>
          <w:tcPr>
            <w:tcW w:w="497" w:type="dxa"/>
            <w:tcBorders>
              <w:top w:val="nil"/>
              <w:left w:val="nil"/>
              <w:bottom w:val="single" w:sz="4" w:space="0" w:color="auto"/>
              <w:right w:val="nil"/>
            </w:tcBorders>
            <w:shd w:val="clear" w:color="000000" w:fill="FFFFFF"/>
            <w:noWrap/>
            <w:vAlign w:val="bottom"/>
            <w:hideMark/>
          </w:tcPr>
          <w:p w14:paraId="12BF82A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single" w:sz="4" w:space="0" w:color="auto"/>
              <w:right w:val="nil"/>
            </w:tcBorders>
            <w:shd w:val="clear" w:color="000000" w:fill="FFFFFF"/>
            <w:noWrap/>
            <w:vAlign w:val="bottom"/>
            <w:hideMark/>
          </w:tcPr>
          <w:p w14:paraId="5805350F"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31</w:t>
            </w:r>
          </w:p>
        </w:tc>
        <w:tc>
          <w:tcPr>
            <w:tcW w:w="497" w:type="dxa"/>
            <w:tcBorders>
              <w:top w:val="nil"/>
              <w:left w:val="nil"/>
              <w:bottom w:val="single" w:sz="4" w:space="0" w:color="auto"/>
              <w:right w:val="nil"/>
            </w:tcBorders>
            <w:shd w:val="clear" w:color="000000" w:fill="FFFFFF"/>
            <w:noWrap/>
            <w:vAlign w:val="bottom"/>
            <w:hideMark/>
          </w:tcPr>
          <w:p w14:paraId="5AD17736"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31</w:t>
            </w:r>
          </w:p>
        </w:tc>
        <w:tc>
          <w:tcPr>
            <w:tcW w:w="351" w:type="dxa"/>
            <w:tcBorders>
              <w:top w:val="nil"/>
              <w:left w:val="nil"/>
              <w:bottom w:val="single" w:sz="4" w:space="0" w:color="auto"/>
              <w:right w:val="nil"/>
            </w:tcBorders>
            <w:shd w:val="clear" w:color="000000" w:fill="FFFFFF"/>
            <w:noWrap/>
            <w:vAlign w:val="bottom"/>
            <w:hideMark/>
          </w:tcPr>
          <w:p w14:paraId="30D728A3"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single" w:sz="4" w:space="0" w:color="auto"/>
              <w:right w:val="nil"/>
            </w:tcBorders>
            <w:shd w:val="clear" w:color="000000" w:fill="FFFFFF"/>
            <w:noWrap/>
            <w:vAlign w:val="bottom"/>
            <w:hideMark/>
          </w:tcPr>
          <w:p w14:paraId="493EBCC5"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337</w:t>
            </w:r>
          </w:p>
        </w:tc>
        <w:tc>
          <w:tcPr>
            <w:tcW w:w="497" w:type="dxa"/>
            <w:tcBorders>
              <w:top w:val="nil"/>
              <w:left w:val="nil"/>
              <w:bottom w:val="single" w:sz="4" w:space="0" w:color="auto"/>
              <w:right w:val="nil"/>
            </w:tcBorders>
            <w:shd w:val="clear" w:color="000000" w:fill="FFFFFF"/>
            <w:noWrap/>
            <w:vAlign w:val="bottom"/>
            <w:hideMark/>
          </w:tcPr>
          <w:p w14:paraId="06DCBD51"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300</w:t>
            </w:r>
          </w:p>
        </w:tc>
        <w:tc>
          <w:tcPr>
            <w:tcW w:w="497" w:type="dxa"/>
            <w:tcBorders>
              <w:top w:val="nil"/>
              <w:left w:val="nil"/>
              <w:bottom w:val="single" w:sz="4" w:space="0" w:color="auto"/>
              <w:right w:val="nil"/>
            </w:tcBorders>
            <w:shd w:val="clear" w:color="000000" w:fill="FFFFFF"/>
            <w:noWrap/>
            <w:vAlign w:val="bottom"/>
            <w:hideMark/>
          </w:tcPr>
          <w:p w14:paraId="5D57878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270</w:t>
            </w:r>
          </w:p>
        </w:tc>
        <w:tc>
          <w:tcPr>
            <w:tcW w:w="497" w:type="dxa"/>
            <w:tcBorders>
              <w:top w:val="nil"/>
              <w:left w:val="nil"/>
              <w:bottom w:val="single" w:sz="4" w:space="0" w:color="auto"/>
              <w:right w:val="nil"/>
            </w:tcBorders>
            <w:shd w:val="clear" w:color="000000" w:fill="FFFFFF"/>
            <w:noWrap/>
            <w:vAlign w:val="bottom"/>
            <w:hideMark/>
          </w:tcPr>
          <w:p w14:paraId="01F7C567"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886</w:t>
            </w:r>
          </w:p>
        </w:tc>
        <w:tc>
          <w:tcPr>
            <w:tcW w:w="497" w:type="dxa"/>
            <w:tcBorders>
              <w:top w:val="nil"/>
              <w:left w:val="nil"/>
              <w:bottom w:val="single" w:sz="4" w:space="0" w:color="auto"/>
              <w:right w:val="nil"/>
            </w:tcBorders>
            <w:shd w:val="clear" w:color="000000" w:fill="FFFFFF"/>
            <w:noWrap/>
            <w:vAlign w:val="bottom"/>
            <w:hideMark/>
          </w:tcPr>
          <w:p w14:paraId="195CB518"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230</w:t>
            </w:r>
          </w:p>
        </w:tc>
        <w:tc>
          <w:tcPr>
            <w:tcW w:w="351" w:type="dxa"/>
            <w:tcBorders>
              <w:top w:val="nil"/>
              <w:left w:val="nil"/>
              <w:bottom w:val="single" w:sz="4" w:space="0" w:color="auto"/>
              <w:right w:val="nil"/>
            </w:tcBorders>
            <w:shd w:val="clear" w:color="000000" w:fill="FFFFFF"/>
            <w:noWrap/>
            <w:vAlign w:val="bottom"/>
            <w:hideMark/>
          </w:tcPr>
          <w:p w14:paraId="149C27CD" w14:textId="77777777" w:rsidR="00E1298C" w:rsidRPr="00FD3202" w:rsidRDefault="00E1298C" w:rsidP="00E1298C">
            <w:pPr>
              <w:spacing w:after="0" w:line="240" w:lineRule="auto"/>
              <w:jc w:val="lef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 </w:t>
            </w:r>
          </w:p>
        </w:tc>
        <w:tc>
          <w:tcPr>
            <w:tcW w:w="497" w:type="dxa"/>
            <w:tcBorders>
              <w:top w:val="nil"/>
              <w:left w:val="nil"/>
              <w:bottom w:val="single" w:sz="4" w:space="0" w:color="auto"/>
              <w:right w:val="nil"/>
            </w:tcBorders>
            <w:shd w:val="clear" w:color="000000" w:fill="FFFFFF"/>
            <w:noWrap/>
            <w:vAlign w:val="bottom"/>
            <w:hideMark/>
          </w:tcPr>
          <w:p w14:paraId="45AF91E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6</w:t>
            </w:r>
          </w:p>
        </w:tc>
        <w:tc>
          <w:tcPr>
            <w:tcW w:w="497" w:type="dxa"/>
            <w:tcBorders>
              <w:top w:val="nil"/>
              <w:left w:val="nil"/>
              <w:bottom w:val="single" w:sz="4" w:space="0" w:color="auto"/>
              <w:right w:val="nil"/>
            </w:tcBorders>
            <w:shd w:val="clear" w:color="000000" w:fill="FFFFFF"/>
            <w:noWrap/>
            <w:vAlign w:val="bottom"/>
            <w:hideMark/>
          </w:tcPr>
          <w:p w14:paraId="7B7E229C"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0</w:t>
            </w:r>
          </w:p>
        </w:tc>
        <w:tc>
          <w:tcPr>
            <w:tcW w:w="497" w:type="dxa"/>
            <w:tcBorders>
              <w:top w:val="nil"/>
              <w:left w:val="nil"/>
              <w:bottom w:val="single" w:sz="4" w:space="0" w:color="auto"/>
              <w:right w:val="nil"/>
            </w:tcBorders>
            <w:shd w:val="clear" w:color="000000" w:fill="FFFFFF"/>
            <w:noWrap/>
            <w:vAlign w:val="bottom"/>
            <w:hideMark/>
          </w:tcPr>
          <w:p w14:paraId="3102C1FE"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54</w:t>
            </w:r>
          </w:p>
        </w:tc>
        <w:tc>
          <w:tcPr>
            <w:tcW w:w="497" w:type="dxa"/>
            <w:tcBorders>
              <w:top w:val="nil"/>
              <w:left w:val="nil"/>
              <w:bottom w:val="single" w:sz="4" w:space="0" w:color="auto"/>
              <w:right w:val="nil"/>
            </w:tcBorders>
            <w:shd w:val="clear" w:color="000000" w:fill="FFFFFF"/>
            <w:noWrap/>
            <w:vAlign w:val="bottom"/>
            <w:hideMark/>
          </w:tcPr>
          <w:p w14:paraId="51D908E9"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23</w:t>
            </w:r>
          </w:p>
        </w:tc>
        <w:tc>
          <w:tcPr>
            <w:tcW w:w="497" w:type="dxa"/>
            <w:tcBorders>
              <w:top w:val="nil"/>
              <w:left w:val="nil"/>
              <w:bottom w:val="single" w:sz="4" w:space="0" w:color="auto"/>
              <w:right w:val="nil"/>
            </w:tcBorders>
            <w:shd w:val="clear" w:color="000000" w:fill="FFFFFF"/>
            <w:noWrap/>
            <w:vAlign w:val="bottom"/>
            <w:hideMark/>
          </w:tcPr>
          <w:p w14:paraId="0E37B21B" w14:textId="77777777" w:rsidR="00E1298C" w:rsidRPr="00FD3202" w:rsidRDefault="00E1298C" w:rsidP="00E1298C">
            <w:pPr>
              <w:spacing w:after="0" w:line="240" w:lineRule="auto"/>
              <w:jc w:val="right"/>
              <w:rPr>
                <w:rFonts w:eastAsia="Times New Roman" w:cs="Times New Roman"/>
                <w:color w:val="000000"/>
                <w:kern w:val="0"/>
                <w:sz w:val="20"/>
                <w:szCs w:val="20"/>
                <w:lang w:val="en-GB" w:eastAsia="nl-BE"/>
                <w14:ligatures w14:val="none"/>
              </w:rPr>
            </w:pPr>
            <w:r w:rsidRPr="00FD3202">
              <w:rPr>
                <w:rFonts w:eastAsia="Times New Roman" w:cs="Times New Roman"/>
                <w:color w:val="000000"/>
                <w:kern w:val="0"/>
                <w:sz w:val="20"/>
                <w:szCs w:val="20"/>
                <w:lang w:val="en-GB" w:eastAsia="nl-BE"/>
                <w14:ligatures w14:val="none"/>
              </w:rPr>
              <w:t>47</w:t>
            </w:r>
          </w:p>
        </w:tc>
      </w:tr>
    </w:tbl>
    <w:p w14:paraId="05078C09" w14:textId="77777777" w:rsidR="00FC5DA6" w:rsidRPr="00FD3202" w:rsidRDefault="00FC5DA6" w:rsidP="00D50092">
      <w:pPr>
        <w:pStyle w:val="NoSpacing"/>
        <w:rPr>
          <w:rFonts w:ascii="Times New Roman" w:hAnsi="Times New Roman" w:cs="Times New Roman"/>
          <w:lang w:val="en-GB"/>
        </w:rPr>
        <w:sectPr w:rsidR="00FC5DA6" w:rsidRPr="00FD3202" w:rsidSect="00853F0F">
          <w:pgSz w:w="16838" w:h="11906" w:orient="landscape"/>
          <w:pgMar w:top="1417" w:right="1417" w:bottom="1417" w:left="1417" w:header="708" w:footer="708" w:gutter="0"/>
          <w:lnNumType w:countBy="1" w:restart="continuous"/>
          <w:cols w:space="708"/>
          <w:docGrid w:linePitch="360"/>
        </w:sectPr>
      </w:pPr>
    </w:p>
    <w:p w14:paraId="00CD1C9C" w14:textId="15A30D0C" w:rsidR="00FC5DA6" w:rsidRDefault="00E54FAC" w:rsidP="00170AD7">
      <w:pPr>
        <w:pStyle w:val="NoSpacing"/>
        <w:jc w:val="both"/>
        <w:rPr>
          <w:rFonts w:ascii="Times New Roman" w:hAnsi="Times New Roman" w:cs="Times New Roman"/>
          <w:lang w:val="en-GB"/>
        </w:rPr>
      </w:pPr>
      <w:r>
        <w:rPr>
          <w:rFonts w:ascii="Times New Roman" w:hAnsi="Times New Roman" w:cs="Times New Roman"/>
          <w:lang w:val="en-GB"/>
        </w:rPr>
        <w:lastRenderedPageBreak/>
        <w:t>Supplementary material</w:t>
      </w:r>
      <w:r w:rsidR="00AE18ED">
        <w:rPr>
          <w:rFonts w:ascii="Times New Roman" w:hAnsi="Times New Roman" w:cs="Times New Roman"/>
          <w:lang w:val="en-GB"/>
        </w:rPr>
        <w:t xml:space="preserve"> </w:t>
      </w:r>
      <w:r w:rsidR="00813769">
        <w:rPr>
          <w:rFonts w:ascii="Times New Roman" w:hAnsi="Times New Roman" w:cs="Times New Roman"/>
          <w:lang w:val="en-GB"/>
        </w:rPr>
        <w:t>4</w:t>
      </w:r>
      <w:r w:rsidR="00FC5DA6" w:rsidRPr="00FD3202">
        <w:rPr>
          <w:rFonts w:ascii="Times New Roman" w:hAnsi="Times New Roman" w:cs="Times New Roman"/>
          <w:lang w:val="en-GB"/>
        </w:rPr>
        <w:t>. Significant difference</w:t>
      </w:r>
      <w:r w:rsidR="00BC6206">
        <w:rPr>
          <w:rFonts w:ascii="Times New Roman" w:hAnsi="Times New Roman" w:cs="Times New Roman"/>
          <w:lang w:val="en-GB"/>
        </w:rPr>
        <w:t>s (</w:t>
      </w:r>
      <w:r w:rsidR="00BC6206" w:rsidRPr="00BC6206">
        <w:rPr>
          <w:rFonts w:ascii="Times New Roman" w:hAnsi="Times New Roman" w:cs="Times New Roman"/>
          <w:lang w:val="en-US"/>
        </w:rPr>
        <w:t>2-factor PERMANOVA, pseudo-F</w:t>
      </w:r>
      <w:r w:rsidR="00BC6206" w:rsidRPr="00BC6206">
        <w:rPr>
          <w:rFonts w:ascii="Times New Roman" w:hAnsi="Times New Roman" w:cs="Times New Roman"/>
          <w:vertAlign w:val="subscript"/>
          <w:lang w:val="en-US"/>
        </w:rPr>
        <w:t xml:space="preserve">1,16 </w:t>
      </w:r>
      <w:r w:rsidR="00BC6206" w:rsidRPr="00BC6206">
        <w:rPr>
          <w:rFonts w:ascii="Times New Roman" w:hAnsi="Times New Roman" w:cs="Times New Roman"/>
          <w:lang w:val="en-US"/>
        </w:rPr>
        <w:t xml:space="preserve">= 6.6807, </w:t>
      </w:r>
      <w:r w:rsidR="00BC6206" w:rsidRPr="00BC6206">
        <w:rPr>
          <w:rFonts w:ascii="Times New Roman" w:hAnsi="Times New Roman" w:cs="Times New Roman"/>
          <w:i/>
          <w:iCs/>
          <w:lang w:val="en-US"/>
        </w:rPr>
        <w:t>p</w:t>
      </w:r>
      <w:r w:rsidR="00BC6206" w:rsidRPr="00BC6206">
        <w:rPr>
          <w:rFonts w:ascii="Times New Roman" w:hAnsi="Times New Roman" w:cs="Times New Roman"/>
          <w:lang w:val="en-US"/>
        </w:rPr>
        <w:t>PERM = 0.0005)</w:t>
      </w:r>
      <w:r w:rsidR="00FC5DA6" w:rsidRPr="00FD3202">
        <w:rPr>
          <w:rFonts w:ascii="Times New Roman" w:hAnsi="Times New Roman" w:cs="Times New Roman"/>
          <w:lang w:val="en-GB"/>
        </w:rPr>
        <w:t xml:space="preserve"> in the megafauna community observed </w:t>
      </w:r>
      <w:r w:rsidR="00BC6206" w:rsidRPr="00BC6206">
        <w:rPr>
          <w:rFonts w:ascii="Times New Roman" w:hAnsi="Times New Roman" w:cs="Times New Roman"/>
          <w:lang w:val="en-GB"/>
        </w:rPr>
        <w:t xml:space="preserve">from different altitudes </w:t>
      </w:r>
      <w:r w:rsidR="00BC6206">
        <w:rPr>
          <w:rFonts w:ascii="Times New Roman" w:hAnsi="Times New Roman" w:cs="Times New Roman"/>
          <w:lang w:val="en-GB"/>
        </w:rPr>
        <w:t xml:space="preserve">(&lt;8m and &gt;8m) </w:t>
      </w:r>
      <w:r w:rsidR="00BC6206" w:rsidRPr="00BC6206">
        <w:rPr>
          <w:rFonts w:ascii="Times New Roman" w:hAnsi="Times New Roman" w:cs="Times New Roman"/>
          <w:lang w:val="en-GB"/>
        </w:rPr>
        <w:t>and between the sites</w:t>
      </w:r>
      <w:r w:rsidR="00BC6206">
        <w:rPr>
          <w:rFonts w:ascii="Times New Roman" w:hAnsi="Times New Roman" w:cs="Times New Roman"/>
          <w:lang w:val="en-GB"/>
        </w:rPr>
        <w:t xml:space="preserve"> B4S03 and B6S02 (MDS</w:t>
      </w:r>
      <w:r w:rsidR="00FC5DA6" w:rsidRPr="00FD3202">
        <w:rPr>
          <w:rFonts w:ascii="Times New Roman" w:hAnsi="Times New Roman" w:cs="Times New Roman"/>
          <w:lang w:val="en-GB"/>
        </w:rPr>
        <w:t xml:space="preserve"> analysis </w:t>
      </w:r>
      <w:r w:rsidR="00BC6206">
        <w:rPr>
          <w:rFonts w:ascii="Times New Roman" w:hAnsi="Times New Roman" w:cs="Times New Roman"/>
          <w:lang w:val="en-GB"/>
        </w:rPr>
        <w:t xml:space="preserve">based on </w:t>
      </w:r>
      <w:r w:rsidR="00BC6206" w:rsidRPr="00BC6206">
        <w:rPr>
          <w:rFonts w:ascii="Times New Roman" w:hAnsi="Times New Roman" w:cs="Times New Roman"/>
          <w:lang w:val="en-GB"/>
        </w:rPr>
        <w:t>a Bray-Curtis resemblance matrix of untransformed density data (lowest available taxon level), excluding unknown annotations and Xenophyophora</w:t>
      </w:r>
      <w:r w:rsidR="00FC5DA6" w:rsidRPr="00FD3202">
        <w:rPr>
          <w:rFonts w:ascii="Times New Roman" w:hAnsi="Times New Roman" w:cs="Times New Roman"/>
          <w:lang w:val="en-GB"/>
        </w:rPr>
        <w:t>)</w:t>
      </w:r>
      <w:r w:rsidR="00BC6206">
        <w:rPr>
          <w:rFonts w:ascii="Times New Roman" w:hAnsi="Times New Roman" w:cs="Times New Roman"/>
          <w:lang w:val="en-GB"/>
        </w:rPr>
        <w:t xml:space="preserve">. </w:t>
      </w:r>
    </w:p>
    <w:p w14:paraId="72642C1D" w14:textId="5091747F" w:rsidR="00E54FAC" w:rsidRDefault="00E54FAC" w:rsidP="00D50092">
      <w:pPr>
        <w:pStyle w:val="NoSpacing"/>
        <w:rPr>
          <w:rFonts w:ascii="Times New Roman" w:hAnsi="Times New Roman" w:cs="Times New Roman"/>
          <w:lang w:val="en-GB"/>
        </w:rPr>
      </w:pPr>
    </w:p>
    <w:p w14:paraId="46E7EBF1" w14:textId="77777777" w:rsidR="00FC5DA6" w:rsidRPr="00FD3202" w:rsidRDefault="00FC5DA6" w:rsidP="00D50092">
      <w:pPr>
        <w:pStyle w:val="NoSpacing"/>
        <w:rPr>
          <w:rFonts w:ascii="Times New Roman" w:hAnsi="Times New Roman" w:cs="Times New Roman"/>
          <w:lang w:val="en-GB"/>
        </w:rPr>
      </w:pPr>
      <w:r w:rsidRPr="00FD3202">
        <w:rPr>
          <w:noProof/>
          <w:lang w:val="en-US"/>
        </w:rPr>
        <w:drawing>
          <wp:inline distT="0" distB="0" distL="0" distR="0" wp14:anchorId="4A534C46" wp14:editId="667E0D0E">
            <wp:extent cx="5760720" cy="388749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5760720" cy="3887494"/>
                    </a:xfrm>
                    <a:prstGeom prst="rect">
                      <a:avLst/>
                    </a:prstGeom>
                  </pic:spPr>
                </pic:pic>
              </a:graphicData>
            </a:graphic>
          </wp:inline>
        </w:drawing>
      </w:r>
    </w:p>
    <w:sectPr w:rsidR="00FC5DA6" w:rsidRPr="00FD3202" w:rsidSect="00FC5DA6">
      <w:pgSz w:w="11906" w:h="16838"/>
      <w:pgMar w:top="1417" w:right="1417" w:bottom="1417" w:left="1417"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E0D7B03" w14:textId="77777777" w:rsidR="003B1D96" w:rsidRDefault="003B1D96" w:rsidP="007F255B">
      <w:r>
        <w:separator/>
      </w:r>
    </w:p>
    <w:p w14:paraId="3634D80A" w14:textId="77777777" w:rsidR="003B1D96" w:rsidRDefault="003B1D96" w:rsidP="007F255B"/>
    <w:p w14:paraId="2450C915" w14:textId="77777777" w:rsidR="003B1D96" w:rsidRDefault="003B1D96" w:rsidP="007F255B"/>
  </w:endnote>
  <w:endnote w:type="continuationSeparator" w:id="0">
    <w:p w14:paraId="6B68061F" w14:textId="77777777" w:rsidR="003B1D96" w:rsidRDefault="003B1D96" w:rsidP="007F255B">
      <w:r>
        <w:continuationSeparator/>
      </w:r>
    </w:p>
    <w:p w14:paraId="10BFC442" w14:textId="77777777" w:rsidR="003B1D96" w:rsidRDefault="003B1D96" w:rsidP="007F255B"/>
    <w:p w14:paraId="27D8C828" w14:textId="77777777" w:rsidR="003B1D96" w:rsidRDefault="003B1D96" w:rsidP="007F255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yriad Pro">
    <w:panose1 w:val="020B0503030403020204"/>
    <w:charset w:val="00"/>
    <w:family w:val="swiss"/>
    <w:notTrueType/>
    <w:pitch w:val="variable"/>
    <w:sig w:usb0="2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3226435"/>
      <w:docPartObj>
        <w:docPartGallery w:val="Page Numbers (Bottom of Page)"/>
        <w:docPartUnique/>
      </w:docPartObj>
    </w:sdtPr>
    <w:sdtEndPr>
      <w:rPr>
        <w:noProof/>
      </w:rPr>
    </w:sdtEndPr>
    <w:sdtContent>
      <w:p w14:paraId="6E90A02B" w14:textId="5C4EE773" w:rsidR="00062BD1" w:rsidRDefault="00062BD1">
        <w:pPr>
          <w:pStyle w:val="Footer"/>
          <w:jc w:val="right"/>
        </w:pPr>
        <w:r>
          <w:fldChar w:fldCharType="begin"/>
        </w:r>
        <w:r>
          <w:instrText xml:space="preserve"> PAGE   \* MERGEFORMAT </w:instrText>
        </w:r>
        <w:r>
          <w:fldChar w:fldCharType="separate"/>
        </w:r>
        <w:r w:rsidR="003951F2">
          <w:rPr>
            <w:noProof/>
          </w:rPr>
          <w:t>31</w:t>
        </w:r>
        <w:r>
          <w:rPr>
            <w:noProof/>
          </w:rPr>
          <w:fldChar w:fldCharType="end"/>
        </w:r>
      </w:p>
    </w:sdtContent>
  </w:sdt>
  <w:p w14:paraId="3D5D8828" w14:textId="77777777" w:rsidR="00062BD1" w:rsidRDefault="00062BD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2AEC91" w14:textId="77777777" w:rsidR="003B1D96" w:rsidRDefault="003B1D96" w:rsidP="007F255B">
      <w:r>
        <w:separator/>
      </w:r>
    </w:p>
    <w:p w14:paraId="25C25E61" w14:textId="77777777" w:rsidR="003B1D96" w:rsidRDefault="003B1D96" w:rsidP="007F255B"/>
    <w:p w14:paraId="2CAB71B4" w14:textId="77777777" w:rsidR="003B1D96" w:rsidRDefault="003B1D96" w:rsidP="007F255B"/>
  </w:footnote>
  <w:footnote w:type="continuationSeparator" w:id="0">
    <w:p w14:paraId="50D1E3B0" w14:textId="77777777" w:rsidR="003B1D96" w:rsidRDefault="003B1D96" w:rsidP="007F255B">
      <w:r>
        <w:continuationSeparator/>
      </w:r>
    </w:p>
    <w:p w14:paraId="1F18C9BB" w14:textId="77777777" w:rsidR="003B1D96" w:rsidRDefault="003B1D96" w:rsidP="007F255B"/>
    <w:p w14:paraId="14FFC8E7" w14:textId="77777777" w:rsidR="003B1D96" w:rsidRDefault="003B1D96" w:rsidP="007F255B"/>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F43C2"/>
    <w:multiLevelType w:val="hybridMultilevel"/>
    <w:tmpl w:val="47469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712023"/>
    <w:multiLevelType w:val="hybridMultilevel"/>
    <w:tmpl w:val="870C7122"/>
    <w:lvl w:ilvl="0" w:tplc="4A480EC8">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2C5487A"/>
    <w:multiLevelType w:val="hybridMultilevel"/>
    <w:tmpl w:val="4B80E9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86081F"/>
    <w:multiLevelType w:val="hybridMultilevel"/>
    <w:tmpl w:val="041C0EAA"/>
    <w:lvl w:ilvl="0" w:tplc="48FAF810">
      <w:start w:val="1"/>
      <w:numFmt w:val="decimal"/>
      <w:lvlText w:val="%1."/>
      <w:lvlJc w:val="left"/>
      <w:pPr>
        <w:ind w:left="720" w:hanging="360"/>
      </w:pPr>
      <w:rPr>
        <w:rFonts w:cstheme="minorBidi"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 w15:restartNumberingAfterBreak="0">
    <w:nsid w:val="16E623D7"/>
    <w:multiLevelType w:val="hybridMultilevel"/>
    <w:tmpl w:val="3EF6F7A0"/>
    <w:lvl w:ilvl="0" w:tplc="4E80F6B6">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21D40680"/>
    <w:multiLevelType w:val="multilevel"/>
    <w:tmpl w:val="7F403600"/>
    <w:lvl w:ilvl="0">
      <w:start w:val="1"/>
      <w:numFmt w:val="decimal"/>
      <w:lvlText w:val="%1."/>
      <w:lvlJc w:val="left"/>
      <w:pPr>
        <w:ind w:left="360" w:hanging="360"/>
      </w:pPr>
    </w:lvl>
    <w:lvl w:ilvl="1">
      <w:start w:val="1"/>
      <w:numFmt w:val="decimal"/>
      <w:pStyle w:val="Kop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29EF6934"/>
    <w:multiLevelType w:val="hybridMultilevel"/>
    <w:tmpl w:val="942AA7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FA5173F"/>
    <w:multiLevelType w:val="multilevel"/>
    <w:tmpl w:val="55C0F89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Kop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33E6356A"/>
    <w:multiLevelType w:val="hybridMultilevel"/>
    <w:tmpl w:val="DD8C05F0"/>
    <w:lvl w:ilvl="0" w:tplc="C5F27E12">
      <w:numFmt w:val="bullet"/>
      <w:lvlText w:val="-"/>
      <w:lvlJc w:val="left"/>
      <w:pPr>
        <w:ind w:left="720" w:hanging="360"/>
      </w:pPr>
      <w:rPr>
        <w:rFonts w:ascii="Times New Roman" w:eastAsiaTheme="minorHAnsi"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34E90F69"/>
    <w:multiLevelType w:val="multilevel"/>
    <w:tmpl w:val="9D66E930"/>
    <w:lvl w:ilvl="0">
      <w:start w:val="1"/>
      <w:numFmt w:val="decimal"/>
      <w:pStyle w:val="Kop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364414CE"/>
    <w:multiLevelType w:val="hybridMultilevel"/>
    <w:tmpl w:val="9836F5C0"/>
    <w:lvl w:ilvl="0" w:tplc="B5786156">
      <w:numFmt w:val="bullet"/>
      <w:lvlText w:val=""/>
      <w:lvlJc w:val="left"/>
      <w:pPr>
        <w:ind w:left="720" w:hanging="360"/>
      </w:pPr>
      <w:rPr>
        <w:rFonts w:ascii="Wingdings" w:eastAsiaTheme="minorHAnsi" w:hAnsi="Wingding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3DBC22FD"/>
    <w:multiLevelType w:val="hybridMultilevel"/>
    <w:tmpl w:val="E5081FD6"/>
    <w:lvl w:ilvl="0" w:tplc="E5CEC082">
      <w:start w:val="3"/>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0315AD9"/>
    <w:multiLevelType w:val="hybridMultilevel"/>
    <w:tmpl w:val="50B21182"/>
    <w:lvl w:ilvl="0" w:tplc="0368FE02">
      <w:numFmt w:val="bullet"/>
      <w:lvlText w:val="-"/>
      <w:lvlJc w:val="left"/>
      <w:pPr>
        <w:ind w:left="720" w:hanging="360"/>
      </w:pPr>
      <w:rPr>
        <w:rFonts w:ascii="Times New Roman" w:eastAsiaTheme="minorHAnsi" w:hAnsi="Times New Roman" w:cs="Times New Roman"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4259212E"/>
    <w:multiLevelType w:val="hybridMultilevel"/>
    <w:tmpl w:val="3DDEF3C0"/>
    <w:lvl w:ilvl="0" w:tplc="4E80F6B6">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482D1D9B"/>
    <w:multiLevelType w:val="hybridMultilevel"/>
    <w:tmpl w:val="F50A41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4A0315BE"/>
    <w:multiLevelType w:val="hybridMultilevel"/>
    <w:tmpl w:val="F2A66E14"/>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6" w15:restartNumberingAfterBreak="0">
    <w:nsid w:val="6B062063"/>
    <w:multiLevelType w:val="hybridMultilevel"/>
    <w:tmpl w:val="79FE6CA2"/>
    <w:lvl w:ilvl="0" w:tplc="B0285D72">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E503596"/>
    <w:multiLevelType w:val="hybridMultilevel"/>
    <w:tmpl w:val="2604C894"/>
    <w:lvl w:ilvl="0" w:tplc="561C0696">
      <w:start w:val="2"/>
      <w:numFmt w:val="bullet"/>
      <w:lvlText w:val="-"/>
      <w:lvlJc w:val="left"/>
      <w:pPr>
        <w:ind w:left="720" w:hanging="360"/>
      </w:pPr>
      <w:rPr>
        <w:rFonts w:ascii="Times New Roman" w:eastAsiaTheme="minorHAnsi" w:hAnsi="Times New Roman"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2877752"/>
    <w:multiLevelType w:val="multilevel"/>
    <w:tmpl w:val="42F8AFF2"/>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76FE3674"/>
    <w:multiLevelType w:val="hybridMultilevel"/>
    <w:tmpl w:val="A01493A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8"/>
  </w:num>
  <w:num w:numId="2">
    <w:abstractNumId w:val="18"/>
  </w:num>
  <w:num w:numId="3">
    <w:abstractNumId w:val="18"/>
  </w:num>
  <w:num w:numId="4">
    <w:abstractNumId w:val="4"/>
  </w:num>
  <w:num w:numId="5">
    <w:abstractNumId w:val="18"/>
  </w:num>
  <w:num w:numId="6">
    <w:abstractNumId w:val="13"/>
  </w:num>
  <w:num w:numId="7">
    <w:abstractNumId w:val="15"/>
  </w:num>
  <w:num w:numId="8">
    <w:abstractNumId w:val="18"/>
  </w:num>
  <w:num w:numId="9">
    <w:abstractNumId w:val="18"/>
  </w:num>
  <w:num w:numId="10">
    <w:abstractNumId w:val="18"/>
  </w:num>
  <w:num w:numId="11">
    <w:abstractNumId w:val="8"/>
  </w:num>
  <w:num w:numId="12">
    <w:abstractNumId w:val="17"/>
  </w:num>
  <w:num w:numId="13">
    <w:abstractNumId w:val="3"/>
  </w:num>
  <w:num w:numId="14">
    <w:abstractNumId w:val="14"/>
  </w:num>
  <w:num w:numId="15">
    <w:abstractNumId w:val="12"/>
  </w:num>
  <w:num w:numId="16">
    <w:abstractNumId w:val="10"/>
  </w:num>
  <w:num w:numId="17">
    <w:abstractNumId w:val="19"/>
  </w:num>
  <w:num w:numId="18">
    <w:abstractNumId w:val="16"/>
  </w:num>
  <w:num w:numId="19">
    <w:abstractNumId w:val="11"/>
  </w:num>
  <w:num w:numId="20">
    <w:abstractNumId w:val="6"/>
  </w:num>
  <w:num w:numId="21">
    <w:abstractNumId w:val="1"/>
  </w:num>
  <w:num w:numId="22">
    <w:abstractNumId w:val="0"/>
  </w:num>
  <w:num w:numId="23">
    <w:abstractNumId w:val="9"/>
  </w:num>
  <w:num w:numId="24">
    <w:abstractNumId w:val="2"/>
  </w:num>
  <w:num w:numId="25">
    <w:abstractNumId w:val="5"/>
  </w:num>
  <w:num w:numId="26">
    <w:abstractNumId w:val="7"/>
  </w:num>
  <w:num w:numId="2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nl-BE" w:vendorID="64" w:dllVersion="131078" w:nlCheck="1" w:checkStyle="0"/>
  <w:activeWritingStyle w:appName="MSWord" w:lang="en-GB" w:vendorID="64" w:dllVersion="131078" w:nlCheck="1" w:checkStyle="1"/>
  <w:activeWritingStyle w:appName="MSWord" w:lang="en-US" w:vendorID="64" w:dllVersion="131078" w:nlCheck="1" w:checkStyle="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ENInstantFormat&gt;"/>
    <w:docVar w:name="EN.Layout" w:val="&lt;ENLayout&gt;&lt;Style&gt;Marine Ecology Prog Serie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Libraries&gt;"/>
  </w:docVars>
  <w:rsids>
    <w:rsidRoot w:val="00387D30"/>
    <w:rsid w:val="000015AB"/>
    <w:rsid w:val="000017B5"/>
    <w:rsid w:val="000028AA"/>
    <w:rsid w:val="00002D28"/>
    <w:rsid w:val="00003D41"/>
    <w:rsid w:val="00005839"/>
    <w:rsid w:val="000060C8"/>
    <w:rsid w:val="0000706C"/>
    <w:rsid w:val="0000712D"/>
    <w:rsid w:val="000071B4"/>
    <w:rsid w:val="000075D4"/>
    <w:rsid w:val="00007B01"/>
    <w:rsid w:val="00007C17"/>
    <w:rsid w:val="0001010B"/>
    <w:rsid w:val="0001025E"/>
    <w:rsid w:val="00011B16"/>
    <w:rsid w:val="00011DCE"/>
    <w:rsid w:val="00011FE5"/>
    <w:rsid w:val="0001221D"/>
    <w:rsid w:val="00013859"/>
    <w:rsid w:val="000143BF"/>
    <w:rsid w:val="00014984"/>
    <w:rsid w:val="00014AB4"/>
    <w:rsid w:val="00015966"/>
    <w:rsid w:val="00016665"/>
    <w:rsid w:val="00016B22"/>
    <w:rsid w:val="00016E9F"/>
    <w:rsid w:val="0001749A"/>
    <w:rsid w:val="0002048C"/>
    <w:rsid w:val="0002260F"/>
    <w:rsid w:val="000226C4"/>
    <w:rsid w:val="000229F8"/>
    <w:rsid w:val="00023041"/>
    <w:rsid w:val="0002355C"/>
    <w:rsid w:val="00024F84"/>
    <w:rsid w:val="00025147"/>
    <w:rsid w:val="00025397"/>
    <w:rsid w:val="000255BD"/>
    <w:rsid w:val="00025845"/>
    <w:rsid w:val="000261E6"/>
    <w:rsid w:val="00026429"/>
    <w:rsid w:val="00026D25"/>
    <w:rsid w:val="0002776F"/>
    <w:rsid w:val="00027C65"/>
    <w:rsid w:val="0003176E"/>
    <w:rsid w:val="0003302A"/>
    <w:rsid w:val="0003326E"/>
    <w:rsid w:val="0003329A"/>
    <w:rsid w:val="00033AF7"/>
    <w:rsid w:val="00033CEC"/>
    <w:rsid w:val="00033F2C"/>
    <w:rsid w:val="00034D13"/>
    <w:rsid w:val="00035EC8"/>
    <w:rsid w:val="00036712"/>
    <w:rsid w:val="000405A7"/>
    <w:rsid w:val="00040F50"/>
    <w:rsid w:val="000421ED"/>
    <w:rsid w:val="00042230"/>
    <w:rsid w:val="00044F2F"/>
    <w:rsid w:val="00044F75"/>
    <w:rsid w:val="00045376"/>
    <w:rsid w:val="00047B7A"/>
    <w:rsid w:val="00050089"/>
    <w:rsid w:val="00050303"/>
    <w:rsid w:val="000503E1"/>
    <w:rsid w:val="00050A78"/>
    <w:rsid w:val="00050E3D"/>
    <w:rsid w:val="00051113"/>
    <w:rsid w:val="0005117E"/>
    <w:rsid w:val="000518A3"/>
    <w:rsid w:val="00051D11"/>
    <w:rsid w:val="00051DE2"/>
    <w:rsid w:val="00053690"/>
    <w:rsid w:val="00053D84"/>
    <w:rsid w:val="0005401F"/>
    <w:rsid w:val="000548E5"/>
    <w:rsid w:val="00056777"/>
    <w:rsid w:val="00056CFC"/>
    <w:rsid w:val="000574C5"/>
    <w:rsid w:val="00057500"/>
    <w:rsid w:val="00060C57"/>
    <w:rsid w:val="000614EC"/>
    <w:rsid w:val="00061A63"/>
    <w:rsid w:val="00062AFF"/>
    <w:rsid w:val="00062BD1"/>
    <w:rsid w:val="00064BDD"/>
    <w:rsid w:val="00064D52"/>
    <w:rsid w:val="000656A8"/>
    <w:rsid w:val="0006596D"/>
    <w:rsid w:val="00066B92"/>
    <w:rsid w:val="00067AA3"/>
    <w:rsid w:val="000706F6"/>
    <w:rsid w:val="00070751"/>
    <w:rsid w:val="000723A4"/>
    <w:rsid w:val="00072828"/>
    <w:rsid w:val="00072A5B"/>
    <w:rsid w:val="00073E81"/>
    <w:rsid w:val="0007430E"/>
    <w:rsid w:val="00074D15"/>
    <w:rsid w:val="0007585D"/>
    <w:rsid w:val="0007588A"/>
    <w:rsid w:val="0007593A"/>
    <w:rsid w:val="00076B5F"/>
    <w:rsid w:val="00077EC2"/>
    <w:rsid w:val="000804BC"/>
    <w:rsid w:val="0008076A"/>
    <w:rsid w:val="000808B5"/>
    <w:rsid w:val="0008235C"/>
    <w:rsid w:val="000902EC"/>
    <w:rsid w:val="00090CCA"/>
    <w:rsid w:val="000915A9"/>
    <w:rsid w:val="00095336"/>
    <w:rsid w:val="00095563"/>
    <w:rsid w:val="00095B93"/>
    <w:rsid w:val="000967C3"/>
    <w:rsid w:val="00096CA5"/>
    <w:rsid w:val="00096DD1"/>
    <w:rsid w:val="00097277"/>
    <w:rsid w:val="00097474"/>
    <w:rsid w:val="0009774A"/>
    <w:rsid w:val="00097760"/>
    <w:rsid w:val="00097F39"/>
    <w:rsid w:val="000A0378"/>
    <w:rsid w:val="000A118F"/>
    <w:rsid w:val="000A2F69"/>
    <w:rsid w:val="000A30C7"/>
    <w:rsid w:val="000A4F80"/>
    <w:rsid w:val="000A518C"/>
    <w:rsid w:val="000A5D76"/>
    <w:rsid w:val="000A6B99"/>
    <w:rsid w:val="000A6CD8"/>
    <w:rsid w:val="000A6F40"/>
    <w:rsid w:val="000A744F"/>
    <w:rsid w:val="000A7855"/>
    <w:rsid w:val="000B0715"/>
    <w:rsid w:val="000B07B4"/>
    <w:rsid w:val="000B1104"/>
    <w:rsid w:val="000B12F4"/>
    <w:rsid w:val="000B1C46"/>
    <w:rsid w:val="000B1D29"/>
    <w:rsid w:val="000B255B"/>
    <w:rsid w:val="000B3C0E"/>
    <w:rsid w:val="000B3CA2"/>
    <w:rsid w:val="000B415D"/>
    <w:rsid w:val="000B5207"/>
    <w:rsid w:val="000B578E"/>
    <w:rsid w:val="000B5B7C"/>
    <w:rsid w:val="000B5BD5"/>
    <w:rsid w:val="000B66AA"/>
    <w:rsid w:val="000B6CAF"/>
    <w:rsid w:val="000C0360"/>
    <w:rsid w:val="000C0C51"/>
    <w:rsid w:val="000C102E"/>
    <w:rsid w:val="000C18F0"/>
    <w:rsid w:val="000C20B2"/>
    <w:rsid w:val="000C2333"/>
    <w:rsid w:val="000C2A2F"/>
    <w:rsid w:val="000C4423"/>
    <w:rsid w:val="000C445A"/>
    <w:rsid w:val="000C455D"/>
    <w:rsid w:val="000C7C90"/>
    <w:rsid w:val="000D0A97"/>
    <w:rsid w:val="000D0F91"/>
    <w:rsid w:val="000D23DC"/>
    <w:rsid w:val="000D2607"/>
    <w:rsid w:val="000D2CA4"/>
    <w:rsid w:val="000D434B"/>
    <w:rsid w:val="000D46FF"/>
    <w:rsid w:val="000D57CD"/>
    <w:rsid w:val="000D5994"/>
    <w:rsid w:val="000D607C"/>
    <w:rsid w:val="000D6A88"/>
    <w:rsid w:val="000D6E33"/>
    <w:rsid w:val="000D7604"/>
    <w:rsid w:val="000E01BA"/>
    <w:rsid w:val="000E148E"/>
    <w:rsid w:val="000E1768"/>
    <w:rsid w:val="000E3008"/>
    <w:rsid w:val="000E3AC6"/>
    <w:rsid w:val="000E466F"/>
    <w:rsid w:val="000E532F"/>
    <w:rsid w:val="000E5EB9"/>
    <w:rsid w:val="000E7596"/>
    <w:rsid w:val="000E766E"/>
    <w:rsid w:val="000F0BAD"/>
    <w:rsid w:val="000F123E"/>
    <w:rsid w:val="000F16D2"/>
    <w:rsid w:val="000F1975"/>
    <w:rsid w:val="000F1982"/>
    <w:rsid w:val="000F1A42"/>
    <w:rsid w:val="000F255E"/>
    <w:rsid w:val="000F28CC"/>
    <w:rsid w:val="000F2976"/>
    <w:rsid w:val="000F3AB6"/>
    <w:rsid w:val="000F4995"/>
    <w:rsid w:val="000F4A81"/>
    <w:rsid w:val="000F5DD6"/>
    <w:rsid w:val="000F71DC"/>
    <w:rsid w:val="000F72B7"/>
    <w:rsid w:val="000F7367"/>
    <w:rsid w:val="000F77E0"/>
    <w:rsid w:val="000F7BFE"/>
    <w:rsid w:val="000F7D8C"/>
    <w:rsid w:val="001003A8"/>
    <w:rsid w:val="00100543"/>
    <w:rsid w:val="0010121D"/>
    <w:rsid w:val="00101C80"/>
    <w:rsid w:val="00103F45"/>
    <w:rsid w:val="00105B8E"/>
    <w:rsid w:val="00106327"/>
    <w:rsid w:val="001067AE"/>
    <w:rsid w:val="00106AE6"/>
    <w:rsid w:val="00107439"/>
    <w:rsid w:val="00110108"/>
    <w:rsid w:val="001108D9"/>
    <w:rsid w:val="001111D0"/>
    <w:rsid w:val="001130C0"/>
    <w:rsid w:val="00113658"/>
    <w:rsid w:val="0011395C"/>
    <w:rsid w:val="00114B97"/>
    <w:rsid w:val="00115D90"/>
    <w:rsid w:val="00116677"/>
    <w:rsid w:val="00116705"/>
    <w:rsid w:val="00120241"/>
    <w:rsid w:val="0012278F"/>
    <w:rsid w:val="00124329"/>
    <w:rsid w:val="001252D9"/>
    <w:rsid w:val="00125D3C"/>
    <w:rsid w:val="001267BA"/>
    <w:rsid w:val="00126E3E"/>
    <w:rsid w:val="001278A1"/>
    <w:rsid w:val="00127C00"/>
    <w:rsid w:val="00130EDD"/>
    <w:rsid w:val="001321C2"/>
    <w:rsid w:val="001329A3"/>
    <w:rsid w:val="00133C2D"/>
    <w:rsid w:val="00134D70"/>
    <w:rsid w:val="00135DE3"/>
    <w:rsid w:val="001365FC"/>
    <w:rsid w:val="00136811"/>
    <w:rsid w:val="00141B56"/>
    <w:rsid w:val="001421EC"/>
    <w:rsid w:val="00142E3E"/>
    <w:rsid w:val="0014348C"/>
    <w:rsid w:val="00143735"/>
    <w:rsid w:val="00143C93"/>
    <w:rsid w:val="00144139"/>
    <w:rsid w:val="001442C3"/>
    <w:rsid w:val="00144634"/>
    <w:rsid w:val="001448B9"/>
    <w:rsid w:val="0014497C"/>
    <w:rsid w:val="00146A1F"/>
    <w:rsid w:val="00146FEF"/>
    <w:rsid w:val="00147749"/>
    <w:rsid w:val="00147BC4"/>
    <w:rsid w:val="00150554"/>
    <w:rsid w:val="00151261"/>
    <w:rsid w:val="00151375"/>
    <w:rsid w:val="00151A61"/>
    <w:rsid w:val="00154A60"/>
    <w:rsid w:val="00154DD1"/>
    <w:rsid w:val="00156C39"/>
    <w:rsid w:val="00162158"/>
    <w:rsid w:val="001622CF"/>
    <w:rsid w:val="0016235F"/>
    <w:rsid w:val="0016248E"/>
    <w:rsid w:val="0016258A"/>
    <w:rsid w:val="001626FE"/>
    <w:rsid w:val="00163455"/>
    <w:rsid w:val="00164AB1"/>
    <w:rsid w:val="00164AF2"/>
    <w:rsid w:val="00164FED"/>
    <w:rsid w:val="001654DA"/>
    <w:rsid w:val="00165EE5"/>
    <w:rsid w:val="00166819"/>
    <w:rsid w:val="001668A9"/>
    <w:rsid w:val="00166D6A"/>
    <w:rsid w:val="001673B9"/>
    <w:rsid w:val="001677D6"/>
    <w:rsid w:val="00170AD7"/>
    <w:rsid w:val="00171A85"/>
    <w:rsid w:val="0017424F"/>
    <w:rsid w:val="00174508"/>
    <w:rsid w:val="00175BBA"/>
    <w:rsid w:val="001761DE"/>
    <w:rsid w:val="0017691B"/>
    <w:rsid w:val="00176B2C"/>
    <w:rsid w:val="00177045"/>
    <w:rsid w:val="00180C93"/>
    <w:rsid w:val="00180FF4"/>
    <w:rsid w:val="00185774"/>
    <w:rsid w:val="00186DA4"/>
    <w:rsid w:val="001876BF"/>
    <w:rsid w:val="00187D16"/>
    <w:rsid w:val="00187DDD"/>
    <w:rsid w:val="0019120B"/>
    <w:rsid w:val="00191AAC"/>
    <w:rsid w:val="00191CF8"/>
    <w:rsid w:val="001924AB"/>
    <w:rsid w:val="001924D0"/>
    <w:rsid w:val="00192574"/>
    <w:rsid w:val="00193203"/>
    <w:rsid w:val="001933C9"/>
    <w:rsid w:val="00193CDE"/>
    <w:rsid w:val="00193DBC"/>
    <w:rsid w:val="00193E5F"/>
    <w:rsid w:val="0019506C"/>
    <w:rsid w:val="00195437"/>
    <w:rsid w:val="00195ABF"/>
    <w:rsid w:val="001972E2"/>
    <w:rsid w:val="001974B4"/>
    <w:rsid w:val="0019788A"/>
    <w:rsid w:val="00197AA5"/>
    <w:rsid w:val="001A0227"/>
    <w:rsid w:val="001A17F4"/>
    <w:rsid w:val="001A25F5"/>
    <w:rsid w:val="001A4EBA"/>
    <w:rsid w:val="001A5556"/>
    <w:rsid w:val="001A590F"/>
    <w:rsid w:val="001A5FE1"/>
    <w:rsid w:val="001A6138"/>
    <w:rsid w:val="001A6936"/>
    <w:rsid w:val="001A6E86"/>
    <w:rsid w:val="001A6F9C"/>
    <w:rsid w:val="001B038D"/>
    <w:rsid w:val="001B1D45"/>
    <w:rsid w:val="001B2736"/>
    <w:rsid w:val="001B2F5F"/>
    <w:rsid w:val="001B40AB"/>
    <w:rsid w:val="001B4607"/>
    <w:rsid w:val="001B4A46"/>
    <w:rsid w:val="001B600A"/>
    <w:rsid w:val="001B637A"/>
    <w:rsid w:val="001B64A7"/>
    <w:rsid w:val="001B6DD0"/>
    <w:rsid w:val="001B7202"/>
    <w:rsid w:val="001B7455"/>
    <w:rsid w:val="001C0779"/>
    <w:rsid w:val="001C0938"/>
    <w:rsid w:val="001C14DB"/>
    <w:rsid w:val="001C1715"/>
    <w:rsid w:val="001C22BC"/>
    <w:rsid w:val="001C58A8"/>
    <w:rsid w:val="001C6227"/>
    <w:rsid w:val="001C6DFA"/>
    <w:rsid w:val="001C6E6A"/>
    <w:rsid w:val="001C7619"/>
    <w:rsid w:val="001C793C"/>
    <w:rsid w:val="001D010B"/>
    <w:rsid w:val="001D0944"/>
    <w:rsid w:val="001D0AF3"/>
    <w:rsid w:val="001D1C5A"/>
    <w:rsid w:val="001D255B"/>
    <w:rsid w:val="001D2CF7"/>
    <w:rsid w:val="001D3601"/>
    <w:rsid w:val="001D3E30"/>
    <w:rsid w:val="001D3EEB"/>
    <w:rsid w:val="001D3FAC"/>
    <w:rsid w:val="001D57A3"/>
    <w:rsid w:val="001D5AD5"/>
    <w:rsid w:val="001D5E3C"/>
    <w:rsid w:val="001E1E7F"/>
    <w:rsid w:val="001E260C"/>
    <w:rsid w:val="001E4842"/>
    <w:rsid w:val="001E4E8A"/>
    <w:rsid w:val="001E58D5"/>
    <w:rsid w:val="001E5D17"/>
    <w:rsid w:val="001E63BC"/>
    <w:rsid w:val="001E6C10"/>
    <w:rsid w:val="001E78E0"/>
    <w:rsid w:val="001F066D"/>
    <w:rsid w:val="001F0B73"/>
    <w:rsid w:val="001F32D7"/>
    <w:rsid w:val="001F3392"/>
    <w:rsid w:val="001F41F4"/>
    <w:rsid w:val="001F4280"/>
    <w:rsid w:val="001F5EB8"/>
    <w:rsid w:val="001F6315"/>
    <w:rsid w:val="001F69C6"/>
    <w:rsid w:val="001F6AB6"/>
    <w:rsid w:val="001F6ADD"/>
    <w:rsid w:val="001F7190"/>
    <w:rsid w:val="002000B3"/>
    <w:rsid w:val="00200372"/>
    <w:rsid w:val="0020057D"/>
    <w:rsid w:val="00200771"/>
    <w:rsid w:val="002026D2"/>
    <w:rsid w:val="00202971"/>
    <w:rsid w:val="00202ABD"/>
    <w:rsid w:val="00202C22"/>
    <w:rsid w:val="00203E1A"/>
    <w:rsid w:val="00204630"/>
    <w:rsid w:val="00204877"/>
    <w:rsid w:val="00205FDB"/>
    <w:rsid w:val="0020613E"/>
    <w:rsid w:val="00206C9C"/>
    <w:rsid w:val="002077E4"/>
    <w:rsid w:val="0020794F"/>
    <w:rsid w:val="0021388E"/>
    <w:rsid w:val="0021440F"/>
    <w:rsid w:val="00214DD2"/>
    <w:rsid w:val="00215B53"/>
    <w:rsid w:val="00216430"/>
    <w:rsid w:val="0021675F"/>
    <w:rsid w:val="00216B28"/>
    <w:rsid w:val="00216F41"/>
    <w:rsid w:val="0021753E"/>
    <w:rsid w:val="002175A2"/>
    <w:rsid w:val="00217973"/>
    <w:rsid w:val="002202B8"/>
    <w:rsid w:val="00220920"/>
    <w:rsid w:val="00220D8F"/>
    <w:rsid w:val="00222C52"/>
    <w:rsid w:val="00222DB9"/>
    <w:rsid w:val="00223A3C"/>
    <w:rsid w:val="0022466B"/>
    <w:rsid w:val="00224E79"/>
    <w:rsid w:val="00225F55"/>
    <w:rsid w:val="0022654A"/>
    <w:rsid w:val="002267DF"/>
    <w:rsid w:val="00227839"/>
    <w:rsid w:val="002308C5"/>
    <w:rsid w:val="00230C2B"/>
    <w:rsid w:val="0023128B"/>
    <w:rsid w:val="00231C6F"/>
    <w:rsid w:val="00231E89"/>
    <w:rsid w:val="0023216D"/>
    <w:rsid w:val="00233499"/>
    <w:rsid w:val="002337BE"/>
    <w:rsid w:val="00233900"/>
    <w:rsid w:val="002345F8"/>
    <w:rsid w:val="0023710A"/>
    <w:rsid w:val="00237AE3"/>
    <w:rsid w:val="00240991"/>
    <w:rsid w:val="002414C9"/>
    <w:rsid w:val="002416B2"/>
    <w:rsid w:val="00241E98"/>
    <w:rsid w:val="00243C7A"/>
    <w:rsid w:val="00243F05"/>
    <w:rsid w:val="002440D5"/>
    <w:rsid w:val="002440E4"/>
    <w:rsid w:val="002447DF"/>
    <w:rsid w:val="00244E1F"/>
    <w:rsid w:val="002451CD"/>
    <w:rsid w:val="0024551B"/>
    <w:rsid w:val="0024582B"/>
    <w:rsid w:val="00245842"/>
    <w:rsid w:val="00246BA4"/>
    <w:rsid w:val="002502A3"/>
    <w:rsid w:val="002515B7"/>
    <w:rsid w:val="00251689"/>
    <w:rsid w:val="00251C6D"/>
    <w:rsid w:val="00251EA4"/>
    <w:rsid w:val="0025268A"/>
    <w:rsid w:val="002529D0"/>
    <w:rsid w:val="00252BB7"/>
    <w:rsid w:val="00253793"/>
    <w:rsid w:val="00253E10"/>
    <w:rsid w:val="0025498D"/>
    <w:rsid w:val="00254C86"/>
    <w:rsid w:val="002550BF"/>
    <w:rsid w:val="002555CF"/>
    <w:rsid w:val="0025678A"/>
    <w:rsid w:val="00256D54"/>
    <w:rsid w:val="00256EA6"/>
    <w:rsid w:val="00256F7B"/>
    <w:rsid w:val="00257595"/>
    <w:rsid w:val="00260993"/>
    <w:rsid w:val="002623E0"/>
    <w:rsid w:val="00262D2B"/>
    <w:rsid w:val="00263EA8"/>
    <w:rsid w:val="00264205"/>
    <w:rsid w:val="0026576D"/>
    <w:rsid w:val="002660BC"/>
    <w:rsid w:val="002662E5"/>
    <w:rsid w:val="00266D27"/>
    <w:rsid w:val="00267E71"/>
    <w:rsid w:val="00270A7D"/>
    <w:rsid w:val="002713E9"/>
    <w:rsid w:val="002718D0"/>
    <w:rsid w:val="00271FAB"/>
    <w:rsid w:val="002729A1"/>
    <w:rsid w:val="002730B6"/>
    <w:rsid w:val="00273E2D"/>
    <w:rsid w:val="00273FF8"/>
    <w:rsid w:val="002746EA"/>
    <w:rsid w:val="002750B1"/>
    <w:rsid w:val="0027595F"/>
    <w:rsid w:val="00276552"/>
    <w:rsid w:val="00276E69"/>
    <w:rsid w:val="002773B6"/>
    <w:rsid w:val="00277FB4"/>
    <w:rsid w:val="0028194D"/>
    <w:rsid w:val="00282B5F"/>
    <w:rsid w:val="00283121"/>
    <w:rsid w:val="00283905"/>
    <w:rsid w:val="002841F6"/>
    <w:rsid w:val="00284B33"/>
    <w:rsid w:val="002856D0"/>
    <w:rsid w:val="00285BA5"/>
    <w:rsid w:val="0028620E"/>
    <w:rsid w:val="00286259"/>
    <w:rsid w:val="00286C29"/>
    <w:rsid w:val="002871D8"/>
    <w:rsid w:val="00287ACC"/>
    <w:rsid w:val="00290004"/>
    <w:rsid w:val="002901E4"/>
    <w:rsid w:val="00291970"/>
    <w:rsid w:val="00292707"/>
    <w:rsid w:val="00292910"/>
    <w:rsid w:val="00292A24"/>
    <w:rsid w:val="00293E6F"/>
    <w:rsid w:val="00294497"/>
    <w:rsid w:val="0029452A"/>
    <w:rsid w:val="0029465B"/>
    <w:rsid w:val="00294974"/>
    <w:rsid w:val="00294F31"/>
    <w:rsid w:val="00295183"/>
    <w:rsid w:val="002961BE"/>
    <w:rsid w:val="002961C0"/>
    <w:rsid w:val="00296239"/>
    <w:rsid w:val="0029627A"/>
    <w:rsid w:val="00296803"/>
    <w:rsid w:val="0029743E"/>
    <w:rsid w:val="002A04A5"/>
    <w:rsid w:val="002A08EA"/>
    <w:rsid w:val="002A0B70"/>
    <w:rsid w:val="002A0D80"/>
    <w:rsid w:val="002A1640"/>
    <w:rsid w:val="002A185F"/>
    <w:rsid w:val="002A18FB"/>
    <w:rsid w:val="002A2FBA"/>
    <w:rsid w:val="002A3B0F"/>
    <w:rsid w:val="002A48D6"/>
    <w:rsid w:val="002A4BA7"/>
    <w:rsid w:val="002A4D55"/>
    <w:rsid w:val="002A4F06"/>
    <w:rsid w:val="002A6BC4"/>
    <w:rsid w:val="002A7110"/>
    <w:rsid w:val="002B078B"/>
    <w:rsid w:val="002B10B6"/>
    <w:rsid w:val="002B1522"/>
    <w:rsid w:val="002B32F2"/>
    <w:rsid w:val="002B3319"/>
    <w:rsid w:val="002B337B"/>
    <w:rsid w:val="002B3419"/>
    <w:rsid w:val="002B3919"/>
    <w:rsid w:val="002B3F66"/>
    <w:rsid w:val="002B43A3"/>
    <w:rsid w:val="002B4554"/>
    <w:rsid w:val="002B5F8B"/>
    <w:rsid w:val="002B6311"/>
    <w:rsid w:val="002B7B7E"/>
    <w:rsid w:val="002C07CD"/>
    <w:rsid w:val="002C0A95"/>
    <w:rsid w:val="002C1CBC"/>
    <w:rsid w:val="002C257A"/>
    <w:rsid w:val="002C25AF"/>
    <w:rsid w:val="002C287B"/>
    <w:rsid w:val="002C2F24"/>
    <w:rsid w:val="002C3DF6"/>
    <w:rsid w:val="002C3EC8"/>
    <w:rsid w:val="002C48B6"/>
    <w:rsid w:val="002C53B7"/>
    <w:rsid w:val="002C640E"/>
    <w:rsid w:val="002C7740"/>
    <w:rsid w:val="002C7A23"/>
    <w:rsid w:val="002D0B55"/>
    <w:rsid w:val="002D16BB"/>
    <w:rsid w:val="002D17C7"/>
    <w:rsid w:val="002D1BF4"/>
    <w:rsid w:val="002D3ECC"/>
    <w:rsid w:val="002D4823"/>
    <w:rsid w:val="002D486A"/>
    <w:rsid w:val="002D49EF"/>
    <w:rsid w:val="002D5C5B"/>
    <w:rsid w:val="002D721E"/>
    <w:rsid w:val="002D7265"/>
    <w:rsid w:val="002E009F"/>
    <w:rsid w:val="002E109D"/>
    <w:rsid w:val="002E123F"/>
    <w:rsid w:val="002E2635"/>
    <w:rsid w:val="002E2E1C"/>
    <w:rsid w:val="002E34DB"/>
    <w:rsid w:val="002E4372"/>
    <w:rsid w:val="002E4807"/>
    <w:rsid w:val="002E48D5"/>
    <w:rsid w:val="002E54FA"/>
    <w:rsid w:val="002E56F0"/>
    <w:rsid w:val="002E57A6"/>
    <w:rsid w:val="002E597C"/>
    <w:rsid w:val="002E59EB"/>
    <w:rsid w:val="002E61E8"/>
    <w:rsid w:val="002E665E"/>
    <w:rsid w:val="002E6756"/>
    <w:rsid w:val="002F0484"/>
    <w:rsid w:val="002F084E"/>
    <w:rsid w:val="002F0F95"/>
    <w:rsid w:val="002F18D8"/>
    <w:rsid w:val="002F18E1"/>
    <w:rsid w:val="002F3126"/>
    <w:rsid w:val="002F47E5"/>
    <w:rsid w:val="002F5583"/>
    <w:rsid w:val="002F5E7A"/>
    <w:rsid w:val="002F61EE"/>
    <w:rsid w:val="002F75C5"/>
    <w:rsid w:val="002F7C5B"/>
    <w:rsid w:val="003002CB"/>
    <w:rsid w:val="00300773"/>
    <w:rsid w:val="0030103C"/>
    <w:rsid w:val="0030172B"/>
    <w:rsid w:val="00302F3D"/>
    <w:rsid w:val="00306656"/>
    <w:rsid w:val="00306E55"/>
    <w:rsid w:val="00307227"/>
    <w:rsid w:val="00307A2E"/>
    <w:rsid w:val="00311569"/>
    <w:rsid w:val="00311773"/>
    <w:rsid w:val="00311E27"/>
    <w:rsid w:val="00312133"/>
    <w:rsid w:val="00312465"/>
    <w:rsid w:val="00313B42"/>
    <w:rsid w:val="00313DAF"/>
    <w:rsid w:val="00313ED8"/>
    <w:rsid w:val="0031428F"/>
    <w:rsid w:val="003145D0"/>
    <w:rsid w:val="00314706"/>
    <w:rsid w:val="00314F51"/>
    <w:rsid w:val="00315592"/>
    <w:rsid w:val="003158C0"/>
    <w:rsid w:val="0031607C"/>
    <w:rsid w:val="00320518"/>
    <w:rsid w:val="00320966"/>
    <w:rsid w:val="00320F95"/>
    <w:rsid w:val="00321641"/>
    <w:rsid w:val="00321C49"/>
    <w:rsid w:val="003220D0"/>
    <w:rsid w:val="00323DFC"/>
    <w:rsid w:val="00324877"/>
    <w:rsid w:val="00324CA2"/>
    <w:rsid w:val="00325AC8"/>
    <w:rsid w:val="0032661F"/>
    <w:rsid w:val="0032685C"/>
    <w:rsid w:val="00327A17"/>
    <w:rsid w:val="00331235"/>
    <w:rsid w:val="00331DEB"/>
    <w:rsid w:val="00332887"/>
    <w:rsid w:val="003328CC"/>
    <w:rsid w:val="00332CF5"/>
    <w:rsid w:val="0033334D"/>
    <w:rsid w:val="00333520"/>
    <w:rsid w:val="003336C1"/>
    <w:rsid w:val="00333DB3"/>
    <w:rsid w:val="00334118"/>
    <w:rsid w:val="0033444E"/>
    <w:rsid w:val="00335783"/>
    <w:rsid w:val="00340F67"/>
    <w:rsid w:val="00342E9D"/>
    <w:rsid w:val="00343F7C"/>
    <w:rsid w:val="003449A4"/>
    <w:rsid w:val="00345E70"/>
    <w:rsid w:val="00346321"/>
    <w:rsid w:val="003466F8"/>
    <w:rsid w:val="00346A49"/>
    <w:rsid w:val="0035043F"/>
    <w:rsid w:val="0035060F"/>
    <w:rsid w:val="00350640"/>
    <w:rsid w:val="003508E8"/>
    <w:rsid w:val="003509D9"/>
    <w:rsid w:val="003513B0"/>
    <w:rsid w:val="00351DA6"/>
    <w:rsid w:val="00352C94"/>
    <w:rsid w:val="003531DE"/>
    <w:rsid w:val="00353533"/>
    <w:rsid w:val="003541F7"/>
    <w:rsid w:val="00354DAE"/>
    <w:rsid w:val="003551B0"/>
    <w:rsid w:val="0035523E"/>
    <w:rsid w:val="003557BC"/>
    <w:rsid w:val="00355801"/>
    <w:rsid w:val="00355A2B"/>
    <w:rsid w:val="0035651A"/>
    <w:rsid w:val="00356DED"/>
    <w:rsid w:val="00360EED"/>
    <w:rsid w:val="00361209"/>
    <w:rsid w:val="00361611"/>
    <w:rsid w:val="00361B1C"/>
    <w:rsid w:val="00361D8F"/>
    <w:rsid w:val="00362A13"/>
    <w:rsid w:val="00362C7C"/>
    <w:rsid w:val="00362DC6"/>
    <w:rsid w:val="0036318F"/>
    <w:rsid w:val="00363E19"/>
    <w:rsid w:val="003650F4"/>
    <w:rsid w:val="0036638C"/>
    <w:rsid w:val="00366981"/>
    <w:rsid w:val="00367D17"/>
    <w:rsid w:val="00367FC3"/>
    <w:rsid w:val="00370823"/>
    <w:rsid w:val="0037253F"/>
    <w:rsid w:val="00372C72"/>
    <w:rsid w:val="003730A3"/>
    <w:rsid w:val="00374BE8"/>
    <w:rsid w:val="00375234"/>
    <w:rsid w:val="00375518"/>
    <w:rsid w:val="003759BB"/>
    <w:rsid w:val="00376113"/>
    <w:rsid w:val="0037695D"/>
    <w:rsid w:val="0037744C"/>
    <w:rsid w:val="00377CE7"/>
    <w:rsid w:val="003814B1"/>
    <w:rsid w:val="00381820"/>
    <w:rsid w:val="00381F60"/>
    <w:rsid w:val="00382690"/>
    <w:rsid w:val="00383660"/>
    <w:rsid w:val="003839B8"/>
    <w:rsid w:val="00384034"/>
    <w:rsid w:val="00386D5B"/>
    <w:rsid w:val="00386EA9"/>
    <w:rsid w:val="00387D30"/>
    <w:rsid w:val="00393D7E"/>
    <w:rsid w:val="0039473E"/>
    <w:rsid w:val="00394AA2"/>
    <w:rsid w:val="003951F2"/>
    <w:rsid w:val="0039615D"/>
    <w:rsid w:val="0039649B"/>
    <w:rsid w:val="00396642"/>
    <w:rsid w:val="00396D34"/>
    <w:rsid w:val="00397DA7"/>
    <w:rsid w:val="003A0909"/>
    <w:rsid w:val="003A1257"/>
    <w:rsid w:val="003A12C5"/>
    <w:rsid w:val="003A1920"/>
    <w:rsid w:val="003A1ED8"/>
    <w:rsid w:val="003A2235"/>
    <w:rsid w:val="003A28A2"/>
    <w:rsid w:val="003A2C06"/>
    <w:rsid w:val="003A419E"/>
    <w:rsid w:val="003A42A8"/>
    <w:rsid w:val="003A4344"/>
    <w:rsid w:val="003A470D"/>
    <w:rsid w:val="003A4C04"/>
    <w:rsid w:val="003A4DCF"/>
    <w:rsid w:val="003A58E5"/>
    <w:rsid w:val="003A5E02"/>
    <w:rsid w:val="003A5F9B"/>
    <w:rsid w:val="003A6139"/>
    <w:rsid w:val="003A63BA"/>
    <w:rsid w:val="003A7462"/>
    <w:rsid w:val="003A7C89"/>
    <w:rsid w:val="003B144D"/>
    <w:rsid w:val="003B18F8"/>
    <w:rsid w:val="003B1D96"/>
    <w:rsid w:val="003B2C6A"/>
    <w:rsid w:val="003B48F3"/>
    <w:rsid w:val="003B4D17"/>
    <w:rsid w:val="003B50D2"/>
    <w:rsid w:val="003B53D5"/>
    <w:rsid w:val="003B5667"/>
    <w:rsid w:val="003B5B97"/>
    <w:rsid w:val="003B650D"/>
    <w:rsid w:val="003B669A"/>
    <w:rsid w:val="003B67C8"/>
    <w:rsid w:val="003B6E3D"/>
    <w:rsid w:val="003B7734"/>
    <w:rsid w:val="003C1C48"/>
    <w:rsid w:val="003C34AF"/>
    <w:rsid w:val="003C3BA9"/>
    <w:rsid w:val="003C3FFC"/>
    <w:rsid w:val="003C5770"/>
    <w:rsid w:val="003C6586"/>
    <w:rsid w:val="003C66A9"/>
    <w:rsid w:val="003C7076"/>
    <w:rsid w:val="003D0024"/>
    <w:rsid w:val="003D0583"/>
    <w:rsid w:val="003D0728"/>
    <w:rsid w:val="003D15D3"/>
    <w:rsid w:val="003D182C"/>
    <w:rsid w:val="003D3095"/>
    <w:rsid w:val="003D3C64"/>
    <w:rsid w:val="003D3CFD"/>
    <w:rsid w:val="003D47BD"/>
    <w:rsid w:val="003D480C"/>
    <w:rsid w:val="003D4A33"/>
    <w:rsid w:val="003D5BD3"/>
    <w:rsid w:val="003D6874"/>
    <w:rsid w:val="003D7345"/>
    <w:rsid w:val="003D741F"/>
    <w:rsid w:val="003E03D8"/>
    <w:rsid w:val="003E0B3F"/>
    <w:rsid w:val="003E2324"/>
    <w:rsid w:val="003E2411"/>
    <w:rsid w:val="003E2F17"/>
    <w:rsid w:val="003E3FDD"/>
    <w:rsid w:val="003E3FE0"/>
    <w:rsid w:val="003E411D"/>
    <w:rsid w:val="003E4B60"/>
    <w:rsid w:val="003E4EFB"/>
    <w:rsid w:val="003E50B9"/>
    <w:rsid w:val="003E6413"/>
    <w:rsid w:val="003E64E1"/>
    <w:rsid w:val="003E64EA"/>
    <w:rsid w:val="003E7553"/>
    <w:rsid w:val="003F0218"/>
    <w:rsid w:val="003F095F"/>
    <w:rsid w:val="003F0BFD"/>
    <w:rsid w:val="003F0F7A"/>
    <w:rsid w:val="003F2AA7"/>
    <w:rsid w:val="003F3465"/>
    <w:rsid w:val="003F36CC"/>
    <w:rsid w:val="003F38E0"/>
    <w:rsid w:val="003F4037"/>
    <w:rsid w:val="003F49BC"/>
    <w:rsid w:val="003F4B5E"/>
    <w:rsid w:val="003F5A73"/>
    <w:rsid w:val="003F683C"/>
    <w:rsid w:val="00400379"/>
    <w:rsid w:val="00400CD4"/>
    <w:rsid w:val="00400D9C"/>
    <w:rsid w:val="00402B86"/>
    <w:rsid w:val="004053F7"/>
    <w:rsid w:val="00405BFB"/>
    <w:rsid w:val="00406D0C"/>
    <w:rsid w:val="004073FA"/>
    <w:rsid w:val="00411609"/>
    <w:rsid w:val="00411EC9"/>
    <w:rsid w:val="00411F55"/>
    <w:rsid w:val="004124BE"/>
    <w:rsid w:val="00414118"/>
    <w:rsid w:val="0041419E"/>
    <w:rsid w:val="00414AF3"/>
    <w:rsid w:val="00415BEF"/>
    <w:rsid w:val="00415DF6"/>
    <w:rsid w:val="004166BD"/>
    <w:rsid w:val="00416B1A"/>
    <w:rsid w:val="004170C7"/>
    <w:rsid w:val="00417AE6"/>
    <w:rsid w:val="00417C68"/>
    <w:rsid w:val="00420A73"/>
    <w:rsid w:val="004210DD"/>
    <w:rsid w:val="004219A7"/>
    <w:rsid w:val="0042349C"/>
    <w:rsid w:val="004234A6"/>
    <w:rsid w:val="004236BB"/>
    <w:rsid w:val="00424361"/>
    <w:rsid w:val="00424BB4"/>
    <w:rsid w:val="00424DE3"/>
    <w:rsid w:val="00425177"/>
    <w:rsid w:val="004257A5"/>
    <w:rsid w:val="00426006"/>
    <w:rsid w:val="00426255"/>
    <w:rsid w:val="0042697F"/>
    <w:rsid w:val="004305F3"/>
    <w:rsid w:val="004307D9"/>
    <w:rsid w:val="00430A47"/>
    <w:rsid w:val="00430B98"/>
    <w:rsid w:val="00431071"/>
    <w:rsid w:val="00432365"/>
    <w:rsid w:val="00433B83"/>
    <w:rsid w:val="00433BC7"/>
    <w:rsid w:val="0043412B"/>
    <w:rsid w:val="0043419F"/>
    <w:rsid w:val="004349D7"/>
    <w:rsid w:val="0043692E"/>
    <w:rsid w:val="00437073"/>
    <w:rsid w:val="00437195"/>
    <w:rsid w:val="00437914"/>
    <w:rsid w:val="00440768"/>
    <w:rsid w:val="004408E8"/>
    <w:rsid w:val="00440BA0"/>
    <w:rsid w:val="00442554"/>
    <w:rsid w:val="0044279D"/>
    <w:rsid w:val="004444AF"/>
    <w:rsid w:val="004461A0"/>
    <w:rsid w:val="0044625A"/>
    <w:rsid w:val="00446A8A"/>
    <w:rsid w:val="00446B61"/>
    <w:rsid w:val="00446E26"/>
    <w:rsid w:val="00447FA6"/>
    <w:rsid w:val="0045125B"/>
    <w:rsid w:val="00451473"/>
    <w:rsid w:val="00451AAA"/>
    <w:rsid w:val="004520B6"/>
    <w:rsid w:val="004526E7"/>
    <w:rsid w:val="004537C9"/>
    <w:rsid w:val="00453A58"/>
    <w:rsid w:val="004541B2"/>
    <w:rsid w:val="00455518"/>
    <w:rsid w:val="00456DC4"/>
    <w:rsid w:val="00456EAF"/>
    <w:rsid w:val="0045789E"/>
    <w:rsid w:val="00460F40"/>
    <w:rsid w:val="0046195B"/>
    <w:rsid w:val="0046209F"/>
    <w:rsid w:val="00463735"/>
    <w:rsid w:val="00466F4E"/>
    <w:rsid w:val="004671EA"/>
    <w:rsid w:val="00467C33"/>
    <w:rsid w:val="00467D6B"/>
    <w:rsid w:val="00470063"/>
    <w:rsid w:val="00470A8A"/>
    <w:rsid w:val="004717E2"/>
    <w:rsid w:val="00471854"/>
    <w:rsid w:val="00471DB5"/>
    <w:rsid w:val="00471E69"/>
    <w:rsid w:val="004720AE"/>
    <w:rsid w:val="00472B41"/>
    <w:rsid w:val="00475450"/>
    <w:rsid w:val="00475774"/>
    <w:rsid w:val="00475EA5"/>
    <w:rsid w:val="004760D1"/>
    <w:rsid w:val="004763A8"/>
    <w:rsid w:val="004776E0"/>
    <w:rsid w:val="004807CC"/>
    <w:rsid w:val="004807F6"/>
    <w:rsid w:val="00480F00"/>
    <w:rsid w:val="0048163D"/>
    <w:rsid w:val="00481835"/>
    <w:rsid w:val="0048188A"/>
    <w:rsid w:val="00481904"/>
    <w:rsid w:val="00481D92"/>
    <w:rsid w:val="00482DEB"/>
    <w:rsid w:val="00482F51"/>
    <w:rsid w:val="00483EB4"/>
    <w:rsid w:val="00484FB6"/>
    <w:rsid w:val="004857CD"/>
    <w:rsid w:val="004858E4"/>
    <w:rsid w:val="004875FB"/>
    <w:rsid w:val="00487DC5"/>
    <w:rsid w:val="00487F89"/>
    <w:rsid w:val="00490584"/>
    <w:rsid w:val="00490F0A"/>
    <w:rsid w:val="004910D4"/>
    <w:rsid w:val="00491FBE"/>
    <w:rsid w:val="00492592"/>
    <w:rsid w:val="00492908"/>
    <w:rsid w:val="00492E2A"/>
    <w:rsid w:val="00493194"/>
    <w:rsid w:val="00493A46"/>
    <w:rsid w:val="00493B35"/>
    <w:rsid w:val="00493BD1"/>
    <w:rsid w:val="00493D2C"/>
    <w:rsid w:val="0049490C"/>
    <w:rsid w:val="00495823"/>
    <w:rsid w:val="004959CE"/>
    <w:rsid w:val="00495DC3"/>
    <w:rsid w:val="00496023"/>
    <w:rsid w:val="00496256"/>
    <w:rsid w:val="004962B9"/>
    <w:rsid w:val="004962EE"/>
    <w:rsid w:val="004977A2"/>
    <w:rsid w:val="004A0EC3"/>
    <w:rsid w:val="004A1707"/>
    <w:rsid w:val="004A1A61"/>
    <w:rsid w:val="004A1DA1"/>
    <w:rsid w:val="004A24EE"/>
    <w:rsid w:val="004A25D1"/>
    <w:rsid w:val="004A3F54"/>
    <w:rsid w:val="004A3F9B"/>
    <w:rsid w:val="004A5E4B"/>
    <w:rsid w:val="004A5FF7"/>
    <w:rsid w:val="004A62F6"/>
    <w:rsid w:val="004A663F"/>
    <w:rsid w:val="004A6F8A"/>
    <w:rsid w:val="004A7093"/>
    <w:rsid w:val="004B044F"/>
    <w:rsid w:val="004B1343"/>
    <w:rsid w:val="004B1A4B"/>
    <w:rsid w:val="004B27B4"/>
    <w:rsid w:val="004B49F9"/>
    <w:rsid w:val="004B4AAC"/>
    <w:rsid w:val="004B5251"/>
    <w:rsid w:val="004B5361"/>
    <w:rsid w:val="004B5977"/>
    <w:rsid w:val="004B657B"/>
    <w:rsid w:val="004B660D"/>
    <w:rsid w:val="004B7000"/>
    <w:rsid w:val="004B7030"/>
    <w:rsid w:val="004C00C4"/>
    <w:rsid w:val="004C0BC6"/>
    <w:rsid w:val="004C2022"/>
    <w:rsid w:val="004C24F4"/>
    <w:rsid w:val="004C256C"/>
    <w:rsid w:val="004C2B8B"/>
    <w:rsid w:val="004C3B58"/>
    <w:rsid w:val="004C523B"/>
    <w:rsid w:val="004C5515"/>
    <w:rsid w:val="004C7156"/>
    <w:rsid w:val="004C7FD9"/>
    <w:rsid w:val="004D076F"/>
    <w:rsid w:val="004D11CE"/>
    <w:rsid w:val="004D1645"/>
    <w:rsid w:val="004D22EA"/>
    <w:rsid w:val="004D2848"/>
    <w:rsid w:val="004D2C91"/>
    <w:rsid w:val="004D3F60"/>
    <w:rsid w:val="004D4C4E"/>
    <w:rsid w:val="004D550F"/>
    <w:rsid w:val="004D5EC4"/>
    <w:rsid w:val="004D7300"/>
    <w:rsid w:val="004D7D82"/>
    <w:rsid w:val="004D7E4C"/>
    <w:rsid w:val="004E053F"/>
    <w:rsid w:val="004E14F0"/>
    <w:rsid w:val="004E347D"/>
    <w:rsid w:val="004E3AB1"/>
    <w:rsid w:val="004E3F29"/>
    <w:rsid w:val="004E6089"/>
    <w:rsid w:val="004E6C1D"/>
    <w:rsid w:val="004E70E4"/>
    <w:rsid w:val="004E7219"/>
    <w:rsid w:val="004F0AC8"/>
    <w:rsid w:val="004F1AAB"/>
    <w:rsid w:val="004F1FC9"/>
    <w:rsid w:val="004F210F"/>
    <w:rsid w:val="004F22D5"/>
    <w:rsid w:val="004F31E4"/>
    <w:rsid w:val="004F32C9"/>
    <w:rsid w:val="004F4C09"/>
    <w:rsid w:val="004F58F9"/>
    <w:rsid w:val="0050034D"/>
    <w:rsid w:val="00500935"/>
    <w:rsid w:val="005033A8"/>
    <w:rsid w:val="00503529"/>
    <w:rsid w:val="00504C04"/>
    <w:rsid w:val="005055C8"/>
    <w:rsid w:val="00507B0E"/>
    <w:rsid w:val="005102A4"/>
    <w:rsid w:val="005108C3"/>
    <w:rsid w:val="005108FA"/>
    <w:rsid w:val="005111C3"/>
    <w:rsid w:val="005112E3"/>
    <w:rsid w:val="00511986"/>
    <w:rsid w:val="00511BBF"/>
    <w:rsid w:val="00511DAC"/>
    <w:rsid w:val="00512D29"/>
    <w:rsid w:val="00512EE5"/>
    <w:rsid w:val="0051370F"/>
    <w:rsid w:val="00513CFC"/>
    <w:rsid w:val="00513D0A"/>
    <w:rsid w:val="00513EF9"/>
    <w:rsid w:val="00514B19"/>
    <w:rsid w:val="00515878"/>
    <w:rsid w:val="00516AC0"/>
    <w:rsid w:val="00517685"/>
    <w:rsid w:val="00520DF5"/>
    <w:rsid w:val="005211C6"/>
    <w:rsid w:val="005227F2"/>
    <w:rsid w:val="00522F5D"/>
    <w:rsid w:val="0052343F"/>
    <w:rsid w:val="005240B8"/>
    <w:rsid w:val="005243D7"/>
    <w:rsid w:val="0052457B"/>
    <w:rsid w:val="00525481"/>
    <w:rsid w:val="00525982"/>
    <w:rsid w:val="00526174"/>
    <w:rsid w:val="005268B9"/>
    <w:rsid w:val="00526E6D"/>
    <w:rsid w:val="00526E9A"/>
    <w:rsid w:val="00530356"/>
    <w:rsid w:val="005325F8"/>
    <w:rsid w:val="00534B37"/>
    <w:rsid w:val="00535348"/>
    <w:rsid w:val="00535609"/>
    <w:rsid w:val="00535A10"/>
    <w:rsid w:val="00535DD1"/>
    <w:rsid w:val="005360EA"/>
    <w:rsid w:val="00536D26"/>
    <w:rsid w:val="005374FF"/>
    <w:rsid w:val="0053750E"/>
    <w:rsid w:val="005407B9"/>
    <w:rsid w:val="00540D44"/>
    <w:rsid w:val="00540E3E"/>
    <w:rsid w:val="0054213F"/>
    <w:rsid w:val="00542290"/>
    <w:rsid w:val="0054229F"/>
    <w:rsid w:val="005447F9"/>
    <w:rsid w:val="00544840"/>
    <w:rsid w:val="00544CF5"/>
    <w:rsid w:val="005451D3"/>
    <w:rsid w:val="00545515"/>
    <w:rsid w:val="005457FC"/>
    <w:rsid w:val="00546E68"/>
    <w:rsid w:val="00547814"/>
    <w:rsid w:val="00547D70"/>
    <w:rsid w:val="005503F2"/>
    <w:rsid w:val="00550434"/>
    <w:rsid w:val="0055079B"/>
    <w:rsid w:val="00551F1B"/>
    <w:rsid w:val="0055279E"/>
    <w:rsid w:val="005534BA"/>
    <w:rsid w:val="00553A95"/>
    <w:rsid w:val="00553BF9"/>
    <w:rsid w:val="00554902"/>
    <w:rsid w:val="00554D9B"/>
    <w:rsid w:val="0055592B"/>
    <w:rsid w:val="00555D14"/>
    <w:rsid w:val="00555FE2"/>
    <w:rsid w:val="0055712C"/>
    <w:rsid w:val="0055730A"/>
    <w:rsid w:val="005601CF"/>
    <w:rsid w:val="00560E49"/>
    <w:rsid w:val="00560F51"/>
    <w:rsid w:val="005618A9"/>
    <w:rsid w:val="005622BD"/>
    <w:rsid w:val="005625DF"/>
    <w:rsid w:val="00562624"/>
    <w:rsid w:val="00562C35"/>
    <w:rsid w:val="00562C79"/>
    <w:rsid w:val="00562D17"/>
    <w:rsid w:val="00563395"/>
    <w:rsid w:val="005643BF"/>
    <w:rsid w:val="00564FCB"/>
    <w:rsid w:val="00565F1B"/>
    <w:rsid w:val="00566765"/>
    <w:rsid w:val="00566A08"/>
    <w:rsid w:val="00566D21"/>
    <w:rsid w:val="005670A7"/>
    <w:rsid w:val="005676DF"/>
    <w:rsid w:val="00567E0D"/>
    <w:rsid w:val="00570C09"/>
    <w:rsid w:val="0057173B"/>
    <w:rsid w:val="00572241"/>
    <w:rsid w:val="00572667"/>
    <w:rsid w:val="00574D22"/>
    <w:rsid w:val="00575CF4"/>
    <w:rsid w:val="0057655B"/>
    <w:rsid w:val="00577E45"/>
    <w:rsid w:val="00577F55"/>
    <w:rsid w:val="00580F74"/>
    <w:rsid w:val="005812A0"/>
    <w:rsid w:val="00581413"/>
    <w:rsid w:val="005826E4"/>
    <w:rsid w:val="00582C3A"/>
    <w:rsid w:val="005831B6"/>
    <w:rsid w:val="005836E1"/>
    <w:rsid w:val="00584213"/>
    <w:rsid w:val="005842C3"/>
    <w:rsid w:val="00585314"/>
    <w:rsid w:val="0058710A"/>
    <w:rsid w:val="00587E39"/>
    <w:rsid w:val="005902A6"/>
    <w:rsid w:val="00590D95"/>
    <w:rsid w:val="00590E4A"/>
    <w:rsid w:val="00591F4F"/>
    <w:rsid w:val="00592E7D"/>
    <w:rsid w:val="00592EBE"/>
    <w:rsid w:val="00593B4A"/>
    <w:rsid w:val="00595389"/>
    <w:rsid w:val="00596CC4"/>
    <w:rsid w:val="005A0F1A"/>
    <w:rsid w:val="005A106A"/>
    <w:rsid w:val="005A1CE7"/>
    <w:rsid w:val="005A268B"/>
    <w:rsid w:val="005A2BEB"/>
    <w:rsid w:val="005A2CFD"/>
    <w:rsid w:val="005A37EC"/>
    <w:rsid w:val="005A43F5"/>
    <w:rsid w:val="005A44C1"/>
    <w:rsid w:val="005A4550"/>
    <w:rsid w:val="005A4922"/>
    <w:rsid w:val="005A51BF"/>
    <w:rsid w:val="005A53A8"/>
    <w:rsid w:val="005A614F"/>
    <w:rsid w:val="005B0702"/>
    <w:rsid w:val="005B1E28"/>
    <w:rsid w:val="005B2E06"/>
    <w:rsid w:val="005B3482"/>
    <w:rsid w:val="005B3D6A"/>
    <w:rsid w:val="005B3E96"/>
    <w:rsid w:val="005B425C"/>
    <w:rsid w:val="005B486A"/>
    <w:rsid w:val="005B7565"/>
    <w:rsid w:val="005B7704"/>
    <w:rsid w:val="005B77EC"/>
    <w:rsid w:val="005C0102"/>
    <w:rsid w:val="005C3209"/>
    <w:rsid w:val="005C341C"/>
    <w:rsid w:val="005C4655"/>
    <w:rsid w:val="005C547C"/>
    <w:rsid w:val="005C551B"/>
    <w:rsid w:val="005C6D3C"/>
    <w:rsid w:val="005C7107"/>
    <w:rsid w:val="005C779F"/>
    <w:rsid w:val="005C7E3F"/>
    <w:rsid w:val="005D02FB"/>
    <w:rsid w:val="005D0840"/>
    <w:rsid w:val="005D0B96"/>
    <w:rsid w:val="005D0C6F"/>
    <w:rsid w:val="005D1CA4"/>
    <w:rsid w:val="005D1CC1"/>
    <w:rsid w:val="005D1D93"/>
    <w:rsid w:val="005D2C0E"/>
    <w:rsid w:val="005D2DED"/>
    <w:rsid w:val="005D2F6E"/>
    <w:rsid w:val="005D54A4"/>
    <w:rsid w:val="005D5DEF"/>
    <w:rsid w:val="005D7F5D"/>
    <w:rsid w:val="005E0617"/>
    <w:rsid w:val="005E213F"/>
    <w:rsid w:val="005E2741"/>
    <w:rsid w:val="005E466F"/>
    <w:rsid w:val="005F0654"/>
    <w:rsid w:val="005F1282"/>
    <w:rsid w:val="005F1C7B"/>
    <w:rsid w:val="005F268D"/>
    <w:rsid w:val="005F2F95"/>
    <w:rsid w:val="005F3476"/>
    <w:rsid w:val="005F35AC"/>
    <w:rsid w:val="005F490B"/>
    <w:rsid w:val="005F5A9B"/>
    <w:rsid w:val="005F6C3F"/>
    <w:rsid w:val="00600062"/>
    <w:rsid w:val="00600BC8"/>
    <w:rsid w:val="006012E3"/>
    <w:rsid w:val="006014C9"/>
    <w:rsid w:val="0060229E"/>
    <w:rsid w:val="00602B51"/>
    <w:rsid w:val="00602D42"/>
    <w:rsid w:val="00603D0E"/>
    <w:rsid w:val="0060407C"/>
    <w:rsid w:val="00604246"/>
    <w:rsid w:val="00606851"/>
    <w:rsid w:val="00607379"/>
    <w:rsid w:val="0061005A"/>
    <w:rsid w:val="00611529"/>
    <w:rsid w:val="00613DED"/>
    <w:rsid w:val="00614839"/>
    <w:rsid w:val="006154B9"/>
    <w:rsid w:val="006156E6"/>
    <w:rsid w:val="00615FE8"/>
    <w:rsid w:val="006169DC"/>
    <w:rsid w:val="00616DAA"/>
    <w:rsid w:val="00617AF2"/>
    <w:rsid w:val="00620E59"/>
    <w:rsid w:val="006210CE"/>
    <w:rsid w:val="00621B57"/>
    <w:rsid w:val="00621EBF"/>
    <w:rsid w:val="006221CE"/>
    <w:rsid w:val="006224E2"/>
    <w:rsid w:val="0062309D"/>
    <w:rsid w:val="00624283"/>
    <w:rsid w:val="006243C0"/>
    <w:rsid w:val="00624954"/>
    <w:rsid w:val="00625344"/>
    <w:rsid w:val="00625D0D"/>
    <w:rsid w:val="00630071"/>
    <w:rsid w:val="0063030D"/>
    <w:rsid w:val="006303C5"/>
    <w:rsid w:val="006307AC"/>
    <w:rsid w:val="006307CE"/>
    <w:rsid w:val="00631FE9"/>
    <w:rsid w:val="0063292C"/>
    <w:rsid w:val="006337C7"/>
    <w:rsid w:val="006343B7"/>
    <w:rsid w:val="00634AC8"/>
    <w:rsid w:val="00636141"/>
    <w:rsid w:val="0063620F"/>
    <w:rsid w:val="006364E6"/>
    <w:rsid w:val="0064019B"/>
    <w:rsid w:val="00640471"/>
    <w:rsid w:val="00640477"/>
    <w:rsid w:val="006414D4"/>
    <w:rsid w:val="0064159E"/>
    <w:rsid w:val="00641F8D"/>
    <w:rsid w:val="00642707"/>
    <w:rsid w:val="00642924"/>
    <w:rsid w:val="00643198"/>
    <w:rsid w:val="00643317"/>
    <w:rsid w:val="0064346A"/>
    <w:rsid w:val="006444C7"/>
    <w:rsid w:val="00644F35"/>
    <w:rsid w:val="00645966"/>
    <w:rsid w:val="00645B20"/>
    <w:rsid w:val="00646577"/>
    <w:rsid w:val="006504F5"/>
    <w:rsid w:val="006520A5"/>
    <w:rsid w:val="00652DE4"/>
    <w:rsid w:val="00653524"/>
    <w:rsid w:val="00653E9D"/>
    <w:rsid w:val="00654852"/>
    <w:rsid w:val="00656E31"/>
    <w:rsid w:val="006571E0"/>
    <w:rsid w:val="00657249"/>
    <w:rsid w:val="006601C6"/>
    <w:rsid w:val="006605C2"/>
    <w:rsid w:val="0066140B"/>
    <w:rsid w:val="0066246A"/>
    <w:rsid w:val="00662D2C"/>
    <w:rsid w:val="006638A8"/>
    <w:rsid w:val="00663EF2"/>
    <w:rsid w:val="0066425A"/>
    <w:rsid w:val="0066590B"/>
    <w:rsid w:val="00665DF1"/>
    <w:rsid w:val="00667824"/>
    <w:rsid w:val="00667B59"/>
    <w:rsid w:val="00667CE4"/>
    <w:rsid w:val="0067039D"/>
    <w:rsid w:val="00670455"/>
    <w:rsid w:val="00670C23"/>
    <w:rsid w:val="006736D7"/>
    <w:rsid w:val="00673856"/>
    <w:rsid w:val="006739F1"/>
    <w:rsid w:val="00675C0A"/>
    <w:rsid w:val="0067696B"/>
    <w:rsid w:val="00676A30"/>
    <w:rsid w:val="00676BD4"/>
    <w:rsid w:val="00677153"/>
    <w:rsid w:val="006771FE"/>
    <w:rsid w:val="0067770A"/>
    <w:rsid w:val="006778FB"/>
    <w:rsid w:val="006813F6"/>
    <w:rsid w:val="00683D6F"/>
    <w:rsid w:val="0068499E"/>
    <w:rsid w:val="00686240"/>
    <w:rsid w:val="0068654E"/>
    <w:rsid w:val="00687E98"/>
    <w:rsid w:val="00690905"/>
    <w:rsid w:val="00691DF3"/>
    <w:rsid w:val="0069217B"/>
    <w:rsid w:val="006922C5"/>
    <w:rsid w:val="006924A2"/>
    <w:rsid w:val="006926EA"/>
    <w:rsid w:val="0069292F"/>
    <w:rsid w:val="00692EC4"/>
    <w:rsid w:val="00693B13"/>
    <w:rsid w:val="00694151"/>
    <w:rsid w:val="00696CAA"/>
    <w:rsid w:val="006976A4"/>
    <w:rsid w:val="00697B02"/>
    <w:rsid w:val="006A030F"/>
    <w:rsid w:val="006A1BB4"/>
    <w:rsid w:val="006A4738"/>
    <w:rsid w:val="006A4C38"/>
    <w:rsid w:val="006A4CC0"/>
    <w:rsid w:val="006A5456"/>
    <w:rsid w:val="006A5603"/>
    <w:rsid w:val="006A5C06"/>
    <w:rsid w:val="006A61CC"/>
    <w:rsid w:val="006A690E"/>
    <w:rsid w:val="006B0DE2"/>
    <w:rsid w:val="006B1953"/>
    <w:rsid w:val="006B1FC7"/>
    <w:rsid w:val="006B27BA"/>
    <w:rsid w:val="006B294A"/>
    <w:rsid w:val="006B34E5"/>
    <w:rsid w:val="006B39AB"/>
    <w:rsid w:val="006B3E5E"/>
    <w:rsid w:val="006B587F"/>
    <w:rsid w:val="006B5C36"/>
    <w:rsid w:val="006B5D69"/>
    <w:rsid w:val="006B63C4"/>
    <w:rsid w:val="006B671C"/>
    <w:rsid w:val="006C02A5"/>
    <w:rsid w:val="006C0AB6"/>
    <w:rsid w:val="006C0C8E"/>
    <w:rsid w:val="006C1192"/>
    <w:rsid w:val="006C12FF"/>
    <w:rsid w:val="006C4473"/>
    <w:rsid w:val="006C4ACE"/>
    <w:rsid w:val="006C5DE8"/>
    <w:rsid w:val="006C625C"/>
    <w:rsid w:val="006C6A83"/>
    <w:rsid w:val="006D0240"/>
    <w:rsid w:val="006D1C5B"/>
    <w:rsid w:val="006D242B"/>
    <w:rsid w:val="006D28DC"/>
    <w:rsid w:val="006D2908"/>
    <w:rsid w:val="006D454B"/>
    <w:rsid w:val="006D4C3E"/>
    <w:rsid w:val="006D518A"/>
    <w:rsid w:val="006D5564"/>
    <w:rsid w:val="006D55F7"/>
    <w:rsid w:val="006D668A"/>
    <w:rsid w:val="006D75DC"/>
    <w:rsid w:val="006D75F5"/>
    <w:rsid w:val="006D7840"/>
    <w:rsid w:val="006E1580"/>
    <w:rsid w:val="006E1F19"/>
    <w:rsid w:val="006E2217"/>
    <w:rsid w:val="006E27CC"/>
    <w:rsid w:val="006E31A6"/>
    <w:rsid w:val="006E3614"/>
    <w:rsid w:val="006E39FC"/>
    <w:rsid w:val="006E4206"/>
    <w:rsid w:val="006E5109"/>
    <w:rsid w:val="006E58A6"/>
    <w:rsid w:val="006E65C7"/>
    <w:rsid w:val="006E7940"/>
    <w:rsid w:val="006E7B19"/>
    <w:rsid w:val="006F05C3"/>
    <w:rsid w:val="006F0677"/>
    <w:rsid w:val="006F226B"/>
    <w:rsid w:val="006F27E1"/>
    <w:rsid w:val="006F27F1"/>
    <w:rsid w:val="006F32E4"/>
    <w:rsid w:val="006F3D84"/>
    <w:rsid w:val="006F45C0"/>
    <w:rsid w:val="006F4FDD"/>
    <w:rsid w:val="006F553E"/>
    <w:rsid w:val="006F5A67"/>
    <w:rsid w:val="006F5C46"/>
    <w:rsid w:val="006F66E5"/>
    <w:rsid w:val="00700B09"/>
    <w:rsid w:val="00700FCF"/>
    <w:rsid w:val="0070143E"/>
    <w:rsid w:val="0070149C"/>
    <w:rsid w:val="00701B38"/>
    <w:rsid w:val="00704246"/>
    <w:rsid w:val="0070457C"/>
    <w:rsid w:val="00704912"/>
    <w:rsid w:val="00704F2B"/>
    <w:rsid w:val="007056A6"/>
    <w:rsid w:val="00705C56"/>
    <w:rsid w:val="00707D68"/>
    <w:rsid w:val="00707EFD"/>
    <w:rsid w:val="0071072C"/>
    <w:rsid w:val="007109F7"/>
    <w:rsid w:val="00711432"/>
    <w:rsid w:val="007127A9"/>
    <w:rsid w:val="00713B82"/>
    <w:rsid w:val="007158AF"/>
    <w:rsid w:val="00715DDB"/>
    <w:rsid w:val="00715FCE"/>
    <w:rsid w:val="0071780E"/>
    <w:rsid w:val="00720938"/>
    <w:rsid w:val="00721DAF"/>
    <w:rsid w:val="00722B36"/>
    <w:rsid w:val="00722CDF"/>
    <w:rsid w:val="00723C8B"/>
    <w:rsid w:val="00724791"/>
    <w:rsid w:val="00724ADA"/>
    <w:rsid w:val="0072565C"/>
    <w:rsid w:val="00725C7C"/>
    <w:rsid w:val="007275A9"/>
    <w:rsid w:val="00731B8A"/>
    <w:rsid w:val="00732535"/>
    <w:rsid w:val="00732EED"/>
    <w:rsid w:val="00733C8C"/>
    <w:rsid w:val="00734618"/>
    <w:rsid w:val="00735D2F"/>
    <w:rsid w:val="00736057"/>
    <w:rsid w:val="007368ED"/>
    <w:rsid w:val="00736C07"/>
    <w:rsid w:val="00737C86"/>
    <w:rsid w:val="0074049F"/>
    <w:rsid w:val="007404B3"/>
    <w:rsid w:val="00740BCF"/>
    <w:rsid w:val="00741261"/>
    <w:rsid w:val="00741359"/>
    <w:rsid w:val="0074181B"/>
    <w:rsid w:val="00742C64"/>
    <w:rsid w:val="00743125"/>
    <w:rsid w:val="00743D37"/>
    <w:rsid w:val="00744126"/>
    <w:rsid w:val="00744178"/>
    <w:rsid w:val="0074422D"/>
    <w:rsid w:val="00744383"/>
    <w:rsid w:val="00744C75"/>
    <w:rsid w:val="00745E12"/>
    <w:rsid w:val="007469E7"/>
    <w:rsid w:val="00747081"/>
    <w:rsid w:val="00747182"/>
    <w:rsid w:val="0075034E"/>
    <w:rsid w:val="00750651"/>
    <w:rsid w:val="0075082F"/>
    <w:rsid w:val="00750A7B"/>
    <w:rsid w:val="00751259"/>
    <w:rsid w:val="00752957"/>
    <w:rsid w:val="00752F67"/>
    <w:rsid w:val="00753312"/>
    <w:rsid w:val="00754164"/>
    <w:rsid w:val="00754788"/>
    <w:rsid w:val="00755183"/>
    <w:rsid w:val="007551C7"/>
    <w:rsid w:val="00755FA7"/>
    <w:rsid w:val="00757643"/>
    <w:rsid w:val="007577E7"/>
    <w:rsid w:val="00757ED8"/>
    <w:rsid w:val="0076016C"/>
    <w:rsid w:val="00760440"/>
    <w:rsid w:val="00761B62"/>
    <w:rsid w:val="007623C4"/>
    <w:rsid w:val="007633D9"/>
    <w:rsid w:val="00763F0B"/>
    <w:rsid w:val="0076404F"/>
    <w:rsid w:val="00765022"/>
    <w:rsid w:val="0076590A"/>
    <w:rsid w:val="00765F9A"/>
    <w:rsid w:val="00770353"/>
    <w:rsid w:val="00770E89"/>
    <w:rsid w:val="00772D27"/>
    <w:rsid w:val="007730C3"/>
    <w:rsid w:val="0077390C"/>
    <w:rsid w:val="0077430D"/>
    <w:rsid w:val="00776193"/>
    <w:rsid w:val="00776238"/>
    <w:rsid w:val="00776B5D"/>
    <w:rsid w:val="00777518"/>
    <w:rsid w:val="007801C3"/>
    <w:rsid w:val="00780EA9"/>
    <w:rsid w:val="0078158F"/>
    <w:rsid w:val="0078174A"/>
    <w:rsid w:val="00781879"/>
    <w:rsid w:val="0078246A"/>
    <w:rsid w:val="0078387C"/>
    <w:rsid w:val="00784837"/>
    <w:rsid w:val="00786391"/>
    <w:rsid w:val="0078682B"/>
    <w:rsid w:val="00786DE3"/>
    <w:rsid w:val="0078751D"/>
    <w:rsid w:val="00787F00"/>
    <w:rsid w:val="00791C0F"/>
    <w:rsid w:val="00792996"/>
    <w:rsid w:val="00792AE5"/>
    <w:rsid w:val="00792F07"/>
    <w:rsid w:val="007936A9"/>
    <w:rsid w:val="0079448E"/>
    <w:rsid w:val="0079518C"/>
    <w:rsid w:val="00795220"/>
    <w:rsid w:val="00795850"/>
    <w:rsid w:val="007964F1"/>
    <w:rsid w:val="00796E0D"/>
    <w:rsid w:val="0079712D"/>
    <w:rsid w:val="00797E77"/>
    <w:rsid w:val="007A0554"/>
    <w:rsid w:val="007A2818"/>
    <w:rsid w:val="007A365B"/>
    <w:rsid w:val="007A3CE3"/>
    <w:rsid w:val="007A4CF7"/>
    <w:rsid w:val="007A4E94"/>
    <w:rsid w:val="007A5B3E"/>
    <w:rsid w:val="007A74D5"/>
    <w:rsid w:val="007A77C0"/>
    <w:rsid w:val="007A79CF"/>
    <w:rsid w:val="007A7F42"/>
    <w:rsid w:val="007B0835"/>
    <w:rsid w:val="007B3846"/>
    <w:rsid w:val="007B3BA1"/>
    <w:rsid w:val="007B5194"/>
    <w:rsid w:val="007B5B53"/>
    <w:rsid w:val="007B625A"/>
    <w:rsid w:val="007B6647"/>
    <w:rsid w:val="007B6C69"/>
    <w:rsid w:val="007B76F9"/>
    <w:rsid w:val="007B780F"/>
    <w:rsid w:val="007C02B8"/>
    <w:rsid w:val="007C03EE"/>
    <w:rsid w:val="007C0C55"/>
    <w:rsid w:val="007C1682"/>
    <w:rsid w:val="007C1AE7"/>
    <w:rsid w:val="007C37C5"/>
    <w:rsid w:val="007C3941"/>
    <w:rsid w:val="007C498C"/>
    <w:rsid w:val="007C4AF3"/>
    <w:rsid w:val="007C5DA6"/>
    <w:rsid w:val="007C6033"/>
    <w:rsid w:val="007C607C"/>
    <w:rsid w:val="007C6178"/>
    <w:rsid w:val="007C7049"/>
    <w:rsid w:val="007C7193"/>
    <w:rsid w:val="007C7748"/>
    <w:rsid w:val="007C7B24"/>
    <w:rsid w:val="007D0EE8"/>
    <w:rsid w:val="007D129B"/>
    <w:rsid w:val="007D1C4F"/>
    <w:rsid w:val="007D20FE"/>
    <w:rsid w:val="007D23F5"/>
    <w:rsid w:val="007D2709"/>
    <w:rsid w:val="007D2A5C"/>
    <w:rsid w:val="007D5759"/>
    <w:rsid w:val="007D68E6"/>
    <w:rsid w:val="007D6CB5"/>
    <w:rsid w:val="007D76BC"/>
    <w:rsid w:val="007D7F83"/>
    <w:rsid w:val="007E18CD"/>
    <w:rsid w:val="007E24EB"/>
    <w:rsid w:val="007E2D42"/>
    <w:rsid w:val="007E373F"/>
    <w:rsid w:val="007E3F22"/>
    <w:rsid w:val="007E445C"/>
    <w:rsid w:val="007E464E"/>
    <w:rsid w:val="007E4949"/>
    <w:rsid w:val="007E5697"/>
    <w:rsid w:val="007E5818"/>
    <w:rsid w:val="007E6FBF"/>
    <w:rsid w:val="007F10DE"/>
    <w:rsid w:val="007F19EA"/>
    <w:rsid w:val="007F255B"/>
    <w:rsid w:val="007F2A4D"/>
    <w:rsid w:val="007F395C"/>
    <w:rsid w:val="007F600E"/>
    <w:rsid w:val="007F65BD"/>
    <w:rsid w:val="007F78D9"/>
    <w:rsid w:val="008003AB"/>
    <w:rsid w:val="008005AC"/>
    <w:rsid w:val="00801F2E"/>
    <w:rsid w:val="008023C7"/>
    <w:rsid w:val="00802B2D"/>
    <w:rsid w:val="00802BC2"/>
    <w:rsid w:val="00803862"/>
    <w:rsid w:val="00803CE3"/>
    <w:rsid w:val="008044F2"/>
    <w:rsid w:val="008046E9"/>
    <w:rsid w:val="00804878"/>
    <w:rsid w:val="00804A56"/>
    <w:rsid w:val="00805D64"/>
    <w:rsid w:val="008107D0"/>
    <w:rsid w:val="00811F81"/>
    <w:rsid w:val="00812162"/>
    <w:rsid w:val="00812A69"/>
    <w:rsid w:val="00812D8F"/>
    <w:rsid w:val="00813005"/>
    <w:rsid w:val="00813769"/>
    <w:rsid w:val="00814776"/>
    <w:rsid w:val="00815B9F"/>
    <w:rsid w:val="00816A84"/>
    <w:rsid w:val="00816F3D"/>
    <w:rsid w:val="0082101F"/>
    <w:rsid w:val="008219B8"/>
    <w:rsid w:val="00822C4E"/>
    <w:rsid w:val="00822F5B"/>
    <w:rsid w:val="00823301"/>
    <w:rsid w:val="0082640A"/>
    <w:rsid w:val="0082688D"/>
    <w:rsid w:val="00827118"/>
    <w:rsid w:val="00830770"/>
    <w:rsid w:val="008307FA"/>
    <w:rsid w:val="00831A4A"/>
    <w:rsid w:val="00831E4C"/>
    <w:rsid w:val="0083381D"/>
    <w:rsid w:val="00833D43"/>
    <w:rsid w:val="00833D48"/>
    <w:rsid w:val="00834517"/>
    <w:rsid w:val="00834918"/>
    <w:rsid w:val="00835232"/>
    <w:rsid w:val="008355D8"/>
    <w:rsid w:val="00836867"/>
    <w:rsid w:val="00836CF8"/>
    <w:rsid w:val="008371F8"/>
    <w:rsid w:val="00840033"/>
    <w:rsid w:val="008416DC"/>
    <w:rsid w:val="00841DCD"/>
    <w:rsid w:val="00841FD9"/>
    <w:rsid w:val="008420AE"/>
    <w:rsid w:val="00842658"/>
    <w:rsid w:val="00843B7E"/>
    <w:rsid w:val="00844303"/>
    <w:rsid w:val="00845D22"/>
    <w:rsid w:val="0084685D"/>
    <w:rsid w:val="00846FB7"/>
    <w:rsid w:val="00847FB0"/>
    <w:rsid w:val="00852A78"/>
    <w:rsid w:val="00852B51"/>
    <w:rsid w:val="00853A8B"/>
    <w:rsid w:val="00853DCD"/>
    <w:rsid w:val="00853F0F"/>
    <w:rsid w:val="008556F6"/>
    <w:rsid w:val="00860C47"/>
    <w:rsid w:val="008625DA"/>
    <w:rsid w:val="008626F2"/>
    <w:rsid w:val="00862A7E"/>
    <w:rsid w:val="00862FBA"/>
    <w:rsid w:val="00863BA4"/>
    <w:rsid w:val="00864BD2"/>
    <w:rsid w:val="00864D6C"/>
    <w:rsid w:val="008678FC"/>
    <w:rsid w:val="00867962"/>
    <w:rsid w:val="008705E6"/>
    <w:rsid w:val="008708F0"/>
    <w:rsid w:val="00871266"/>
    <w:rsid w:val="00871F3D"/>
    <w:rsid w:val="00872AF1"/>
    <w:rsid w:val="00872C51"/>
    <w:rsid w:val="0087347B"/>
    <w:rsid w:val="008744F1"/>
    <w:rsid w:val="00874CDC"/>
    <w:rsid w:val="00874F21"/>
    <w:rsid w:val="0087552E"/>
    <w:rsid w:val="00876221"/>
    <w:rsid w:val="008763F2"/>
    <w:rsid w:val="0087696C"/>
    <w:rsid w:val="008769DE"/>
    <w:rsid w:val="00876EBE"/>
    <w:rsid w:val="0088022A"/>
    <w:rsid w:val="008808BB"/>
    <w:rsid w:val="00880CF4"/>
    <w:rsid w:val="008810B7"/>
    <w:rsid w:val="00881408"/>
    <w:rsid w:val="00881BEE"/>
    <w:rsid w:val="008821F2"/>
    <w:rsid w:val="0088260B"/>
    <w:rsid w:val="00882AF6"/>
    <w:rsid w:val="00882E54"/>
    <w:rsid w:val="0088366A"/>
    <w:rsid w:val="0088498B"/>
    <w:rsid w:val="00885056"/>
    <w:rsid w:val="00886719"/>
    <w:rsid w:val="00890609"/>
    <w:rsid w:val="00890720"/>
    <w:rsid w:val="00891452"/>
    <w:rsid w:val="008915DE"/>
    <w:rsid w:val="0089204F"/>
    <w:rsid w:val="008920FC"/>
    <w:rsid w:val="008922D8"/>
    <w:rsid w:val="008925BB"/>
    <w:rsid w:val="0089315D"/>
    <w:rsid w:val="0089457B"/>
    <w:rsid w:val="00894A50"/>
    <w:rsid w:val="00894BA7"/>
    <w:rsid w:val="00894BFF"/>
    <w:rsid w:val="00895552"/>
    <w:rsid w:val="00896135"/>
    <w:rsid w:val="0089660E"/>
    <w:rsid w:val="0089688D"/>
    <w:rsid w:val="00897277"/>
    <w:rsid w:val="008A24A5"/>
    <w:rsid w:val="008A2561"/>
    <w:rsid w:val="008A2AB8"/>
    <w:rsid w:val="008A31E2"/>
    <w:rsid w:val="008A38D4"/>
    <w:rsid w:val="008A4ECE"/>
    <w:rsid w:val="008A5095"/>
    <w:rsid w:val="008A516F"/>
    <w:rsid w:val="008A5339"/>
    <w:rsid w:val="008A5A8D"/>
    <w:rsid w:val="008A6039"/>
    <w:rsid w:val="008A67BF"/>
    <w:rsid w:val="008A698F"/>
    <w:rsid w:val="008A6DE7"/>
    <w:rsid w:val="008A7298"/>
    <w:rsid w:val="008B15C8"/>
    <w:rsid w:val="008B3D81"/>
    <w:rsid w:val="008B78D4"/>
    <w:rsid w:val="008C01F3"/>
    <w:rsid w:val="008C13A6"/>
    <w:rsid w:val="008C1CC8"/>
    <w:rsid w:val="008C1D00"/>
    <w:rsid w:val="008C3D77"/>
    <w:rsid w:val="008C3FCB"/>
    <w:rsid w:val="008C69D0"/>
    <w:rsid w:val="008C6A05"/>
    <w:rsid w:val="008C6FFC"/>
    <w:rsid w:val="008C7451"/>
    <w:rsid w:val="008C7779"/>
    <w:rsid w:val="008C7B65"/>
    <w:rsid w:val="008D0D06"/>
    <w:rsid w:val="008D2540"/>
    <w:rsid w:val="008D2816"/>
    <w:rsid w:val="008D2A59"/>
    <w:rsid w:val="008D2C63"/>
    <w:rsid w:val="008D4681"/>
    <w:rsid w:val="008D69AA"/>
    <w:rsid w:val="008D733B"/>
    <w:rsid w:val="008D7451"/>
    <w:rsid w:val="008D775F"/>
    <w:rsid w:val="008D7A4C"/>
    <w:rsid w:val="008E05A5"/>
    <w:rsid w:val="008E1031"/>
    <w:rsid w:val="008E1E7B"/>
    <w:rsid w:val="008E2FBA"/>
    <w:rsid w:val="008E33DF"/>
    <w:rsid w:val="008E3B16"/>
    <w:rsid w:val="008E3D06"/>
    <w:rsid w:val="008E4AF2"/>
    <w:rsid w:val="008E51AE"/>
    <w:rsid w:val="008E5213"/>
    <w:rsid w:val="008E5566"/>
    <w:rsid w:val="008E63C9"/>
    <w:rsid w:val="008F0428"/>
    <w:rsid w:val="008F0F3E"/>
    <w:rsid w:val="008F11A4"/>
    <w:rsid w:val="008F1BE7"/>
    <w:rsid w:val="008F1F7C"/>
    <w:rsid w:val="008F2795"/>
    <w:rsid w:val="008F4661"/>
    <w:rsid w:val="008F67B4"/>
    <w:rsid w:val="008F7DAB"/>
    <w:rsid w:val="00900245"/>
    <w:rsid w:val="00900263"/>
    <w:rsid w:val="0090185F"/>
    <w:rsid w:val="0090199C"/>
    <w:rsid w:val="00902204"/>
    <w:rsid w:val="009027BF"/>
    <w:rsid w:val="00902920"/>
    <w:rsid w:val="00902B03"/>
    <w:rsid w:val="00903408"/>
    <w:rsid w:val="00903C8C"/>
    <w:rsid w:val="00904541"/>
    <w:rsid w:val="009063D4"/>
    <w:rsid w:val="00906ACC"/>
    <w:rsid w:val="00906CD6"/>
    <w:rsid w:val="0090704E"/>
    <w:rsid w:val="009076A5"/>
    <w:rsid w:val="00907E90"/>
    <w:rsid w:val="009106B8"/>
    <w:rsid w:val="0091138D"/>
    <w:rsid w:val="00911F1E"/>
    <w:rsid w:val="00912294"/>
    <w:rsid w:val="0091285F"/>
    <w:rsid w:val="009138AD"/>
    <w:rsid w:val="00914C3C"/>
    <w:rsid w:val="00915B9F"/>
    <w:rsid w:val="00916167"/>
    <w:rsid w:val="009170B5"/>
    <w:rsid w:val="0091717C"/>
    <w:rsid w:val="009202E1"/>
    <w:rsid w:val="00920DD0"/>
    <w:rsid w:val="00920DF1"/>
    <w:rsid w:val="009211BA"/>
    <w:rsid w:val="00921621"/>
    <w:rsid w:val="00921F45"/>
    <w:rsid w:val="00924481"/>
    <w:rsid w:val="00924FFC"/>
    <w:rsid w:val="009251EF"/>
    <w:rsid w:val="0092539C"/>
    <w:rsid w:val="009258AF"/>
    <w:rsid w:val="0092669A"/>
    <w:rsid w:val="00926B75"/>
    <w:rsid w:val="009279D1"/>
    <w:rsid w:val="00927AC1"/>
    <w:rsid w:val="009303C3"/>
    <w:rsid w:val="00930B4B"/>
    <w:rsid w:val="00930F83"/>
    <w:rsid w:val="009312D6"/>
    <w:rsid w:val="00931FBF"/>
    <w:rsid w:val="009327DA"/>
    <w:rsid w:val="00933AF8"/>
    <w:rsid w:val="00933B11"/>
    <w:rsid w:val="00934633"/>
    <w:rsid w:val="00935B31"/>
    <w:rsid w:val="0093666C"/>
    <w:rsid w:val="009367DC"/>
    <w:rsid w:val="009368AF"/>
    <w:rsid w:val="00937398"/>
    <w:rsid w:val="00937955"/>
    <w:rsid w:val="00937C3B"/>
    <w:rsid w:val="0094117D"/>
    <w:rsid w:val="00941D87"/>
    <w:rsid w:val="00942EE2"/>
    <w:rsid w:val="00944487"/>
    <w:rsid w:val="009445F5"/>
    <w:rsid w:val="00944AC0"/>
    <w:rsid w:val="00945726"/>
    <w:rsid w:val="009457E9"/>
    <w:rsid w:val="00945F29"/>
    <w:rsid w:val="0094719D"/>
    <w:rsid w:val="00947DF1"/>
    <w:rsid w:val="00950AF1"/>
    <w:rsid w:val="00951CCB"/>
    <w:rsid w:val="00951D91"/>
    <w:rsid w:val="009521A9"/>
    <w:rsid w:val="0095304F"/>
    <w:rsid w:val="009550C4"/>
    <w:rsid w:val="00955F35"/>
    <w:rsid w:val="00957519"/>
    <w:rsid w:val="00957E0D"/>
    <w:rsid w:val="00960199"/>
    <w:rsid w:val="00960946"/>
    <w:rsid w:val="00962D5A"/>
    <w:rsid w:val="00963325"/>
    <w:rsid w:val="009633D7"/>
    <w:rsid w:val="00965F7E"/>
    <w:rsid w:val="009664BE"/>
    <w:rsid w:val="00966565"/>
    <w:rsid w:val="00966EDA"/>
    <w:rsid w:val="009670D7"/>
    <w:rsid w:val="009701EE"/>
    <w:rsid w:val="00970878"/>
    <w:rsid w:val="00971037"/>
    <w:rsid w:val="00971945"/>
    <w:rsid w:val="00972A3E"/>
    <w:rsid w:val="00972AD4"/>
    <w:rsid w:val="00972C01"/>
    <w:rsid w:val="009738FA"/>
    <w:rsid w:val="00973DB5"/>
    <w:rsid w:val="0097612D"/>
    <w:rsid w:val="00976C7F"/>
    <w:rsid w:val="0098101F"/>
    <w:rsid w:val="00981C05"/>
    <w:rsid w:val="00983FBD"/>
    <w:rsid w:val="00985CE0"/>
    <w:rsid w:val="00985DB5"/>
    <w:rsid w:val="00985DDA"/>
    <w:rsid w:val="00986688"/>
    <w:rsid w:val="00987038"/>
    <w:rsid w:val="0098752D"/>
    <w:rsid w:val="009879BC"/>
    <w:rsid w:val="009908E2"/>
    <w:rsid w:val="00990ECF"/>
    <w:rsid w:val="00991182"/>
    <w:rsid w:val="00992097"/>
    <w:rsid w:val="009920F3"/>
    <w:rsid w:val="00993022"/>
    <w:rsid w:val="00993349"/>
    <w:rsid w:val="00994283"/>
    <w:rsid w:val="009944AF"/>
    <w:rsid w:val="009946CD"/>
    <w:rsid w:val="00995343"/>
    <w:rsid w:val="00995776"/>
    <w:rsid w:val="009962CA"/>
    <w:rsid w:val="00996945"/>
    <w:rsid w:val="00996F13"/>
    <w:rsid w:val="009978E5"/>
    <w:rsid w:val="009A07E7"/>
    <w:rsid w:val="009A26A0"/>
    <w:rsid w:val="009A296A"/>
    <w:rsid w:val="009A2AEF"/>
    <w:rsid w:val="009A2C94"/>
    <w:rsid w:val="009A2EC0"/>
    <w:rsid w:val="009A31B6"/>
    <w:rsid w:val="009A3722"/>
    <w:rsid w:val="009A4703"/>
    <w:rsid w:val="009A4A40"/>
    <w:rsid w:val="009A4A70"/>
    <w:rsid w:val="009A5A95"/>
    <w:rsid w:val="009A61EC"/>
    <w:rsid w:val="009A798A"/>
    <w:rsid w:val="009A7B79"/>
    <w:rsid w:val="009A7C63"/>
    <w:rsid w:val="009A7E64"/>
    <w:rsid w:val="009B0305"/>
    <w:rsid w:val="009B18CF"/>
    <w:rsid w:val="009B1D97"/>
    <w:rsid w:val="009B2410"/>
    <w:rsid w:val="009B2B8A"/>
    <w:rsid w:val="009B2FEC"/>
    <w:rsid w:val="009B319B"/>
    <w:rsid w:val="009B4593"/>
    <w:rsid w:val="009B4E89"/>
    <w:rsid w:val="009B592A"/>
    <w:rsid w:val="009B6DCF"/>
    <w:rsid w:val="009B6E93"/>
    <w:rsid w:val="009B7762"/>
    <w:rsid w:val="009B7B94"/>
    <w:rsid w:val="009C217C"/>
    <w:rsid w:val="009C2909"/>
    <w:rsid w:val="009C2B88"/>
    <w:rsid w:val="009C2B98"/>
    <w:rsid w:val="009C2FF5"/>
    <w:rsid w:val="009C3572"/>
    <w:rsid w:val="009C3762"/>
    <w:rsid w:val="009C43D2"/>
    <w:rsid w:val="009C468C"/>
    <w:rsid w:val="009C4D2F"/>
    <w:rsid w:val="009C5181"/>
    <w:rsid w:val="009C580D"/>
    <w:rsid w:val="009C6A85"/>
    <w:rsid w:val="009C77E3"/>
    <w:rsid w:val="009C7801"/>
    <w:rsid w:val="009C7BDD"/>
    <w:rsid w:val="009D02A0"/>
    <w:rsid w:val="009D0A8C"/>
    <w:rsid w:val="009D0CF3"/>
    <w:rsid w:val="009D1982"/>
    <w:rsid w:val="009D22B1"/>
    <w:rsid w:val="009D2697"/>
    <w:rsid w:val="009D2C60"/>
    <w:rsid w:val="009D60C1"/>
    <w:rsid w:val="009D666F"/>
    <w:rsid w:val="009D671C"/>
    <w:rsid w:val="009D6E1C"/>
    <w:rsid w:val="009D7B0F"/>
    <w:rsid w:val="009D7F67"/>
    <w:rsid w:val="009E0853"/>
    <w:rsid w:val="009E131B"/>
    <w:rsid w:val="009E20AD"/>
    <w:rsid w:val="009E2907"/>
    <w:rsid w:val="009E29BE"/>
    <w:rsid w:val="009E3556"/>
    <w:rsid w:val="009E3B8E"/>
    <w:rsid w:val="009E41EA"/>
    <w:rsid w:val="009E4334"/>
    <w:rsid w:val="009E4404"/>
    <w:rsid w:val="009E6FD3"/>
    <w:rsid w:val="009E7411"/>
    <w:rsid w:val="009E7430"/>
    <w:rsid w:val="009E7E09"/>
    <w:rsid w:val="009F0E6D"/>
    <w:rsid w:val="009F1683"/>
    <w:rsid w:val="009F1954"/>
    <w:rsid w:val="009F282F"/>
    <w:rsid w:val="009F2F84"/>
    <w:rsid w:val="009F3073"/>
    <w:rsid w:val="009F3D6F"/>
    <w:rsid w:val="009F40DB"/>
    <w:rsid w:val="009F462B"/>
    <w:rsid w:val="009F491B"/>
    <w:rsid w:val="009F4AEA"/>
    <w:rsid w:val="009F598B"/>
    <w:rsid w:val="009F663F"/>
    <w:rsid w:val="009F77D9"/>
    <w:rsid w:val="00A008FB"/>
    <w:rsid w:val="00A0123D"/>
    <w:rsid w:val="00A0132F"/>
    <w:rsid w:val="00A01621"/>
    <w:rsid w:val="00A0336D"/>
    <w:rsid w:val="00A04419"/>
    <w:rsid w:val="00A056C3"/>
    <w:rsid w:val="00A10FE9"/>
    <w:rsid w:val="00A1286D"/>
    <w:rsid w:val="00A12A8D"/>
    <w:rsid w:val="00A13B61"/>
    <w:rsid w:val="00A13F89"/>
    <w:rsid w:val="00A14606"/>
    <w:rsid w:val="00A14C51"/>
    <w:rsid w:val="00A14F4B"/>
    <w:rsid w:val="00A166C0"/>
    <w:rsid w:val="00A17830"/>
    <w:rsid w:val="00A202BB"/>
    <w:rsid w:val="00A20D57"/>
    <w:rsid w:val="00A21E29"/>
    <w:rsid w:val="00A21FAD"/>
    <w:rsid w:val="00A21FC4"/>
    <w:rsid w:val="00A22192"/>
    <w:rsid w:val="00A22E00"/>
    <w:rsid w:val="00A22E8B"/>
    <w:rsid w:val="00A23715"/>
    <w:rsid w:val="00A23C36"/>
    <w:rsid w:val="00A23F54"/>
    <w:rsid w:val="00A24793"/>
    <w:rsid w:val="00A2534D"/>
    <w:rsid w:val="00A25C1C"/>
    <w:rsid w:val="00A25D24"/>
    <w:rsid w:val="00A25D6D"/>
    <w:rsid w:val="00A25EB8"/>
    <w:rsid w:val="00A26008"/>
    <w:rsid w:val="00A262C7"/>
    <w:rsid w:val="00A26B1C"/>
    <w:rsid w:val="00A26E39"/>
    <w:rsid w:val="00A279D6"/>
    <w:rsid w:val="00A27C89"/>
    <w:rsid w:val="00A27FD3"/>
    <w:rsid w:val="00A31418"/>
    <w:rsid w:val="00A32447"/>
    <w:rsid w:val="00A3346A"/>
    <w:rsid w:val="00A33585"/>
    <w:rsid w:val="00A34336"/>
    <w:rsid w:val="00A3461B"/>
    <w:rsid w:val="00A35C66"/>
    <w:rsid w:val="00A36358"/>
    <w:rsid w:val="00A36890"/>
    <w:rsid w:val="00A36912"/>
    <w:rsid w:val="00A36F23"/>
    <w:rsid w:val="00A36F2A"/>
    <w:rsid w:val="00A371AC"/>
    <w:rsid w:val="00A37444"/>
    <w:rsid w:val="00A375CC"/>
    <w:rsid w:val="00A404DB"/>
    <w:rsid w:val="00A406C2"/>
    <w:rsid w:val="00A40E80"/>
    <w:rsid w:val="00A41886"/>
    <w:rsid w:val="00A43045"/>
    <w:rsid w:val="00A43505"/>
    <w:rsid w:val="00A435F7"/>
    <w:rsid w:val="00A43E6D"/>
    <w:rsid w:val="00A440DE"/>
    <w:rsid w:val="00A465B5"/>
    <w:rsid w:val="00A47155"/>
    <w:rsid w:val="00A4796B"/>
    <w:rsid w:val="00A508F3"/>
    <w:rsid w:val="00A50DA8"/>
    <w:rsid w:val="00A51C05"/>
    <w:rsid w:val="00A51C13"/>
    <w:rsid w:val="00A51D1B"/>
    <w:rsid w:val="00A52AE7"/>
    <w:rsid w:val="00A53AC9"/>
    <w:rsid w:val="00A54772"/>
    <w:rsid w:val="00A55270"/>
    <w:rsid w:val="00A5772A"/>
    <w:rsid w:val="00A57817"/>
    <w:rsid w:val="00A60BA6"/>
    <w:rsid w:val="00A61694"/>
    <w:rsid w:val="00A61B59"/>
    <w:rsid w:val="00A64876"/>
    <w:rsid w:val="00A64B26"/>
    <w:rsid w:val="00A6568A"/>
    <w:rsid w:val="00A65D89"/>
    <w:rsid w:val="00A6719B"/>
    <w:rsid w:val="00A67726"/>
    <w:rsid w:val="00A6790B"/>
    <w:rsid w:val="00A67EAD"/>
    <w:rsid w:val="00A71185"/>
    <w:rsid w:val="00A71E6E"/>
    <w:rsid w:val="00A72140"/>
    <w:rsid w:val="00A72219"/>
    <w:rsid w:val="00A72EBA"/>
    <w:rsid w:val="00A733BC"/>
    <w:rsid w:val="00A73990"/>
    <w:rsid w:val="00A73D16"/>
    <w:rsid w:val="00A744B3"/>
    <w:rsid w:val="00A7494D"/>
    <w:rsid w:val="00A75567"/>
    <w:rsid w:val="00A75EC7"/>
    <w:rsid w:val="00A760CD"/>
    <w:rsid w:val="00A77C90"/>
    <w:rsid w:val="00A80272"/>
    <w:rsid w:val="00A80795"/>
    <w:rsid w:val="00A80F96"/>
    <w:rsid w:val="00A80FF7"/>
    <w:rsid w:val="00A81518"/>
    <w:rsid w:val="00A8174D"/>
    <w:rsid w:val="00A8298D"/>
    <w:rsid w:val="00A836D4"/>
    <w:rsid w:val="00A83E18"/>
    <w:rsid w:val="00A84035"/>
    <w:rsid w:val="00A84A52"/>
    <w:rsid w:val="00A84BBD"/>
    <w:rsid w:val="00A85701"/>
    <w:rsid w:val="00A85EA2"/>
    <w:rsid w:val="00A8695E"/>
    <w:rsid w:val="00A86F82"/>
    <w:rsid w:val="00A87FA5"/>
    <w:rsid w:val="00A90A3F"/>
    <w:rsid w:val="00A9115F"/>
    <w:rsid w:val="00A9348C"/>
    <w:rsid w:val="00A94307"/>
    <w:rsid w:val="00A94E52"/>
    <w:rsid w:val="00A95E57"/>
    <w:rsid w:val="00A97E0D"/>
    <w:rsid w:val="00AA05C4"/>
    <w:rsid w:val="00AA2474"/>
    <w:rsid w:val="00AA2A29"/>
    <w:rsid w:val="00AA356F"/>
    <w:rsid w:val="00AA36E0"/>
    <w:rsid w:val="00AA388B"/>
    <w:rsid w:val="00AA3BBB"/>
    <w:rsid w:val="00AA4A7F"/>
    <w:rsid w:val="00AA59D9"/>
    <w:rsid w:val="00AA6B82"/>
    <w:rsid w:val="00AA6EDB"/>
    <w:rsid w:val="00AA78E8"/>
    <w:rsid w:val="00AB044E"/>
    <w:rsid w:val="00AB177F"/>
    <w:rsid w:val="00AB292E"/>
    <w:rsid w:val="00AB2BEE"/>
    <w:rsid w:val="00AB5934"/>
    <w:rsid w:val="00AB59BF"/>
    <w:rsid w:val="00AB5FB0"/>
    <w:rsid w:val="00AB6200"/>
    <w:rsid w:val="00AB6305"/>
    <w:rsid w:val="00AB6AC5"/>
    <w:rsid w:val="00AB6FB5"/>
    <w:rsid w:val="00AB7D9C"/>
    <w:rsid w:val="00AC1597"/>
    <w:rsid w:val="00AC17D7"/>
    <w:rsid w:val="00AC196F"/>
    <w:rsid w:val="00AC1B3F"/>
    <w:rsid w:val="00AC1E6F"/>
    <w:rsid w:val="00AC1E85"/>
    <w:rsid w:val="00AC1EF9"/>
    <w:rsid w:val="00AC2342"/>
    <w:rsid w:val="00AC2668"/>
    <w:rsid w:val="00AC4F73"/>
    <w:rsid w:val="00AC5240"/>
    <w:rsid w:val="00AC5B85"/>
    <w:rsid w:val="00AC6A9D"/>
    <w:rsid w:val="00AD1133"/>
    <w:rsid w:val="00AD255B"/>
    <w:rsid w:val="00AD278F"/>
    <w:rsid w:val="00AD36FD"/>
    <w:rsid w:val="00AD3BE4"/>
    <w:rsid w:val="00AD599F"/>
    <w:rsid w:val="00AD5B0D"/>
    <w:rsid w:val="00AD5EF6"/>
    <w:rsid w:val="00AD6BA7"/>
    <w:rsid w:val="00AD6C98"/>
    <w:rsid w:val="00AD6F9F"/>
    <w:rsid w:val="00AD7681"/>
    <w:rsid w:val="00AD7A1F"/>
    <w:rsid w:val="00AE18ED"/>
    <w:rsid w:val="00AE1CA2"/>
    <w:rsid w:val="00AE1D38"/>
    <w:rsid w:val="00AE1F5E"/>
    <w:rsid w:val="00AE2989"/>
    <w:rsid w:val="00AE2AFD"/>
    <w:rsid w:val="00AE3E2F"/>
    <w:rsid w:val="00AE42EF"/>
    <w:rsid w:val="00AE45AE"/>
    <w:rsid w:val="00AE48F3"/>
    <w:rsid w:val="00AE4D6D"/>
    <w:rsid w:val="00AE6549"/>
    <w:rsid w:val="00AE6A87"/>
    <w:rsid w:val="00AE7C11"/>
    <w:rsid w:val="00AE7F88"/>
    <w:rsid w:val="00AF056F"/>
    <w:rsid w:val="00AF1021"/>
    <w:rsid w:val="00AF14F8"/>
    <w:rsid w:val="00AF2BD9"/>
    <w:rsid w:val="00AF34A1"/>
    <w:rsid w:val="00AF3C98"/>
    <w:rsid w:val="00AF3D0C"/>
    <w:rsid w:val="00AF41A8"/>
    <w:rsid w:val="00AF436A"/>
    <w:rsid w:val="00AF5B95"/>
    <w:rsid w:val="00AF7EA7"/>
    <w:rsid w:val="00B00823"/>
    <w:rsid w:val="00B01054"/>
    <w:rsid w:val="00B011D0"/>
    <w:rsid w:val="00B016D7"/>
    <w:rsid w:val="00B017F0"/>
    <w:rsid w:val="00B025C7"/>
    <w:rsid w:val="00B026D6"/>
    <w:rsid w:val="00B0345C"/>
    <w:rsid w:val="00B0442B"/>
    <w:rsid w:val="00B05158"/>
    <w:rsid w:val="00B05820"/>
    <w:rsid w:val="00B05E0A"/>
    <w:rsid w:val="00B12200"/>
    <w:rsid w:val="00B12F2E"/>
    <w:rsid w:val="00B13072"/>
    <w:rsid w:val="00B13190"/>
    <w:rsid w:val="00B136B1"/>
    <w:rsid w:val="00B13CE7"/>
    <w:rsid w:val="00B13D94"/>
    <w:rsid w:val="00B140EE"/>
    <w:rsid w:val="00B15313"/>
    <w:rsid w:val="00B1631E"/>
    <w:rsid w:val="00B168FC"/>
    <w:rsid w:val="00B20586"/>
    <w:rsid w:val="00B20D79"/>
    <w:rsid w:val="00B20F3F"/>
    <w:rsid w:val="00B22105"/>
    <w:rsid w:val="00B22166"/>
    <w:rsid w:val="00B22747"/>
    <w:rsid w:val="00B23315"/>
    <w:rsid w:val="00B24364"/>
    <w:rsid w:val="00B24A44"/>
    <w:rsid w:val="00B24DEF"/>
    <w:rsid w:val="00B263B6"/>
    <w:rsid w:val="00B26658"/>
    <w:rsid w:val="00B266E7"/>
    <w:rsid w:val="00B267ED"/>
    <w:rsid w:val="00B26FC8"/>
    <w:rsid w:val="00B27793"/>
    <w:rsid w:val="00B310D9"/>
    <w:rsid w:val="00B31CAB"/>
    <w:rsid w:val="00B326B0"/>
    <w:rsid w:val="00B326FD"/>
    <w:rsid w:val="00B33233"/>
    <w:rsid w:val="00B33B3E"/>
    <w:rsid w:val="00B34F9E"/>
    <w:rsid w:val="00B353A8"/>
    <w:rsid w:val="00B355EA"/>
    <w:rsid w:val="00B375C5"/>
    <w:rsid w:val="00B41692"/>
    <w:rsid w:val="00B41B41"/>
    <w:rsid w:val="00B42DE8"/>
    <w:rsid w:val="00B430B0"/>
    <w:rsid w:val="00B43153"/>
    <w:rsid w:val="00B43174"/>
    <w:rsid w:val="00B44499"/>
    <w:rsid w:val="00B44B77"/>
    <w:rsid w:val="00B45EE3"/>
    <w:rsid w:val="00B46875"/>
    <w:rsid w:val="00B472D7"/>
    <w:rsid w:val="00B47BD4"/>
    <w:rsid w:val="00B50F29"/>
    <w:rsid w:val="00B51DD6"/>
    <w:rsid w:val="00B52653"/>
    <w:rsid w:val="00B528BB"/>
    <w:rsid w:val="00B53071"/>
    <w:rsid w:val="00B532A6"/>
    <w:rsid w:val="00B53FC7"/>
    <w:rsid w:val="00B54A6F"/>
    <w:rsid w:val="00B55101"/>
    <w:rsid w:val="00B576E6"/>
    <w:rsid w:val="00B60A3E"/>
    <w:rsid w:val="00B61934"/>
    <w:rsid w:val="00B623E0"/>
    <w:rsid w:val="00B629F9"/>
    <w:rsid w:val="00B63836"/>
    <w:rsid w:val="00B63DDF"/>
    <w:rsid w:val="00B640B0"/>
    <w:rsid w:val="00B644EC"/>
    <w:rsid w:val="00B65CFD"/>
    <w:rsid w:val="00B65DD6"/>
    <w:rsid w:val="00B66FF6"/>
    <w:rsid w:val="00B7031E"/>
    <w:rsid w:val="00B719D7"/>
    <w:rsid w:val="00B72216"/>
    <w:rsid w:val="00B73220"/>
    <w:rsid w:val="00B73F77"/>
    <w:rsid w:val="00B74079"/>
    <w:rsid w:val="00B74136"/>
    <w:rsid w:val="00B74C82"/>
    <w:rsid w:val="00B774D3"/>
    <w:rsid w:val="00B77989"/>
    <w:rsid w:val="00B80918"/>
    <w:rsid w:val="00B80AE8"/>
    <w:rsid w:val="00B817AB"/>
    <w:rsid w:val="00B820BC"/>
    <w:rsid w:val="00B827D8"/>
    <w:rsid w:val="00B8323C"/>
    <w:rsid w:val="00B832B8"/>
    <w:rsid w:val="00B8365C"/>
    <w:rsid w:val="00B839A1"/>
    <w:rsid w:val="00B83E36"/>
    <w:rsid w:val="00B84243"/>
    <w:rsid w:val="00B869AD"/>
    <w:rsid w:val="00B86B4B"/>
    <w:rsid w:val="00B86BBD"/>
    <w:rsid w:val="00B8730D"/>
    <w:rsid w:val="00B901E1"/>
    <w:rsid w:val="00B905E7"/>
    <w:rsid w:val="00B9113B"/>
    <w:rsid w:val="00B9151F"/>
    <w:rsid w:val="00B91FA7"/>
    <w:rsid w:val="00B923C3"/>
    <w:rsid w:val="00B93221"/>
    <w:rsid w:val="00B93285"/>
    <w:rsid w:val="00B936D8"/>
    <w:rsid w:val="00B938CF"/>
    <w:rsid w:val="00B93AB8"/>
    <w:rsid w:val="00B94787"/>
    <w:rsid w:val="00B94B32"/>
    <w:rsid w:val="00B94B59"/>
    <w:rsid w:val="00B95E32"/>
    <w:rsid w:val="00B97228"/>
    <w:rsid w:val="00B9789E"/>
    <w:rsid w:val="00BA1859"/>
    <w:rsid w:val="00BA217E"/>
    <w:rsid w:val="00BA31BB"/>
    <w:rsid w:val="00BA37FC"/>
    <w:rsid w:val="00BA4C35"/>
    <w:rsid w:val="00BA4DC3"/>
    <w:rsid w:val="00BA64E4"/>
    <w:rsid w:val="00BA6919"/>
    <w:rsid w:val="00BA6A9E"/>
    <w:rsid w:val="00BA7643"/>
    <w:rsid w:val="00BA7B98"/>
    <w:rsid w:val="00BB086A"/>
    <w:rsid w:val="00BB0F07"/>
    <w:rsid w:val="00BB1D00"/>
    <w:rsid w:val="00BB1D84"/>
    <w:rsid w:val="00BB1F30"/>
    <w:rsid w:val="00BB2AC9"/>
    <w:rsid w:val="00BB418A"/>
    <w:rsid w:val="00BB4348"/>
    <w:rsid w:val="00BB4844"/>
    <w:rsid w:val="00BB53B7"/>
    <w:rsid w:val="00BB5EDD"/>
    <w:rsid w:val="00BB66E8"/>
    <w:rsid w:val="00BB70AA"/>
    <w:rsid w:val="00BB7826"/>
    <w:rsid w:val="00BB7AD8"/>
    <w:rsid w:val="00BB7CB5"/>
    <w:rsid w:val="00BC03A9"/>
    <w:rsid w:val="00BC0988"/>
    <w:rsid w:val="00BC1B63"/>
    <w:rsid w:val="00BC2397"/>
    <w:rsid w:val="00BC436F"/>
    <w:rsid w:val="00BC5388"/>
    <w:rsid w:val="00BC5D2B"/>
    <w:rsid w:val="00BC5E08"/>
    <w:rsid w:val="00BC6206"/>
    <w:rsid w:val="00BC72AD"/>
    <w:rsid w:val="00BC7420"/>
    <w:rsid w:val="00BD056C"/>
    <w:rsid w:val="00BD0D9B"/>
    <w:rsid w:val="00BD1BC1"/>
    <w:rsid w:val="00BD1D67"/>
    <w:rsid w:val="00BD26E5"/>
    <w:rsid w:val="00BD3D70"/>
    <w:rsid w:val="00BD59C6"/>
    <w:rsid w:val="00BD5A53"/>
    <w:rsid w:val="00BD5EE3"/>
    <w:rsid w:val="00BD686C"/>
    <w:rsid w:val="00BD6BD8"/>
    <w:rsid w:val="00BD7013"/>
    <w:rsid w:val="00BE18B3"/>
    <w:rsid w:val="00BE18D9"/>
    <w:rsid w:val="00BE3B02"/>
    <w:rsid w:val="00BE4074"/>
    <w:rsid w:val="00BE40CB"/>
    <w:rsid w:val="00BE413A"/>
    <w:rsid w:val="00BE4ED3"/>
    <w:rsid w:val="00BE50F5"/>
    <w:rsid w:val="00BE541B"/>
    <w:rsid w:val="00BE54FC"/>
    <w:rsid w:val="00BE717D"/>
    <w:rsid w:val="00BE7689"/>
    <w:rsid w:val="00BE7F32"/>
    <w:rsid w:val="00BF04E8"/>
    <w:rsid w:val="00BF095D"/>
    <w:rsid w:val="00BF2966"/>
    <w:rsid w:val="00BF2A5E"/>
    <w:rsid w:val="00BF3C42"/>
    <w:rsid w:val="00BF3D1C"/>
    <w:rsid w:val="00BF57A6"/>
    <w:rsid w:val="00BF58AE"/>
    <w:rsid w:val="00BF59EF"/>
    <w:rsid w:val="00BF7320"/>
    <w:rsid w:val="00BF7CD1"/>
    <w:rsid w:val="00C033DB"/>
    <w:rsid w:val="00C03530"/>
    <w:rsid w:val="00C04219"/>
    <w:rsid w:val="00C043E4"/>
    <w:rsid w:val="00C045E7"/>
    <w:rsid w:val="00C04892"/>
    <w:rsid w:val="00C0491A"/>
    <w:rsid w:val="00C05155"/>
    <w:rsid w:val="00C052C3"/>
    <w:rsid w:val="00C0569C"/>
    <w:rsid w:val="00C0639B"/>
    <w:rsid w:val="00C0751C"/>
    <w:rsid w:val="00C07C32"/>
    <w:rsid w:val="00C07FA5"/>
    <w:rsid w:val="00C10294"/>
    <w:rsid w:val="00C106E2"/>
    <w:rsid w:val="00C10BB0"/>
    <w:rsid w:val="00C11957"/>
    <w:rsid w:val="00C12C88"/>
    <w:rsid w:val="00C13719"/>
    <w:rsid w:val="00C137AC"/>
    <w:rsid w:val="00C13900"/>
    <w:rsid w:val="00C13C7D"/>
    <w:rsid w:val="00C14BB1"/>
    <w:rsid w:val="00C15553"/>
    <w:rsid w:val="00C15926"/>
    <w:rsid w:val="00C17CEF"/>
    <w:rsid w:val="00C20B84"/>
    <w:rsid w:val="00C215B9"/>
    <w:rsid w:val="00C2165A"/>
    <w:rsid w:val="00C21F93"/>
    <w:rsid w:val="00C226C6"/>
    <w:rsid w:val="00C237EC"/>
    <w:rsid w:val="00C2443D"/>
    <w:rsid w:val="00C24A4D"/>
    <w:rsid w:val="00C24A67"/>
    <w:rsid w:val="00C2530C"/>
    <w:rsid w:val="00C264E5"/>
    <w:rsid w:val="00C27A92"/>
    <w:rsid w:val="00C27AB5"/>
    <w:rsid w:val="00C27E2F"/>
    <w:rsid w:val="00C305A3"/>
    <w:rsid w:val="00C306D9"/>
    <w:rsid w:val="00C31460"/>
    <w:rsid w:val="00C31E4B"/>
    <w:rsid w:val="00C33EAF"/>
    <w:rsid w:val="00C3510F"/>
    <w:rsid w:val="00C360B0"/>
    <w:rsid w:val="00C364C7"/>
    <w:rsid w:val="00C36945"/>
    <w:rsid w:val="00C41340"/>
    <w:rsid w:val="00C41D55"/>
    <w:rsid w:val="00C4215F"/>
    <w:rsid w:val="00C423C2"/>
    <w:rsid w:val="00C42E6A"/>
    <w:rsid w:val="00C45007"/>
    <w:rsid w:val="00C45C2A"/>
    <w:rsid w:val="00C46898"/>
    <w:rsid w:val="00C47C8F"/>
    <w:rsid w:val="00C47E5E"/>
    <w:rsid w:val="00C500E1"/>
    <w:rsid w:val="00C5076F"/>
    <w:rsid w:val="00C51B9E"/>
    <w:rsid w:val="00C5301C"/>
    <w:rsid w:val="00C533AB"/>
    <w:rsid w:val="00C5441C"/>
    <w:rsid w:val="00C559A8"/>
    <w:rsid w:val="00C5717E"/>
    <w:rsid w:val="00C57685"/>
    <w:rsid w:val="00C60834"/>
    <w:rsid w:val="00C61D9D"/>
    <w:rsid w:val="00C63D1E"/>
    <w:rsid w:val="00C64498"/>
    <w:rsid w:val="00C65689"/>
    <w:rsid w:val="00C66808"/>
    <w:rsid w:val="00C66BBD"/>
    <w:rsid w:val="00C7052C"/>
    <w:rsid w:val="00C70DFD"/>
    <w:rsid w:val="00C71C40"/>
    <w:rsid w:val="00C7265C"/>
    <w:rsid w:val="00C72AEC"/>
    <w:rsid w:val="00C72B2C"/>
    <w:rsid w:val="00C72C61"/>
    <w:rsid w:val="00C738B1"/>
    <w:rsid w:val="00C7430F"/>
    <w:rsid w:val="00C74426"/>
    <w:rsid w:val="00C767AA"/>
    <w:rsid w:val="00C77701"/>
    <w:rsid w:val="00C77B94"/>
    <w:rsid w:val="00C80DED"/>
    <w:rsid w:val="00C8140B"/>
    <w:rsid w:val="00C817FD"/>
    <w:rsid w:val="00C82A83"/>
    <w:rsid w:val="00C82C9F"/>
    <w:rsid w:val="00C8305B"/>
    <w:rsid w:val="00C83513"/>
    <w:rsid w:val="00C852A2"/>
    <w:rsid w:val="00C852CC"/>
    <w:rsid w:val="00C86F43"/>
    <w:rsid w:val="00C86FED"/>
    <w:rsid w:val="00C87018"/>
    <w:rsid w:val="00C87D20"/>
    <w:rsid w:val="00C87EEA"/>
    <w:rsid w:val="00C908E0"/>
    <w:rsid w:val="00C927AA"/>
    <w:rsid w:val="00C937C7"/>
    <w:rsid w:val="00C93B42"/>
    <w:rsid w:val="00C950D8"/>
    <w:rsid w:val="00C96550"/>
    <w:rsid w:val="00C9688D"/>
    <w:rsid w:val="00C9728F"/>
    <w:rsid w:val="00C97750"/>
    <w:rsid w:val="00C97A84"/>
    <w:rsid w:val="00CA0137"/>
    <w:rsid w:val="00CA08DB"/>
    <w:rsid w:val="00CA1C7E"/>
    <w:rsid w:val="00CA2F75"/>
    <w:rsid w:val="00CA4982"/>
    <w:rsid w:val="00CA5049"/>
    <w:rsid w:val="00CA6146"/>
    <w:rsid w:val="00CA77AD"/>
    <w:rsid w:val="00CA78DB"/>
    <w:rsid w:val="00CA7951"/>
    <w:rsid w:val="00CB039C"/>
    <w:rsid w:val="00CB171C"/>
    <w:rsid w:val="00CB181B"/>
    <w:rsid w:val="00CB1EC5"/>
    <w:rsid w:val="00CB2C31"/>
    <w:rsid w:val="00CB2C5F"/>
    <w:rsid w:val="00CB36E2"/>
    <w:rsid w:val="00CB3779"/>
    <w:rsid w:val="00CB3ABD"/>
    <w:rsid w:val="00CB3AD2"/>
    <w:rsid w:val="00CB3DE6"/>
    <w:rsid w:val="00CB3F7C"/>
    <w:rsid w:val="00CB65EE"/>
    <w:rsid w:val="00CB6DEF"/>
    <w:rsid w:val="00CB7E29"/>
    <w:rsid w:val="00CC0105"/>
    <w:rsid w:val="00CC0942"/>
    <w:rsid w:val="00CC0B4F"/>
    <w:rsid w:val="00CC0D97"/>
    <w:rsid w:val="00CC0E39"/>
    <w:rsid w:val="00CC1B2F"/>
    <w:rsid w:val="00CC21CA"/>
    <w:rsid w:val="00CC22F5"/>
    <w:rsid w:val="00CC2312"/>
    <w:rsid w:val="00CC2817"/>
    <w:rsid w:val="00CC31AC"/>
    <w:rsid w:val="00CC3F60"/>
    <w:rsid w:val="00CC51D8"/>
    <w:rsid w:val="00CC5C34"/>
    <w:rsid w:val="00CC621F"/>
    <w:rsid w:val="00CC63AA"/>
    <w:rsid w:val="00CC684B"/>
    <w:rsid w:val="00CC6A19"/>
    <w:rsid w:val="00CC707E"/>
    <w:rsid w:val="00CC720B"/>
    <w:rsid w:val="00CC7DA1"/>
    <w:rsid w:val="00CD1ED9"/>
    <w:rsid w:val="00CD223C"/>
    <w:rsid w:val="00CD3387"/>
    <w:rsid w:val="00CD3436"/>
    <w:rsid w:val="00CD3EC0"/>
    <w:rsid w:val="00CD43C6"/>
    <w:rsid w:val="00CD4A30"/>
    <w:rsid w:val="00CD5585"/>
    <w:rsid w:val="00CD5658"/>
    <w:rsid w:val="00CD7114"/>
    <w:rsid w:val="00CD7137"/>
    <w:rsid w:val="00CD7263"/>
    <w:rsid w:val="00CD7B68"/>
    <w:rsid w:val="00CE07E2"/>
    <w:rsid w:val="00CE08AB"/>
    <w:rsid w:val="00CE0FAD"/>
    <w:rsid w:val="00CE1994"/>
    <w:rsid w:val="00CE1A8A"/>
    <w:rsid w:val="00CE22EE"/>
    <w:rsid w:val="00CE2333"/>
    <w:rsid w:val="00CE3847"/>
    <w:rsid w:val="00CE4176"/>
    <w:rsid w:val="00CE4E1F"/>
    <w:rsid w:val="00CE5663"/>
    <w:rsid w:val="00CE5684"/>
    <w:rsid w:val="00CE5A91"/>
    <w:rsid w:val="00CE5D3E"/>
    <w:rsid w:val="00CE5D4F"/>
    <w:rsid w:val="00CE74A9"/>
    <w:rsid w:val="00CF12AE"/>
    <w:rsid w:val="00CF1AF0"/>
    <w:rsid w:val="00CF25FC"/>
    <w:rsid w:val="00CF2892"/>
    <w:rsid w:val="00CF2FCE"/>
    <w:rsid w:val="00CF3316"/>
    <w:rsid w:val="00CF35C8"/>
    <w:rsid w:val="00CF3FD9"/>
    <w:rsid w:val="00CF4186"/>
    <w:rsid w:val="00CF4644"/>
    <w:rsid w:val="00CF4692"/>
    <w:rsid w:val="00CF469D"/>
    <w:rsid w:val="00CF51C6"/>
    <w:rsid w:val="00CF540C"/>
    <w:rsid w:val="00CF690A"/>
    <w:rsid w:val="00CF7DB6"/>
    <w:rsid w:val="00D02A8A"/>
    <w:rsid w:val="00D02EA8"/>
    <w:rsid w:val="00D030C2"/>
    <w:rsid w:val="00D036D1"/>
    <w:rsid w:val="00D03EAC"/>
    <w:rsid w:val="00D048BD"/>
    <w:rsid w:val="00D04EC3"/>
    <w:rsid w:val="00D04F60"/>
    <w:rsid w:val="00D06663"/>
    <w:rsid w:val="00D066BE"/>
    <w:rsid w:val="00D07276"/>
    <w:rsid w:val="00D076E1"/>
    <w:rsid w:val="00D116A5"/>
    <w:rsid w:val="00D122E1"/>
    <w:rsid w:val="00D12327"/>
    <w:rsid w:val="00D12410"/>
    <w:rsid w:val="00D12F84"/>
    <w:rsid w:val="00D15077"/>
    <w:rsid w:val="00D150AD"/>
    <w:rsid w:val="00D15CD2"/>
    <w:rsid w:val="00D16809"/>
    <w:rsid w:val="00D17DE7"/>
    <w:rsid w:val="00D20319"/>
    <w:rsid w:val="00D227CD"/>
    <w:rsid w:val="00D22D84"/>
    <w:rsid w:val="00D23192"/>
    <w:rsid w:val="00D238FA"/>
    <w:rsid w:val="00D23FEB"/>
    <w:rsid w:val="00D24538"/>
    <w:rsid w:val="00D24CA2"/>
    <w:rsid w:val="00D24DBF"/>
    <w:rsid w:val="00D2531B"/>
    <w:rsid w:val="00D255F0"/>
    <w:rsid w:val="00D26435"/>
    <w:rsid w:val="00D265A5"/>
    <w:rsid w:val="00D26944"/>
    <w:rsid w:val="00D27EE7"/>
    <w:rsid w:val="00D3098E"/>
    <w:rsid w:val="00D30E8E"/>
    <w:rsid w:val="00D31593"/>
    <w:rsid w:val="00D320A6"/>
    <w:rsid w:val="00D32517"/>
    <w:rsid w:val="00D32681"/>
    <w:rsid w:val="00D32CCD"/>
    <w:rsid w:val="00D33AF0"/>
    <w:rsid w:val="00D341E3"/>
    <w:rsid w:val="00D3485A"/>
    <w:rsid w:val="00D36053"/>
    <w:rsid w:val="00D36F54"/>
    <w:rsid w:val="00D4041B"/>
    <w:rsid w:val="00D40514"/>
    <w:rsid w:val="00D40D1C"/>
    <w:rsid w:val="00D4137F"/>
    <w:rsid w:val="00D42CC6"/>
    <w:rsid w:val="00D44118"/>
    <w:rsid w:val="00D451B2"/>
    <w:rsid w:val="00D47123"/>
    <w:rsid w:val="00D47653"/>
    <w:rsid w:val="00D50092"/>
    <w:rsid w:val="00D505B7"/>
    <w:rsid w:val="00D508E8"/>
    <w:rsid w:val="00D50C3C"/>
    <w:rsid w:val="00D51695"/>
    <w:rsid w:val="00D51B3E"/>
    <w:rsid w:val="00D5211B"/>
    <w:rsid w:val="00D52AF2"/>
    <w:rsid w:val="00D53050"/>
    <w:rsid w:val="00D53E22"/>
    <w:rsid w:val="00D55973"/>
    <w:rsid w:val="00D55D13"/>
    <w:rsid w:val="00D55DCB"/>
    <w:rsid w:val="00D56EEF"/>
    <w:rsid w:val="00D56FAA"/>
    <w:rsid w:val="00D57343"/>
    <w:rsid w:val="00D57751"/>
    <w:rsid w:val="00D57A7E"/>
    <w:rsid w:val="00D60E99"/>
    <w:rsid w:val="00D60F65"/>
    <w:rsid w:val="00D6160F"/>
    <w:rsid w:val="00D61787"/>
    <w:rsid w:val="00D61881"/>
    <w:rsid w:val="00D61C41"/>
    <w:rsid w:val="00D62854"/>
    <w:rsid w:val="00D634FC"/>
    <w:rsid w:val="00D64D88"/>
    <w:rsid w:val="00D67516"/>
    <w:rsid w:val="00D6770E"/>
    <w:rsid w:val="00D679D7"/>
    <w:rsid w:val="00D67B74"/>
    <w:rsid w:val="00D7048B"/>
    <w:rsid w:val="00D70B47"/>
    <w:rsid w:val="00D71FC3"/>
    <w:rsid w:val="00D72303"/>
    <w:rsid w:val="00D73E1B"/>
    <w:rsid w:val="00D73F62"/>
    <w:rsid w:val="00D74DF3"/>
    <w:rsid w:val="00D76CF7"/>
    <w:rsid w:val="00D76D76"/>
    <w:rsid w:val="00D776DC"/>
    <w:rsid w:val="00D77D6D"/>
    <w:rsid w:val="00D80ADA"/>
    <w:rsid w:val="00D82284"/>
    <w:rsid w:val="00D823EA"/>
    <w:rsid w:val="00D82AA5"/>
    <w:rsid w:val="00D83030"/>
    <w:rsid w:val="00D83C12"/>
    <w:rsid w:val="00D84DDC"/>
    <w:rsid w:val="00D84DE5"/>
    <w:rsid w:val="00D86179"/>
    <w:rsid w:val="00D86202"/>
    <w:rsid w:val="00D878F4"/>
    <w:rsid w:val="00D91DDF"/>
    <w:rsid w:val="00D91EF1"/>
    <w:rsid w:val="00D92139"/>
    <w:rsid w:val="00D9286D"/>
    <w:rsid w:val="00D93610"/>
    <w:rsid w:val="00D940DC"/>
    <w:rsid w:val="00D944D7"/>
    <w:rsid w:val="00D9450E"/>
    <w:rsid w:val="00D94622"/>
    <w:rsid w:val="00D961A7"/>
    <w:rsid w:val="00D96377"/>
    <w:rsid w:val="00D969A6"/>
    <w:rsid w:val="00D96D4C"/>
    <w:rsid w:val="00D96D62"/>
    <w:rsid w:val="00D970AF"/>
    <w:rsid w:val="00D97ED2"/>
    <w:rsid w:val="00DA15E1"/>
    <w:rsid w:val="00DA35BA"/>
    <w:rsid w:val="00DA35DF"/>
    <w:rsid w:val="00DA3AF2"/>
    <w:rsid w:val="00DA49F6"/>
    <w:rsid w:val="00DA4DE8"/>
    <w:rsid w:val="00DA582F"/>
    <w:rsid w:val="00DA5C6C"/>
    <w:rsid w:val="00DA622A"/>
    <w:rsid w:val="00DA7184"/>
    <w:rsid w:val="00DA78EA"/>
    <w:rsid w:val="00DA7B19"/>
    <w:rsid w:val="00DB1218"/>
    <w:rsid w:val="00DB17EC"/>
    <w:rsid w:val="00DB2584"/>
    <w:rsid w:val="00DB2FCE"/>
    <w:rsid w:val="00DB3FE2"/>
    <w:rsid w:val="00DB4E33"/>
    <w:rsid w:val="00DB5936"/>
    <w:rsid w:val="00DC0D2D"/>
    <w:rsid w:val="00DC0EF9"/>
    <w:rsid w:val="00DC16B4"/>
    <w:rsid w:val="00DC2061"/>
    <w:rsid w:val="00DC2548"/>
    <w:rsid w:val="00DC3039"/>
    <w:rsid w:val="00DC33B5"/>
    <w:rsid w:val="00DC35C1"/>
    <w:rsid w:val="00DC3BDD"/>
    <w:rsid w:val="00DC3BE3"/>
    <w:rsid w:val="00DC3FAA"/>
    <w:rsid w:val="00DC4683"/>
    <w:rsid w:val="00DC6AA7"/>
    <w:rsid w:val="00DC7D2B"/>
    <w:rsid w:val="00DD0422"/>
    <w:rsid w:val="00DD0DF5"/>
    <w:rsid w:val="00DD16D9"/>
    <w:rsid w:val="00DD1BB5"/>
    <w:rsid w:val="00DD1E41"/>
    <w:rsid w:val="00DD30A0"/>
    <w:rsid w:val="00DD46ED"/>
    <w:rsid w:val="00DD4AFE"/>
    <w:rsid w:val="00DD5970"/>
    <w:rsid w:val="00DD76C6"/>
    <w:rsid w:val="00DE1A62"/>
    <w:rsid w:val="00DE2094"/>
    <w:rsid w:val="00DE3291"/>
    <w:rsid w:val="00DE371B"/>
    <w:rsid w:val="00DE4201"/>
    <w:rsid w:val="00DE5660"/>
    <w:rsid w:val="00DE5C3A"/>
    <w:rsid w:val="00DE68BB"/>
    <w:rsid w:val="00DE6EBD"/>
    <w:rsid w:val="00DE73B6"/>
    <w:rsid w:val="00DE7489"/>
    <w:rsid w:val="00DE787B"/>
    <w:rsid w:val="00DF0891"/>
    <w:rsid w:val="00DF0931"/>
    <w:rsid w:val="00DF0CD2"/>
    <w:rsid w:val="00DF10A3"/>
    <w:rsid w:val="00DF1E53"/>
    <w:rsid w:val="00DF2014"/>
    <w:rsid w:val="00DF23B4"/>
    <w:rsid w:val="00DF251E"/>
    <w:rsid w:val="00DF27D1"/>
    <w:rsid w:val="00DF2A13"/>
    <w:rsid w:val="00DF344A"/>
    <w:rsid w:val="00DF34CD"/>
    <w:rsid w:val="00DF371A"/>
    <w:rsid w:val="00DF3A58"/>
    <w:rsid w:val="00DF438E"/>
    <w:rsid w:val="00DF4588"/>
    <w:rsid w:val="00DF4A4D"/>
    <w:rsid w:val="00DF4EDB"/>
    <w:rsid w:val="00DF5200"/>
    <w:rsid w:val="00DF5470"/>
    <w:rsid w:val="00DF54F1"/>
    <w:rsid w:val="00DF6012"/>
    <w:rsid w:val="00DF648C"/>
    <w:rsid w:val="00DF64AC"/>
    <w:rsid w:val="00DF6570"/>
    <w:rsid w:val="00DF65A5"/>
    <w:rsid w:val="00E007AE"/>
    <w:rsid w:val="00E01A6A"/>
    <w:rsid w:val="00E021D1"/>
    <w:rsid w:val="00E03D33"/>
    <w:rsid w:val="00E07F62"/>
    <w:rsid w:val="00E1116F"/>
    <w:rsid w:val="00E128E1"/>
    <w:rsid w:val="00E1298C"/>
    <w:rsid w:val="00E1376D"/>
    <w:rsid w:val="00E144D7"/>
    <w:rsid w:val="00E14DB7"/>
    <w:rsid w:val="00E156FC"/>
    <w:rsid w:val="00E15D99"/>
    <w:rsid w:val="00E16EAD"/>
    <w:rsid w:val="00E17A71"/>
    <w:rsid w:val="00E2081E"/>
    <w:rsid w:val="00E21372"/>
    <w:rsid w:val="00E2159F"/>
    <w:rsid w:val="00E21B5B"/>
    <w:rsid w:val="00E22347"/>
    <w:rsid w:val="00E229C0"/>
    <w:rsid w:val="00E2343E"/>
    <w:rsid w:val="00E24287"/>
    <w:rsid w:val="00E24925"/>
    <w:rsid w:val="00E24CD3"/>
    <w:rsid w:val="00E2514B"/>
    <w:rsid w:val="00E315CE"/>
    <w:rsid w:val="00E3176C"/>
    <w:rsid w:val="00E324E7"/>
    <w:rsid w:val="00E3298F"/>
    <w:rsid w:val="00E32B89"/>
    <w:rsid w:val="00E32BE8"/>
    <w:rsid w:val="00E32E6C"/>
    <w:rsid w:val="00E33159"/>
    <w:rsid w:val="00E342B9"/>
    <w:rsid w:val="00E343AC"/>
    <w:rsid w:val="00E34541"/>
    <w:rsid w:val="00E354B5"/>
    <w:rsid w:val="00E37CC8"/>
    <w:rsid w:val="00E41282"/>
    <w:rsid w:val="00E41C3D"/>
    <w:rsid w:val="00E41EAB"/>
    <w:rsid w:val="00E42C2D"/>
    <w:rsid w:val="00E42F5D"/>
    <w:rsid w:val="00E446E6"/>
    <w:rsid w:val="00E447C3"/>
    <w:rsid w:val="00E45893"/>
    <w:rsid w:val="00E45AFF"/>
    <w:rsid w:val="00E4646B"/>
    <w:rsid w:val="00E46577"/>
    <w:rsid w:val="00E5033B"/>
    <w:rsid w:val="00E51874"/>
    <w:rsid w:val="00E5250A"/>
    <w:rsid w:val="00E52A8E"/>
    <w:rsid w:val="00E53055"/>
    <w:rsid w:val="00E53577"/>
    <w:rsid w:val="00E5390B"/>
    <w:rsid w:val="00E53B64"/>
    <w:rsid w:val="00E541ED"/>
    <w:rsid w:val="00E54BCF"/>
    <w:rsid w:val="00E54FAC"/>
    <w:rsid w:val="00E550B3"/>
    <w:rsid w:val="00E5559A"/>
    <w:rsid w:val="00E559F1"/>
    <w:rsid w:val="00E5638C"/>
    <w:rsid w:val="00E56431"/>
    <w:rsid w:val="00E56766"/>
    <w:rsid w:val="00E569A7"/>
    <w:rsid w:val="00E56F29"/>
    <w:rsid w:val="00E5743A"/>
    <w:rsid w:val="00E57698"/>
    <w:rsid w:val="00E57950"/>
    <w:rsid w:val="00E5796B"/>
    <w:rsid w:val="00E61178"/>
    <w:rsid w:val="00E61713"/>
    <w:rsid w:val="00E61D5E"/>
    <w:rsid w:val="00E61DED"/>
    <w:rsid w:val="00E62734"/>
    <w:rsid w:val="00E62DBE"/>
    <w:rsid w:val="00E639F5"/>
    <w:rsid w:val="00E63A7A"/>
    <w:rsid w:val="00E64548"/>
    <w:rsid w:val="00E645D9"/>
    <w:rsid w:val="00E660F6"/>
    <w:rsid w:val="00E66619"/>
    <w:rsid w:val="00E66765"/>
    <w:rsid w:val="00E67DA4"/>
    <w:rsid w:val="00E70CD3"/>
    <w:rsid w:val="00E71752"/>
    <w:rsid w:val="00E71A33"/>
    <w:rsid w:val="00E731D7"/>
    <w:rsid w:val="00E7337A"/>
    <w:rsid w:val="00E745FE"/>
    <w:rsid w:val="00E75411"/>
    <w:rsid w:val="00E762E6"/>
    <w:rsid w:val="00E7692A"/>
    <w:rsid w:val="00E76E9A"/>
    <w:rsid w:val="00E7794B"/>
    <w:rsid w:val="00E80643"/>
    <w:rsid w:val="00E81E48"/>
    <w:rsid w:val="00E82262"/>
    <w:rsid w:val="00E827F5"/>
    <w:rsid w:val="00E8320D"/>
    <w:rsid w:val="00E833AD"/>
    <w:rsid w:val="00E834E6"/>
    <w:rsid w:val="00E8353F"/>
    <w:rsid w:val="00E83BA7"/>
    <w:rsid w:val="00E83EC0"/>
    <w:rsid w:val="00E8456A"/>
    <w:rsid w:val="00E8480E"/>
    <w:rsid w:val="00E8484D"/>
    <w:rsid w:val="00E85959"/>
    <w:rsid w:val="00E85BA2"/>
    <w:rsid w:val="00E85E02"/>
    <w:rsid w:val="00E86891"/>
    <w:rsid w:val="00E911B6"/>
    <w:rsid w:val="00E91ED1"/>
    <w:rsid w:val="00E929D0"/>
    <w:rsid w:val="00E92A6D"/>
    <w:rsid w:val="00E931DA"/>
    <w:rsid w:val="00E9476A"/>
    <w:rsid w:val="00E94C97"/>
    <w:rsid w:val="00E94D86"/>
    <w:rsid w:val="00E951AB"/>
    <w:rsid w:val="00E95610"/>
    <w:rsid w:val="00E95A54"/>
    <w:rsid w:val="00E95F0F"/>
    <w:rsid w:val="00E96356"/>
    <w:rsid w:val="00E97248"/>
    <w:rsid w:val="00E97B0B"/>
    <w:rsid w:val="00EA020C"/>
    <w:rsid w:val="00EA0B6B"/>
    <w:rsid w:val="00EA1B63"/>
    <w:rsid w:val="00EA1E34"/>
    <w:rsid w:val="00EA255E"/>
    <w:rsid w:val="00EA375E"/>
    <w:rsid w:val="00EA47C0"/>
    <w:rsid w:val="00EA4F2F"/>
    <w:rsid w:val="00EA51A9"/>
    <w:rsid w:val="00EA63C4"/>
    <w:rsid w:val="00EB0A08"/>
    <w:rsid w:val="00EB133A"/>
    <w:rsid w:val="00EB1402"/>
    <w:rsid w:val="00EB18E7"/>
    <w:rsid w:val="00EB2044"/>
    <w:rsid w:val="00EB211D"/>
    <w:rsid w:val="00EB2946"/>
    <w:rsid w:val="00EB2DD8"/>
    <w:rsid w:val="00EB2DEB"/>
    <w:rsid w:val="00EB3BE3"/>
    <w:rsid w:val="00EB3D1F"/>
    <w:rsid w:val="00EB5565"/>
    <w:rsid w:val="00EB7AFF"/>
    <w:rsid w:val="00EC0B0F"/>
    <w:rsid w:val="00EC1183"/>
    <w:rsid w:val="00EC172E"/>
    <w:rsid w:val="00EC1FF7"/>
    <w:rsid w:val="00EC2098"/>
    <w:rsid w:val="00EC3436"/>
    <w:rsid w:val="00EC3E39"/>
    <w:rsid w:val="00EC5331"/>
    <w:rsid w:val="00EC5853"/>
    <w:rsid w:val="00EC5D4D"/>
    <w:rsid w:val="00EC6003"/>
    <w:rsid w:val="00EC638B"/>
    <w:rsid w:val="00EC77D4"/>
    <w:rsid w:val="00ED101A"/>
    <w:rsid w:val="00ED1152"/>
    <w:rsid w:val="00ED159B"/>
    <w:rsid w:val="00ED3435"/>
    <w:rsid w:val="00ED398D"/>
    <w:rsid w:val="00ED427D"/>
    <w:rsid w:val="00ED438A"/>
    <w:rsid w:val="00ED4E7A"/>
    <w:rsid w:val="00ED4FF5"/>
    <w:rsid w:val="00ED536F"/>
    <w:rsid w:val="00ED5B46"/>
    <w:rsid w:val="00ED5CC1"/>
    <w:rsid w:val="00ED7180"/>
    <w:rsid w:val="00ED73C7"/>
    <w:rsid w:val="00ED7CB8"/>
    <w:rsid w:val="00EE0032"/>
    <w:rsid w:val="00EE2283"/>
    <w:rsid w:val="00EE2736"/>
    <w:rsid w:val="00EE296D"/>
    <w:rsid w:val="00EE2C49"/>
    <w:rsid w:val="00EE537F"/>
    <w:rsid w:val="00EE5DBB"/>
    <w:rsid w:val="00EE5F70"/>
    <w:rsid w:val="00EE69D7"/>
    <w:rsid w:val="00EE739F"/>
    <w:rsid w:val="00EE77F7"/>
    <w:rsid w:val="00EF0132"/>
    <w:rsid w:val="00EF1202"/>
    <w:rsid w:val="00EF1461"/>
    <w:rsid w:val="00EF2812"/>
    <w:rsid w:val="00EF2822"/>
    <w:rsid w:val="00EF2F7C"/>
    <w:rsid w:val="00EF306D"/>
    <w:rsid w:val="00EF550B"/>
    <w:rsid w:val="00EF58FB"/>
    <w:rsid w:val="00EF5BC4"/>
    <w:rsid w:val="00EF60CB"/>
    <w:rsid w:val="00EF6F52"/>
    <w:rsid w:val="00F006C0"/>
    <w:rsid w:val="00F00712"/>
    <w:rsid w:val="00F007F3"/>
    <w:rsid w:val="00F00984"/>
    <w:rsid w:val="00F0174D"/>
    <w:rsid w:val="00F02E20"/>
    <w:rsid w:val="00F0318D"/>
    <w:rsid w:val="00F036EA"/>
    <w:rsid w:val="00F03D5A"/>
    <w:rsid w:val="00F044C8"/>
    <w:rsid w:val="00F06EF8"/>
    <w:rsid w:val="00F103AD"/>
    <w:rsid w:val="00F10BDD"/>
    <w:rsid w:val="00F110C1"/>
    <w:rsid w:val="00F11664"/>
    <w:rsid w:val="00F12043"/>
    <w:rsid w:val="00F12B37"/>
    <w:rsid w:val="00F13F20"/>
    <w:rsid w:val="00F13F4F"/>
    <w:rsid w:val="00F143B6"/>
    <w:rsid w:val="00F146F8"/>
    <w:rsid w:val="00F14A0C"/>
    <w:rsid w:val="00F14AE0"/>
    <w:rsid w:val="00F15790"/>
    <w:rsid w:val="00F16356"/>
    <w:rsid w:val="00F1658F"/>
    <w:rsid w:val="00F16E6E"/>
    <w:rsid w:val="00F17CE5"/>
    <w:rsid w:val="00F211B1"/>
    <w:rsid w:val="00F22956"/>
    <w:rsid w:val="00F239C8"/>
    <w:rsid w:val="00F26203"/>
    <w:rsid w:val="00F2642E"/>
    <w:rsid w:val="00F27C6F"/>
    <w:rsid w:val="00F300CB"/>
    <w:rsid w:val="00F30225"/>
    <w:rsid w:val="00F32662"/>
    <w:rsid w:val="00F32EE0"/>
    <w:rsid w:val="00F33368"/>
    <w:rsid w:val="00F341D6"/>
    <w:rsid w:val="00F3507B"/>
    <w:rsid w:val="00F35911"/>
    <w:rsid w:val="00F366E0"/>
    <w:rsid w:val="00F36995"/>
    <w:rsid w:val="00F36BD5"/>
    <w:rsid w:val="00F371EC"/>
    <w:rsid w:val="00F40039"/>
    <w:rsid w:val="00F409A9"/>
    <w:rsid w:val="00F40D37"/>
    <w:rsid w:val="00F42002"/>
    <w:rsid w:val="00F422DC"/>
    <w:rsid w:val="00F4305E"/>
    <w:rsid w:val="00F43078"/>
    <w:rsid w:val="00F435DC"/>
    <w:rsid w:val="00F43862"/>
    <w:rsid w:val="00F452B5"/>
    <w:rsid w:val="00F45CCF"/>
    <w:rsid w:val="00F46250"/>
    <w:rsid w:val="00F46FEC"/>
    <w:rsid w:val="00F470FF"/>
    <w:rsid w:val="00F503B0"/>
    <w:rsid w:val="00F51940"/>
    <w:rsid w:val="00F5368F"/>
    <w:rsid w:val="00F54BB4"/>
    <w:rsid w:val="00F55511"/>
    <w:rsid w:val="00F5558F"/>
    <w:rsid w:val="00F5617E"/>
    <w:rsid w:val="00F5731F"/>
    <w:rsid w:val="00F574AE"/>
    <w:rsid w:val="00F601E8"/>
    <w:rsid w:val="00F60847"/>
    <w:rsid w:val="00F6094A"/>
    <w:rsid w:val="00F6172F"/>
    <w:rsid w:val="00F62FA7"/>
    <w:rsid w:val="00F630CF"/>
    <w:rsid w:val="00F6462F"/>
    <w:rsid w:val="00F64D64"/>
    <w:rsid w:val="00F66FFC"/>
    <w:rsid w:val="00F672B5"/>
    <w:rsid w:val="00F70719"/>
    <w:rsid w:val="00F70BE3"/>
    <w:rsid w:val="00F70D3F"/>
    <w:rsid w:val="00F70F1E"/>
    <w:rsid w:val="00F7125B"/>
    <w:rsid w:val="00F722D7"/>
    <w:rsid w:val="00F72505"/>
    <w:rsid w:val="00F72F5C"/>
    <w:rsid w:val="00F73083"/>
    <w:rsid w:val="00F7372D"/>
    <w:rsid w:val="00F74433"/>
    <w:rsid w:val="00F74610"/>
    <w:rsid w:val="00F74F8A"/>
    <w:rsid w:val="00F753E2"/>
    <w:rsid w:val="00F766ED"/>
    <w:rsid w:val="00F76968"/>
    <w:rsid w:val="00F76DB2"/>
    <w:rsid w:val="00F7761E"/>
    <w:rsid w:val="00F823BF"/>
    <w:rsid w:val="00F82B46"/>
    <w:rsid w:val="00F83EC1"/>
    <w:rsid w:val="00F8492C"/>
    <w:rsid w:val="00F85AEA"/>
    <w:rsid w:val="00F85D3A"/>
    <w:rsid w:val="00F85E04"/>
    <w:rsid w:val="00F86528"/>
    <w:rsid w:val="00F8743F"/>
    <w:rsid w:val="00F90426"/>
    <w:rsid w:val="00F907C3"/>
    <w:rsid w:val="00F915CF"/>
    <w:rsid w:val="00F92070"/>
    <w:rsid w:val="00F924C3"/>
    <w:rsid w:val="00F92E6A"/>
    <w:rsid w:val="00F93350"/>
    <w:rsid w:val="00F93486"/>
    <w:rsid w:val="00F9392E"/>
    <w:rsid w:val="00F93A48"/>
    <w:rsid w:val="00F93E50"/>
    <w:rsid w:val="00F93E73"/>
    <w:rsid w:val="00F94430"/>
    <w:rsid w:val="00F9456B"/>
    <w:rsid w:val="00F94D58"/>
    <w:rsid w:val="00F94E15"/>
    <w:rsid w:val="00F95FC2"/>
    <w:rsid w:val="00F966B8"/>
    <w:rsid w:val="00F972A2"/>
    <w:rsid w:val="00F978D7"/>
    <w:rsid w:val="00FA07A5"/>
    <w:rsid w:val="00FA0FBD"/>
    <w:rsid w:val="00FA10A2"/>
    <w:rsid w:val="00FA1396"/>
    <w:rsid w:val="00FA1ADB"/>
    <w:rsid w:val="00FA22C5"/>
    <w:rsid w:val="00FA254B"/>
    <w:rsid w:val="00FA2CF8"/>
    <w:rsid w:val="00FA3826"/>
    <w:rsid w:val="00FA45C4"/>
    <w:rsid w:val="00FA4BFD"/>
    <w:rsid w:val="00FA6162"/>
    <w:rsid w:val="00FA622D"/>
    <w:rsid w:val="00FA69F0"/>
    <w:rsid w:val="00FA6A80"/>
    <w:rsid w:val="00FA77EB"/>
    <w:rsid w:val="00FA7CDC"/>
    <w:rsid w:val="00FB0D04"/>
    <w:rsid w:val="00FB146C"/>
    <w:rsid w:val="00FB1D5C"/>
    <w:rsid w:val="00FB2458"/>
    <w:rsid w:val="00FB45DB"/>
    <w:rsid w:val="00FB4608"/>
    <w:rsid w:val="00FB5664"/>
    <w:rsid w:val="00FB67B7"/>
    <w:rsid w:val="00FB68C2"/>
    <w:rsid w:val="00FB6C98"/>
    <w:rsid w:val="00FB6D5B"/>
    <w:rsid w:val="00FB6F21"/>
    <w:rsid w:val="00FC0BCB"/>
    <w:rsid w:val="00FC0E4B"/>
    <w:rsid w:val="00FC1996"/>
    <w:rsid w:val="00FC3544"/>
    <w:rsid w:val="00FC39B0"/>
    <w:rsid w:val="00FC3EF6"/>
    <w:rsid w:val="00FC4673"/>
    <w:rsid w:val="00FC4EBA"/>
    <w:rsid w:val="00FC5AF2"/>
    <w:rsid w:val="00FC5DA6"/>
    <w:rsid w:val="00FC6049"/>
    <w:rsid w:val="00FC61B2"/>
    <w:rsid w:val="00FC675D"/>
    <w:rsid w:val="00FC6CA0"/>
    <w:rsid w:val="00FC728B"/>
    <w:rsid w:val="00FD00EC"/>
    <w:rsid w:val="00FD1E37"/>
    <w:rsid w:val="00FD217E"/>
    <w:rsid w:val="00FD297D"/>
    <w:rsid w:val="00FD3202"/>
    <w:rsid w:val="00FD3CFE"/>
    <w:rsid w:val="00FD4118"/>
    <w:rsid w:val="00FD4D59"/>
    <w:rsid w:val="00FD54C3"/>
    <w:rsid w:val="00FD5AB6"/>
    <w:rsid w:val="00FD5BED"/>
    <w:rsid w:val="00FD6999"/>
    <w:rsid w:val="00FD6C7E"/>
    <w:rsid w:val="00FD6CFD"/>
    <w:rsid w:val="00FD6D26"/>
    <w:rsid w:val="00FD74B8"/>
    <w:rsid w:val="00FD7C38"/>
    <w:rsid w:val="00FE2B8D"/>
    <w:rsid w:val="00FE406B"/>
    <w:rsid w:val="00FE55FD"/>
    <w:rsid w:val="00FE658F"/>
    <w:rsid w:val="00FE7D50"/>
    <w:rsid w:val="00FF04E5"/>
    <w:rsid w:val="00FF0A28"/>
    <w:rsid w:val="00FF0C9B"/>
    <w:rsid w:val="00FF131B"/>
    <w:rsid w:val="00FF1A7E"/>
    <w:rsid w:val="00FF2703"/>
    <w:rsid w:val="00FF2FD1"/>
    <w:rsid w:val="00FF3500"/>
    <w:rsid w:val="00FF5198"/>
    <w:rsid w:val="00FF6153"/>
    <w:rsid w:val="00FF61BE"/>
    <w:rsid w:val="00FF658E"/>
  </w:rsids>
  <m:mathPr>
    <m:mathFont m:val="Cambria Math"/>
    <m:brkBin m:val="before"/>
    <m:brkBinSub m:val="--"/>
    <m:smallFrac m:val="0"/>
    <m:dispDef/>
    <m:lMargin m:val="0"/>
    <m:rMargin m:val="0"/>
    <m:defJc m:val="centerGroup"/>
    <m:wrapIndent m:val="1440"/>
    <m:intLim m:val="subSup"/>
    <m:naryLim m:val="undOvr"/>
  </m:mathPr>
  <w:themeFontLang w:val="nl-B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AD05AD6"/>
  <w15:docId w15:val="{B34CA849-94EE-4B2D-A0B1-A3D105B560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nl-BE" w:eastAsia="en-US" w:bidi="ar-SA"/>
        <w14:ligatures w14:val="standard"/>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255B"/>
    <w:pPr>
      <w:spacing w:after="120" w:line="480" w:lineRule="auto"/>
      <w:jc w:val="both"/>
    </w:pPr>
    <w:rPr>
      <w:rFonts w:ascii="Times New Roman" w:hAnsi="Times New Roman"/>
      <w:lang w:val="en-US"/>
    </w:rPr>
  </w:style>
  <w:style w:type="paragraph" w:styleId="Heading2">
    <w:name w:val="heading 2"/>
    <w:basedOn w:val="Normal"/>
    <w:link w:val="Heading2Char"/>
    <w:uiPriority w:val="9"/>
    <w:qFormat/>
    <w:rsid w:val="00E8480E"/>
    <w:pPr>
      <w:spacing w:before="100" w:beforeAutospacing="1" w:after="100" w:afterAutospacing="1" w:line="240" w:lineRule="auto"/>
      <w:jc w:val="left"/>
      <w:outlineLvl w:val="1"/>
    </w:pPr>
    <w:rPr>
      <w:rFonts w:eastAsia="Times New Roman" w:cs="Times New Roman"/>
      <w:b/>
      <w:bCs/>
      <w:kern w:val="0"/>
      <w:sz w:val="36"/>
      <w:szCs w:val="36"/>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Kop1">
    <w:name w:val="Kop1"/>
    <w:basedOn w:val="ListParagraph"/>
    <w:link w:val="Kop1Char"/>
    <w:qFormat/>
    <w:rsid w:val="006601C6"/>
    <w:pPr>
      <w:numPr>
        <w:numId w:val="23"/>
      </w:numPr>
      <w:spacing w:after="200"/>
    </w:pPr>
    <w:rPr>
      <w:rFonts w:cs="Times New Roman"/>
      <w:b/>
      <w:lang w:val="en-GB"/>
    </w:rPr>
  </w:style>
  <w:style w:type="paragraph" w:styleId="ListParagraph">
    <w:name w:val="List Paragraph"/>
    <w:basedOn w:val="Normal"/>
    <w:uiPriority w:val="34"/>
    <w:qFormat/>
    <w:rsid w:val="00387D30"/>
    <w:pPr>
      <w:ind w:left="720"/>
      <w:contextualSpacing/>
    </w:pPr>
  </w:style>
  <w:style w:type="character" w:customStyle="1" w:styleId="Kop1Char">
    <w:name w:val="Kop1 Char"/>
    <w:basedOn w:val="DefaultParagraphFont"/>
    <w:link w:val="Kop1"/>
    <w:rsid w:val="006601C6"/>
    <w:rPr>
      <w:rFonts w:ascii="Times New Roman" w:hAnsi="Times New Roman" w:cs="Times New Roman"/>
      <w:b/>
      <w:lang w:val="en-GB"/>
    </w:rPr>
  </w:style>
  <w:style w:type="paragraph" w:customStyle="1" w:styleId="Kop2">
    <w:name w:val="Kop2"/>
    <w:basedOn w:val="ListParagraph"/>
    <w:link w:val="Kop2Char"/>
    <w:qFormat/>
    <w:rsid w:val="006601C6"/>
    <w:pPr>
      <w:numPr>
        <w:ilvl w:val="1"/>
        <w:numId w:val="25"/>
      </w:numPr>
    </w:pPr>
    <w:rPr>
      <w:rFonts w:cs="Times New Roman"/>
      <w:lang w:val="en-GB"/>
    </w:rPr>
  </w:style>
  <w:style w:type="character" w:customStyle="1" w:styleId="Kop2Char">
    <w:name w:val="Kop2 Char"/>
    <w:basedOn w:val="DefaultParagraphFont"/>
    <w:link w:val="Kop2"/>
    <w:rsid w:val="006601C6"/>
    <w:rPr>
      <w:rFonts w:ascii="Times New Roman" w:hAnsi="Times New Roman" w:cs="Times New Roman"/>
      <w:lang w:val="en-GB"/>
    </w:rPr>
  </w:style>
  <w:style w:type="paragraph" w:styleId="Header">
    <w:name w:val="header"/>
    <w:basedOn w:val="Normal"/>
    <w:link w:val="HeaderChar"/>
    <w:uiPriority w:val="99"/>
    <w:unhideWhenUsed/>
    <w:rsid w:val="00DF4A4D"/>
    <w:pPr>
      <w:tabs>
        <w:tab w:val="center" w:pos="4536"/>
        <w:tab w:val="right" w:pos="9072"/>
      </w:tabs>
      <w:spacing w:after="0" w:line="240" w:lineRule="auto"/>
    </w:pPr>
  </w:style>
  <w:style w:type="character" w:customStyle="1" w:styleId="HeaderChar">
    <w:name w:val="Header Char"/>
    <w:basedOn w:val="DefaultParagraphFont"/>
    <w:link w:val="Header"/>
    <w:uiPriority w:val="99"/>
    <w:rsid w:val="00DF4A4D"/>
  </w:style>
  <w:style w:type="paragraph" w:styleId="Footer">
    <w:name w:val="footer"/>
    <w:basedOn w:val="Normal"/>
    <w:link w:val="FooterChar"/>
    <w:uiPriority w:val="99"/>
    <w:unhideWhenUsed/>
    <w:rsid w:val="00DF4A4D"/>
    <w:pPr>
      <w:tabs>
        <w:tab w:val="center" w:pos="4536"/>
        <w:tab w:val="right" w:pos="9072"/>
      </w:tabs>
      <w:spacing w:after="0" w:line="240" w:lineRule="auto"/>
    </w:pPr>
  </w:style>
  <w:style w:type="character" w:customStyle="1" w:styleId="FooterChar">
    <w:name w:val="Footer Char"/>
    <w:basedOn w:val="DefaultParagraphFont"/>
    <w:link w:val="Footer"/>
    <w:uiPriority w:val="99"/>
    <w:rsid w:val="00DF4A4D"/>
  </w:style>
  <w:style w:type="character" w:styleId="LineNumber">
    <w:name w:val="line number"/>
    <w:basedOn w:val="DefaultParagraphFont"/>
    <w:uiPriority w:val="99"/>
    <w:semiHidden/>
    <w:unhideWhenUsed/>
    <w:rsid w:val="00DF4A4D"/>
  </w:style>
  <w:style w:type="character" w:styleId="Hyperlink">
    <w:name w:val="Hyperlink"/>
    <w:basedOn w:val="DefaultParagraphFont"/>
    <w:uiPriority w:val="99"/>
    <w:unhideWhenUsed/>
    <w:rsid w:val="00F15790"/>
    <w:rPr>
      <w:color w:val="0563C1" w:themeColor="hyperlink"/>
      <w:u w:val="single"/>
    </w:rPr>
  </w:style>
  <w:style w:type="paragraph" w:customStyle="1" w:styleId="Kop3">
    <w:name w:val="Kop3"/>
    <w:basedOn w:val="Normal"/>
    <w:link w:val="Kop3Char"/>
    <w:qFormat/>
    <w:rsid w:val="006601C6"/>
    <w:pPr>
      <w:numPr>
        <w:ilvl w:val="2"/>
        <w:numId w:val="26"/>
      </w:numPr>
    </w:pPr>
    <w:rPr>
      <w:rFonts w:cs="Times New Roman"/>
      <w:i/>
    </w:rPr>
  </w:style>
  <w:style w:type="character" w:customStyle="1" w:styleId="Kop3Char">
    <w:name w:val="Kop3 Char"/>
    <w:basedOn w:val="DefaultParagraphFont"/>
    <w:link w:val="Kop3"/>
    <w:rsid w:val="006601C6"/>
    <w:rPr>
      <w:rFonts w:ascii="Times New Roman" w:hAnsi="Times New Roman" w:cs="Times New Roman"/>
      <w:i/>
      <w:lang w:val="en-US"/>
    </w:rPr>
  </w:style>
  <w:style w:type="character" w:styleId="CommentReference">
    <w:name w:val="annotation reference"/>
    <w:basedOn w:val="DefaultParagraphFont"/>
    <w:uiPriority w:val="99"/>
    <w:semiHidden/>
    <w:unhideWhenUsed/>
    <w:rsid w:val="007C498C"/>
    <w:rPr>
      <w:sz w:val="16"/>
      <w:szCs w:val="16"/>
    </w:rPr>
  </w:style>
  <w:style w:type="paragraph" w:styleId="CommentText">
    <w:name w:val="annotation text"/>
    <w:basedOn w:val="Normal"/>
    <w:link w:val="CommentTextChar"/>
    <w:uiPriority w:val="99"/>
    <w:unhideWhenUsed/>
    <w:rsid w:val="007C498C"/>
    <w:pPr>
      <w:spacing w:line="240" w:lineRule="auto"/>
    </w:pPr>
    <w:rPr>
      <w:sz w:val="20"/>
      <w:szCs w:val="20"/>
    </w:rPr>
  </w:style>
  <w:style w:type="character" w:customStyle="1" w:styleId="CommentTextChar">
    <w:name w:val="Comment Text Char"/>
    <w:basedOn w:val="DefaultParagraphFont"/>
    <w:link w:val="CommentText"/>
    <w:uiPriority w:val="99"/>
    <w:rsid w:val="007C498C"/>
    <w:rPr>
      <w:sz w:val="20"/>
      <w:szCs w:val="20"/>
    </w:rPr>
  </w:style>
  <w:style w:type="paragraph" w:styleId="CommentSubject">
    <w:name w:val="annotation subject"/>
    <w:basedOn w:val="CommentText"/>
    <w:next w:val="CommentText"/>
    <w:link w:val="CommentSubjectChar"/>
    <w:uiPriority w:val="99"/>
    <w:semiHidden/>
    <w:unhideWhenUsed/>
    <w:rsid w:val="007C498C"/>
    <w:rPr>
      <w:b/>
      <w:bCs/>
    </w:rPr>
  </w:style>
  <w:style w:type="character" w:customStyle="1" w:styleId="CommentSubjectChar">
    <w:name w:val="Comment Subject Char"/>
    <w:basedOn w:val="CommentTextChar"/>
    <w:link w:val="CommentSubject"/>
    <w:uiPriority w:val="99"/>
    <w:semiHidden/>
    <w:rsid w:val="007C498C"/>
    <w:rPr>
      <w:b/>
      <w:bCs/>
      <w:sz w:val="20"/>
      <w:szCs w:val="20"/>
    </w:rPr>
  </w:style>
  <w:style w:type="paragraph" w:styleId="BalloonText">
    <w:name w:val="Balloon Text"/>
    <w:basedOn w:val="Normal"/>
    <w:link w:val="BalloonTextChar"/>
    <w:uiPriority w:val="99"/>
    <w:semiHidden/>
    <w:unhideWhenUsed/>
    <w:rsid w:val="007C498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C498C"/>
    <w:rPr>
      <w:rFonts w:ascii="Tahoma" w:hAnsi="Tahoma" w:cs="Tahoma"/>
      <w:sz w:val="16"/>
      <w:szCs w:val="16"/>
    </w:rPr>
  </w:style>
  <w:style w:type="character" w:styleId="PlaceholderText">
    <w:name w:val="Placeholder Text"/>
    <w:basedOn w:val="DefaultParagraphFont"/>
    <w:uiPriority w:val="99"/>
    <w:semiHidden/>
    <w:rsid w:val="00B74079"/>
    <w:rPr>
      <w:color w:val="808080"/>
    </w:rPr>
  </w:style>
  <w:style w:type="paragraph" w:customStyle="1" w:styleId="Style1">
    <w:name w:val="Style1"/>
    <w:basedOn w:val="Normal"/>
    <w:link w:val="Style1Char"/>
    <w:qFormat/>
    <w:rsid w:val="00BD0D9B"/>
    <w:rPr>
      <w:rFonts w:cs="Times New Roman"/>
      <w:lang w:val="en-GB"/>
    </w:rPr>
  </w:style>
  <w:style w:type="character" w:customStyle="1" w:styleId="Style1Char">
    <w:name w:val="Style1 Char"/>
    <w:basedOn w:val="DefaultParagraphFont"/>
    <w:link w:val="Style1"/>
    <w:rsid w:val="00BD0D9B"/>
    <w:rPr>
      <w:rFonts w:ascii="Times New Roman" w:hAnsi="Times New Roman" w:cs="Times New Roman"/>
      <w:lang w:val="en-GB"/>
    </w:rPr>
  </w:style>
  <w:style w:type="paragraph" w:styleId="NoSpacing">
    <w:name w:val="No Spacing"/>
    <w:uiPriority w:val="1"/>
    <w:qFormat/>
    <w:rsid w:val="00424DE3"/>
    <w:pPr>
      <w:spacing w:after="0" w:line="240" w:lineRule="auto"/>
    </w:pPr>
  </w:style>
  <w:style w:type="paragraph" w:customStyle="1" w:styleId="Style2">
    <w:name w:val="Style2"/>
    <w:basedOn w:val="Kop2"/>
    <w:link w:val="Style2Char"/>
    <w:qFormat/>
    <w:rsid w:val="0078751D"/>
    <w:pPr>
      <w:spacing w:after="0"/>
    </w:pPr>
    <w:rPr>
      <w:i/>
    </w:rPr>
  </w:style>
  <w:style w:type="character" w:customStyle="1" w:styleId="Style2Char">
    <w:name w:val="Style2 Char"/>
    <w:basedOn w:val="Kop2Char"/>
    <w:link w:val="Style2"/>
    <w:rsid w:val="0078751D"/>
    <w:rPr>
      <w:rFonts w:ascii="Times New Roman" w:hAnsi="Times New Roman" w:cs="Times New Roman"/>
      <w:i/>
      <w:lang w:val="en-GB"/>
    </w:rPr>
  </w:style>
  <w:style w:type="character" w:styleId="Strong">
    <w:name w:val="Strong"/>
    <w:basedOn w:val="DefaultParagraphFont"/>
    <w:uiPriority w:val="22"/>
    <w:qFormat/>
    <w:rsid w:val="001252D9"/>
    <w:rPr>
      <w:b/>
      <w:bCs/>
    </w:rPr>
  </w:style>
  <w:style w:type="paragraph" w:styleId="EndnoteText">
    <w:name w:val="endnote text"/>
    <w:basedOn w:val="Normal"/>
    <w:link w:val="EndnoteTextChar"/>
    <w:uiPriority w:val="99"/>
    <w:semiHidden/>
    <w:unhideWhenUsed/>
    <w:rsid w:val="002D486A"/>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D486A"/>
    <w:rPr>
      <w:rFonts w:ascii="Times New Roman" w:hAnsi="Times New Roman"/>
      <w:sz w:val="20"/>
      <w:szCs w:val="20"/>
    </w:rPr>
  </w:style>
  <w:style w:type="character" w:styleId="EndnoteReference">
    <w:name w:val="endnote reference"/>
    <w:basedOn w:val="DefaultParagraphFont"/>
    <w:uiPriority w:val="99"/>
    <w:semiHidden/>
    <w:unhideWhenUsed/>
    <w:rsid w:val="002D486A"/>
    <w:rPr>
      <w:vertAlign w:val="superscript"/>
    </w:rPr>
  </w:style>
  <w:style w:type="paragraph" w:styleId="FootnoteText">
    <w:name w:val="footnote text"/>
    <w:basedOn w:val="Normal"/>
    <w:link w:val="FootnoteTextChar"/>
    <w:uiPriority w:val="99"/>
    <w:semiHidden/>
    <w:unhideWhenUsed/>
    <w:rsid w:val="002D486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D486A"/>
    <w:rPr>
      <w:rFonts w:ascii="Times New Roman" w:hAnsi="Times New Roman"/>
      <w:sz w:val="20"/>
      <w:szCs w:val="20"/>
    </w:rPr>
  </w:style>
  <w:style w:type="character" w:styleId="FootnoteReference">
    <w:name w:val="footnote reference"/>
    <w:basedOn w:val="DefaultParagraphFont"/>
    <w:uiPriority w:val="99"/>
    <w:semiHidden/>
    <w:unhideWhenUsed/>
    <w:rsid w:val="002D486A"/>
    <w:rPr>
      <w:vertAlign w:val="superscript"/>
    </w:rPr>
  </w:style>
  <w:style w:type="table" w:styleId="TableGrid">
    <w:name w:val="Table Grid"/>
    <w:basedOn w:val="TableNormal"/>
    <w:uiPriority w:val="39"/>
    <w:rsid w:val="00F211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Fig">
    <w:name w:val="CaptionFig"/>
    <w:basedOn w:val="Caption"/>
    <w:link w:val="CaptionFigChar"/>
    <w:qFormat/>
    <w:rsid w:val="008A5A8D"/>
    <w:pPr>
      <w:spacing w:after="240"/>
      <w:jc w:val="center"/>
    </w:pPr>
    <w:rPr>
      <w:rFonts w:ascii="Myriad Pro" w:hAnsi="Myriad Pro" w:cs="Times New Roman"/>
      <w:b w:val="0"/>
      <w:i/>
      <w:color w:val="auto"/>
      <w:sz w:val="16"/>
    </w:rPr>
  </w:style>
  <w:style w:type="paragraph" w:styleId="Caption">
    <w:name w:val="caption"/>
    <w:basedOn w:val="Normal"/>
    <w:next w:val="Normal"/>
    <w:uiPriority w:val="35"/>
    <w:semiHidden/>
    <w:unhideWhenUsed/>
    <w:qFormat/>
    <w:rsid w:val="008A5A8D"/>
    <w:pPr>
      <w:spacing w:after="200" w:line="240" w:lineRule="auto"/>
    </w:pPr>
    <w:rPr>
      <w:b/>
      <w:bCs/>
      <w:color w:val="5B9BD5" w:themeColor="accent1"/>
      <w:sz w:val="18"/>
      <w:szCs w:val="18"/>
    </w:rPr>
  </w:style>
  <w:style w:type="character" w:customStyle="1" w:styleId="CaptionFigChar">
    <w:name w:val="CaptionFig Char"/>
    <w:basedOn w:val="DefaultParagraphFont"/>
    <w:link w:val="CaptionFig"/>
    <w:rsid w:val="008A5A8D"/>
    <w:rPr>
      <w:rFonts w:ascii="Myriad Pro" w:hAnsi="Myriad Pro" w:cs="Times New Roman"/>
      <w:bCs/>
      <w:i/>
      <w:sz w:val="16"/>
      <w:szCs w:val="18"/>
      <w:lang w:val="en-US"/>
    </w:rPr>
  </w:style>
  <w:style w:type="paragraph" w:styleId="PlainText">
    <w:name w:val="Plain Text"/>
    <w:basedOn w:val="Normal"/>
    <w:link w:val="PlainTextChar"/>
    <w:uiPriority w:val="99"/>
    <w:semiHidden/>
    <w:unhideWhenUsed/>
    <w:rsid w:val="00643317"/>
    <w:pPr>
      <w:spacing w:after="0" w:line="240" w:lineRule="auto"/>
    </w:pPr>
    <w:rPr>
      <w:rFonts w:ascii="Calibri" w:hAnsi="Calibri"/>
      <w:kern w:val="0"/>
      <w:szCs w:val="21"/>
      <w14:ligatures w14:val="none"/>
    </w:rPr>
  </w:style>
  <w:style w:type="character" w:customStyle="1" w:styleId="PlainTextChar">
    <w:name w:val="Plain Text Char"/>
    <w:basedOn w:val="DefaultParagraphFont"/>
    <w:link w:val="PlainText"/>
    <w:uiPriority w:val="99"/>
    <w:semiHidden/>
    <w:rsid w:val="00643317"/>
    <w:rPr>
      <w:rFonts w:ascii="Calibri" w:hAnsi="Calibri"/>
      <w:kern w:val="0"/>
      <w:szCs w:val="21"/>
      <w14:ligatures w14:val="none"/>
    </w:rPr>
  </w:style>
  <w:style w:type="paragraph" w:styleId="Bibliography">
    <w:name w:val="Bibliography"/>
    <w:basedOn w:val="Normal"/>
    <w:next w:val="Normal"/>
    <w:uiPriority w:val="37"/>
    <w:unhideWhenUsed/>
    <w:rsid w:val="0074422D"/>
    <w:pPr>
      <w:spacing w:after="240" w:line="240" w:lineRule="auto"/>
      <w:ind w:left="720" w:hanging="720"/>
    </w:pPr>
  </w:style>
  <w:style w:type="paragraph" w:styleId="Revision">
    <w:name w:val="Revision"/>
    <w:hidden/>
    <w:uiPriority w:val="99"/>
    <w:semiHidden/>
    <w:rsid w:val="00D3098E"/>
    <w:pPr>
      <w:spacing w:after="0" w:line="240" w:lineRule="auto"/>
    </w:pPr>
    <w:rPr>
      <w:rFonts w:ascii="Times New Roman" w:hAnsi="Times New Roman"/>
    </w:rPr>
  </w:style>
  <w:style w:type="character" w:styleId="Emphasis">
    <w:name w:val="Emphasis"/>
    <w:basedOn w:val="DefaultParagraphFont"/>
    <w:uiPriority w:val="20"/>
    <w:qFormat/>
    <w:rsid w:val="00812A69"/>
    <w:rPr>
      <w:i/>
      <w:iCs/>
    </w:rPr>
  </w:style>
  <w:style w:type="character" w:styleId="FollowedHyperlink">
    <w:name w:val="FollowedHyperlink"/>
    <w:basedOn w:val="DefaultParagraphFont"/>
    <w:uiPriority w:val="99"/>
    <w:semiHidden/>
    <w:unhideWhenUsed/>
    <w:rsid w:val="00E1298C"/>
    <w:rPr>
      <w:color w:val="954F72"/>
      <w:u w:val="single"/>
    </w:rPr>
  </w:style>
  <w:style w:type="paragraph" w:customStyle="1" w:styleId="xl65">
    <w:name w:val="xl65"/>
    <w:basedOn w:val="Normal"/>
    <w:rsid w:val="00E1298C"/>
    <w:pPr>
      <w:pBdr>
        <w:top w:val="single" w:sz="4" w:space="0" w:color="auto"/>
      </w:pBdr>
      <w:shd w:val="clear" w:color="000000" w:fill="FFFFFF"/>
      <w:spacing w:before="100" w:beforeAutospacing="1" w:after="100" w:afterAutospacing="1" w:line="240" w:lineRule="auto"/>
      <w:jc w:val="left"/>
    </w:pPr>
    <w:rPr>
      <w:rFonts w:eastAsia="Times New Roman" w:cs="Times New Roman"/>
      <w:kern w:val="0"/>
      <w:sz w:val="20"/>
      <w:szCs w:val="20"/>
      <w:lang w:val="nl-BE" w:eastAsia="nl-BE"/>
      <w14:ligatures w14:val="none"/>
    </w:rPr>
  </w:style>
  <w:style w:type="paragraph" w:customStyle="1" w:styleId="xl66">
    <w:name w:val="xl66"/>
    <w:basedOn w:val="Normal"/>
    <w:rsid w:val="00E1298C"/>
    <w:pPr>
      <w:pBdr>
        <w:top w:val="single" w:sz="4" w:space="0" w:color="auto"/>
        <w:bottom w:val="single" w:sz="4" w:space="0" w:color="auto"/>
      </w:pBdr>
      <w:shd w:val="clear" w:color="000000" w:fill="FFFFFF"/>
      <w:spacing w:before="100" w:beforeAutospacing="1" w:after="100" w:afterAutospacing="1" w:line="240" w:lineRule="auto"/>
      <w:jc w:val="center"/>
    </w:pPr>
    <w:rPr>
      <w:rFonts w:eastAsia="Times New Roman" w:cs="Times New Roman"/>
      <w:kern w:val="0"/>
      <w:sz w:val="20"/>
      <w:szCs w:val="20"/>
      <w:lang w:val="nl-BE" w:eastAsia="nl-BE"/>
      <w14:ligatures w14:val="none"/>
    </w:rPr>
  </w:style>
  <w:style w:type="paragraph" w:customStyle="1" w:styleId="xl67">
    <w:name w:val="xl67"/>
    <w:basedOn w:val="Normal"/>
    <w:rsid w:val="00E1298C"/>
    <w:pPr>
      <w:pBdr>
        <w:top w:val="single" w:sz="4" w:space="0" w:color="auto"/>
      </w:pBdr>
      <w:shd w:val="clear" w:color="000000" w:fill="FFFFFF"/>
      <w:spacing w:before="100" w:beforeAutospacing="1" w:after="100" w:afterAutospacing="1" w:line="240" w:lineRule="auto"/>
      <w:jc w:val="center"/>
    </w:pPr>
    <w:rPr>
      <w:rFonts w:eastAsia="Times New Roman" w:cs="Times New Roman"/>
      <w:kern w:val="0"/>
      <w:sz w:val="20"/>
      <w:szCs w:val="20"/>
      <w:lang w:val="nl-BE" w:eastAsia="nl-BE"/>
      <w14:ligatures w14:val="none"/>
    </w:rPr>
  </w:style>
  <w:style w:type="paragraph" w:customStyle="1" w:styleId="xl68">
    <w:name w:val="xl68"/>
    <w:basedOn w:val="Normal"/>
    <w:rsid w:val="00E1298C"/>
    <w:pPr>
      <w:shd w:val="clear" w:color="000000" w:fill="FFFFFF"/>
      <w:spacing w:before="100" w:beforeAutospacing="1" w:after="100" w:afterAutospacing="1" w:line="240" w:lineRule="auto"/>
      <w:jc w:val="left"/>
    </w:pPr>
    <w:rPr>
      <w:rFonts w:eastAsia="Times New Roman" w:cs="Times New Roman"/>
      <w:kern w:val="0"/>
      <w:sz w:val="20"/>
      <w:szCs w:val="20"/>
      <w:lang w:val="nl-BE" w:eastAsia="nl-BE"/>
      <w14:ligatures w14:val="none"/>
    </w:rPr>
  </w:style>
  <w:style w:type="paragraph" w:customStyle="1" w:styleId="xl69">
    <w:name w:val="xl69"/>
    <w:basedOn w:val="Normal"/>
    <w:rsid w:val="00E1298C"/>
    <w:pPr>
      <w:pBdr>
        <w:bottom w:val="single" w:sz="4" w:space="0" w:color="auto"/>
      </w:pBdr>
      <w:shd w:val="clear" w:color="000000" w:fill="FFFFFF"/>
      <w:spacing w:before="100" w:beforeAutospacing="1" w:after="100" w:afterAutospacing="1" w:line="240" w:lineRule="auto"/>
      <w:jc w:val="center"/>
    </w:pPr>
    <w:rPr>
      <w:rFonts w:eastAsia="Times New Roman" w:cs="Times New Roman"/>
      <w:kern w:val="0"/>
      <w:sz w:val="20"/>
      <w:szCs w:val="20"/>
      <w:lang w:val="nl-BE" w:eastAsia="nl-BE"/>
      <w14:ligatures w14:val="none"/>
    </w:rPr>
  </w:style>
  <w:style w:type="paragraph" w:customStyle="1" w:styleId="xl70">
    <w:name w:val="xl70"/>
    <w:basedOn w:val="Normal"/>
    <w:rsid w:val="00E1298C"/>
    <w:pPr>
      <w:shd w:val="clear" w:color="000000" w:fill="FFFFFF"/>
      <w:spacing w:before="100" w:beforeAutospacing="1" w:after="100" w:afterAutospacing="1" w:line="240" w:lineRule="auto"/>
      <w:jc w:val="center"/>
    </w:pPr>
    <w:rPr>
      <w:rFonts w:eastAsia="Times New Roman" w:cs="Times New Roman"/>
      <w:kern w:val="0"/>
      <w:sz w:val="20"/>
      <w:szCs w:val="20"/>
      <w:lang w:val="nl-BE" w:eastAsia="nl-BE"/>
      <w14:ligatures w14:val="none"/>
    </w:rPr>
  </w:style>
  <w:style w:type="paragraph" w:customStyle="1" w:styleId="xl71">
    <w:name w:val="xl71"/>
    <w:basedOn w:val="Normal"/>
    <w:rsid w:val="00E1298C"/>
    <w:pPr>
      <w:pBdr>
        <w:bottom w:val="single" w:sz="4" w:space="0" w:color="auto"/>
      </w:pBdr>
      <w:shd w:val="clear" w:color="000000" w:fill="FFFFFF"/>
      <w:spacing w:before="100" w:beforeAutospacing="1" w:after="100" w:afterAutospacing="1" w:line="240" w:lineRule="auto"/>
      <w:jc w:val="left"/>
    </w:pPr>
    <w:rPr>
      <w:rFonts w:eastAsia="Times New Roman" w:cs="Times New Roman"/>
      <w:kern w:val="0"/>
      <w:sz w:val="20"/>
      <w:szCs w:val="20"/>
      <w:lang w:val="nl-BE" w:eastAsia="nl-BE"/>
      <w14:ligatures w14:val="none"/>
    </w:rPr>
  </w:style>
  <w:style w:type="paragraph" w:customStyle="1" w:styleId="xl72">
    <w:name w:val="xl72"/>
    <w:basedOn w:val="Normal"/>
    <w:rsid w:val="00E1298C"/>
    <w:pPr>
      <w:pBdr>
        <w:bottom w:val="single" w:sz="4" w:space="0" w:color="auto"/>
      </w:pBdr>
      <w:shd w:val="clear" w:color="000000" w:fill="FFFFFF"/>
      <w:spacing w:before="100" w:beforeAutospacing="1" w:after="100" w:afterAutospacing="1" w:line="240" w:lineRule="auto"/>
      <w:jc w:val="left"/>
    </w:pPr>
    <w:rPr>
      <w:rFonts w:eastAsia="Times New Roman" w:cs="Times New Roman"/>
      <w:kern w:val="0"/>
      <w:sz w:val="20"/>
      <w:szCs w:val="20"/>
      <w:lang w:val="nl-BE" w:eastAsia="nl-BE"/>
      <w14:ligatures w14:val="none"/>
    </w:rPr>
  </w:style>
  <w:style w:type="paragraph" w:customStyle="1" w:styleId="xl73">
    <w:name w:val="xl73"/>
    <w:basedOn w:val="Normal"/>
    <w:rsid w:val="00E1298C"/>
    <w:pPr>
      <w:shd w:val="clear" w:color="000000" w:fill="FFFFFF"/>
      <w:spacing w:before="100" w:beforeAutospacing="1" w:after="100" w:afterAutospacing="1" w:line="240" w:lineRule="auto"/>
      <w:jc w:val="left"/>
    </w:pPr>
    <w:rPr>
      <w:rFonts w:eastAsia="Times New Roman" w:cs="Times New Roman"/>
      <w:kern w:val="0"/>
      <w:sz w:val="20"/>
      <w:szCs w:val="20"/>
      <w:lang w:val="nl-BE" w:eastAsia="nl-BE"/>
      <w14:ligatures w14:val="none"/>
    </w:rPr>
  </w:style>
  <w:style w:type="paragraph" w:customStyle="1" w:styleId="xl74">
    <w:name w:val="xl74"/>
    <w:basedOn w:val="Normal"/>
    <w:rsid w:val="00E1298C"/>
    <w:pPr>
      <w:shd w:val="clear" w:color="000000" w:fill="FFFFFF"/>
      <w:spacing w:before="100" w:beforeAutospacing="1" w:after="100" w:afterAutospacing="1" w:line="240" w:lineRule="auto"/>
      <w:jc w:val="left"/>
    </w:pPr>
    <w:rPr>
      <w:rFonts w:eastAsia="Times New Roman" w:cs="Times New Roman"/>
      <w:kern w:val="0"/>
      <w:sz w:val="20"/>
      <w:szCs w:val="20"/>
      <w:lang w:val="nl-BE" w:eastAsia="nl-BE"/>
      <w14:ligatures w14:val="none"/>
    </w:rPr>
  </w:style>
  <w:style w:type="paragraph" w:customStyle="1" w:styleId="xl75">
    <w:name w:val="xl75"/>
    <w:basedOn w:val="Normal"/>
    <w:rsid w:val="00E1298C"/>
    <w:pPr>
      <w:shd w:val="clear" w:color="000000" w:fill="FFFFFF"/>
      <w:spacing w:before="100" w:beforeAutospacing="1" w:after="100" w:afterAutospacing="1" w:line="240" w:lineRule="auto"/>
      <w:jc w:val="left"/>
    </w:pPr>
    <w:rPr>
      <w:rFonts w:eastAsia="Times New Roman" w:cs="Times New Roman"/>
      <w:i/>
      <w:iCs/>
      <w:kern w:val="0"/>
      <w:sz w:val="20"/>
      <w:szCs w:val="20"/>
      <w:lang w:val="nl-BE" w:eastAsia="nl-BE"/>
      <w14:ligatures w14:val="none"/>
    </w:rPr>
  </w:style>
  <w:style w:type="paragraph" w:customStyle="1" w:styleId="xl76">
    <w:name w:val="xl76"/>
    <w:basedOn w:val="Normal"/>
    <w:rsid w:val="00E1298C"/>
    <w:pPr>
      <w:pBdr>
        <w:bottom w:val="single" w:sz="4" w:space="0" w:color="auto"/>
      </w:pBdr>
      <w:shd w:val="clear" w:color="000000" w:fill="FFFFFF"/>
      <w:spacing w:before="100" w:beforeAutospacing="1" w:after="100" w:afterAutospacing="1" w:line="240" w:lineRule="auto"/>
      <w:jc w:val="left"/>
    </w:pPr>
    <w:rPr>
      <w:rFonts w:eastAsia="Times New Roman" w:cs="Times New Roman"/>
      <w:kern w:val="0"/>
      <w:sz w:val="20"/>
      <w:szCs w:val="20"/>
      <w:lang w:val="nl-BE" w:eastAsia="nl-BE"/>
      <w14:ligatures w14:val="none"/>
    </w:rPr>
  </w:style>
  <w:style w:type="paragraph" w:customStyle="1" w:styleId="xl77">
    <w:name w:val="xl77"/>
    <w:basedOn w:val="Normal"/>
    <w:rsid w:val="00E1298C"/>
    <w:pPr>
      <w:pBdr>
        <w:bottom w:val="single" w:sz="4" w:space="0" w:color="auto"/>
      </w:pBdr>
      <w:shd w:val="clear" w:color="000000" w:fill="FFFFFF"/>
      <w:spacing w:before="100" w:beforeAutospacing="1" w:after="100" w:afterAutospacing="1" w:line="240" w:lineRule="auto"/>
      <w:jc w:val="left"/>
    </w:pPr>
    <w:rPr>
      <w:rFonts w:eastAsia="Times New Roman" w:cs="Times New Roman"/>
      <w:kern w:val="0"/>
      <w:sz w:val="20"/>
      <w:szCs w:val="20"/>
      <w:lang w:val="nl-BE" w:eastAsia="nl-BE"/>
      <w14:ligatures w14:val="none"/>
    </w:rPr>
  </w:style>
  <w:style w:type="character" w:customStyle="1" w:styleId="ilfuvd">
    <w:name w:val="ilfuvd"/>
    <w:basedOn w:val="DefaultParagraphFont"/>
    <w:rsid w:val="00707EFD"/>
  </w:style>
  <w:style w:type="paragraph" w:customStyle="1" w:styleId="Default">
    <w:name w:val="Default"/>
    <w:rsid w:val="00180FF4"/>
    <w:pPr>
      <w:autoSpaceDE w:val="0"/>
      <w:autoSpaceDN w:val="0"/>
      <w:adjustRightInd w:val="0"/>
      <w:spacing w:after="0" w:line="240" w:lineRule="auto"/>
    </w:pPr>
    <w:rPr>
      <w:rFonts w:ascii="Calibri" w:hAnsi="Calibri" w:cs="Calibri"/>
      <w:color w:val="000000"/>
      <w:kern w:val="0"/>
      <w:sz w:val="24"/>
      <w:szCs w:val="24"/>
      <w:lang w:val="en-US"/>
    </w:rPr>
  </w:style>
  <w:style w:type="character" w:customStyle="1" w:styleId="linkify">
    <w:name w:val="linkify"/>
    <w:basedOn w:val="DefaultParagraphFont"/>
    <w:rsid w:val="00CC707E"/>
  </w:style>
  <w:style w:type="paragraph" w:customStyle="1" w:styleId="Body">
    <w:name w:val="Body"/>
    <w:rsid w:val="00F82B46"/>
    <w:pPr>
      <w:pBdr>
        <w:top w:val="nil"/>
        <w:left w:val="nil"/>
        <w:bottom w:val="nil"/>
        <w:right w:val="nil"/>
        <w:between w:val="nil"/>
        <w:bar w:val="nil"/>
      </w:pBdr>
    </w:pPr>
    <w:rPr>
      <w:rFonts w:ascii="Calibri" w:eastAsia="Calibri" w:hAnsi="Calibri" w:cs="Calibri"/>
      <w:color w:val="000000"/>
      <w:kern w:val="0"/>
      <w:u w:color="000000"/>
      <w:bdr w:val="nil"/>
      <w:lang w:val="en-US" w:eastAsia="nl-BE"/>
      <w14:textOutline w14:w="0" w14:cap="flat" w14:cmpd="sng" w14:algn="ctr">
        <w14:noFill/>
        <w14:prstDash w14:val="solid"/>
        <w14:bevel/>
      </w14:textOutline>
      <w14:ligatures w14:val="none"/>
    </w:rPr>
  </w:style>
  <w:style w:type="character" w:customStyle="1" w:styleId="Heading2Char">
    <w:name w:val="Heading 2 Char"/>
    <w:basedOn w:val="DefaultParagraphFont"/>
    <w:link w:val="Heading2"/>
    <w:uiPriority w:val="9"/>
    <w:rsid w:val="00E8480E"/>
    <w:rPr>
      <w:rFonts w:ascii="Times New Roman" w:eastAsia="Times New Roman" w:hAnsi="Times New Roman" w:cs="Times New Roman"/>
      <w:b/>
      <w:bCs/>
      <w:kern w:val="0"/>
      <w:sz w:val="36"/>
      <w:szCs w:val="36"/>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817333">
      <w:bodyDiv w:val="1"/>
      <w:marLeft w:val="0"/>
      <w:marRight w:val="0"/>
      <w:marTop w:val="0"/>
      <w:marBottom w:val="0"/>
      <w:divBdr>
        <w:top w:val="none" w:sz="0" w:space="0" w:color="auto"/>
        <w:left w:val="none" w:sz="0" w:space="0" w:color="auto"/>
        <w:bottom w:val="none" w:sz="0" w:space="0" w:color="auto"/>
        <w:right w:val="none" w:sz="0" w:space="0" w:color="auto"/>
      </w:divBdr>
    </w:div>
    <w:div w:id="34014234">
      <w:bodyDiv w:val="1"/>
      <w:marLeft w:val="0"/>
      <w:marRight w:val="0"/>
      <w:marTop w:val="0"/>
      <w:marBottom w:val="0"/>
      <w:divBdr>
        <w:top w:val="none" w:sz="0" w:space="0" w:color="auto"/>
        <w:left w:val="none" w:sz="0" w:space="0" w:color="auto"/>
        <w:bottom w:val="none" w:sz="0" w:space="0" w:color="auto"/>
        <w:right w:val="none" w:sz="0" w:space="0" w:color="auto"/>
      </w:divBdr>
    </w:div>
    <w:div w:id="117260048">
      <w:bodyDiv w:val="1"/>
      <w:marLeft w:val="0"/>
      <w:marRight w:val="0"/>
      <w:marTop w:val="0"/>
      <w:marBottom w:val="0"/>
      <w:divBdr>
        <w:top w:val="none" w:sz="0" w:space="0" w:color="auto"/>
        <w:left w:val="none" w:sz="0" w:space="0" w:color="auto"/>
        <w:bottom w:val="none" w:sz="0" w:space="0" w:color="auto"/>
        <w:right w:val="none" w:sz="0" w:space="0" w:color="auto"/>
      </w:divBdr>
    </w:div>
    <w:div w:id="144325571">
      <w:bodyDiv w:val="1"/>
      <w:marLeft w:val="0"/>
      <w:marRight w:val="0"/>
      <w:marTop w:val="0"/>
      <w:marBottom w:val="0"/>
      <w:divBdr>
        <w:top w:val="none" w:sz="0" w:space="0" w:color="auto"/>
        <w:left w:val="none" w:sz="0" w:space="0" w:color="auto"/>
        <w:bottom w:val="none" w:sz="0" w:space="0" w:color="auto"/>
        <w:right w:val="none" w:sz="0" w:space="0" w:color="auto"/>
      </w:divBdr>
    </w:div>
    <w:div w:id="144664829">
      <w:bodyDiv w:val="1"/>
      <w:marLeft w:val="0"/>
      <w:marRight w:val="0"/>
      <w:marTop w:val="0"/>
      <w:marBottom w:val="0"/>
      <w:divBdr>
        <w:top w:val="none" w:sz="0" w:space="0" w:color="auto"/>
        <w:left w:val="none" w:sz="0" w:space="0" w:color="auto"/>
        <w:bottom w:val="none" w:sz="0" w:space="0" w:color="auto"/>
        <w:right w:val="none" w:sz="0" w:space="0" w:color="auto"/>
      </w:divBdr>
    </w:div>
    <w:div w:id="198904868">
      <w:bodyDiv w:val="1"/>
      <w:marLeft w:val="0"/>
      <w:marRight w:val="0"/>
      <w:marTop w:val="0"/>
      <w:marBottom w:val="0"/>
      <w:divBdr>
        <w:top w:val="none" w:sz="0" w:space="0" w:color="auto"/>
        <w:left w:val="none" w:sz="0" w:space="0" w:color="auto"/>
        <w:bottom w:val="none" w:sz="0" w:space="0" w:color="auto"/>
        <w:right w:val="none" w:sz="0" w:space="0" w:color="auto"/>
      </w:divBdr>
    </w:div>
    <w:div w:id="215241998">
      <w:bodyDiv w:val="1"/>
      <w:marLeft w:val="0"/>
      <w:marRight w:val="0"/>
      <w:marTop w:val="0"/>
      <w:marBottom w:val="0"/>
      <w:divBdr>
        <w:top w:val="none" w:sz="0" w:space="0" w:color="auto"/>
        <w:left w:val="none" w:sz="0" w:space="0" w:color="auto"/>
        <w:bottom w:val="none" w:sz="0" w:space="0" w:color="auto"/>
        <w:right w:val="none" w:sz="0" w:space="0" w:color="auto"/>
      </w:divBdr>
    </w:div>
    <w:div w:id="221258932">
      <w:bodyDiv w:val="1"/>
      <w:marLeft w:val="0"/>
      <w:marRight w:val="0"/>
      <w:marTop w:val="0"/>
      <w:marBottom w:val="0"/>
      <w:divBdr>
        <w:top w:val="none" w:sz="0" w:space="0" w:color="auto"/>
        <w:left w:val="none" w:sz="0" w:space="0" w:color="auto"/>
        <w:bottom w:val="none" w:sz="0" w:space="0" w:color="auto"/>
        <w:right w:val="none" w:sz="0" w:space="0" w:color="auto"/>
      </w:divBdr>
    </w:div>
    <w:div w:id="229000131">
      <w:bodyDiv w:val="1"/>
      <w:marLeft w:val="0"/>
      <w:marRight w:val="0"/>
      <w:marTop w:val="0"/>
      <w:marBottom w:val="0"/>
      <w:divBdr>
        <w:top w:val="none" w:sz="0" w:space="0" w:color="auto"/>
        <w:left w:val="none" w:sz="0" w:space="0" w:color="auto"/>
        <w:bottom w:val="none" w:sz="0" w:space="0" w:color="auto"/>
        <w:right w:val="none" w:sz="0" w:space="0" w:color="auto"/>
      </w:divBdr>
    </w:div>
    <w:div w:id="239296201">
      <w:bodyDiv w:val="1"/>
      <w:marLeft w:val="0"/>
      <w:marRight w:val="0"/>
      <w:marTop w:val="0"/>
      <w:marBottom w:val="0"/>
      <w:divBdr>
        <w:top w:val="none" w:sz="0" w:space="0" w:color="auto"/>
        <w:left w:val="none" w:sz="0" w:space="0" w:color="auto"/>
        <w:bottom w:val="none" w:sz="0" w:space="0" w:color="auto"/>
        <w:right w:val="none" w:sz="0" w:space="0" w:color="auto"/>
      </w:divBdr>
    </w:div>
    <w:div w:id="241261068">
      <w:bodyDiv w:val="1"/>
      <w:marLeft w:val="0"/>
      <w:marRight w:val="0"/>
      <w:marTop w:val="0"/>
      <w:marBottom w:val="0"/>
      <w:divBdr>
        <w:top w:val="none" w:sz="0" w:space="0" w:color="auto"/>
        <w:left w:val="none" w:sz="0" w:space="0" w:color="auto"/>
        <w:bottom w:val="none" w:sz="0" w:space="0" w:color="auto"/>
        <w:right w:val="none" w:sz="0" w:space="0" w:color="auto"/>
      </w:divBdr>
    </w:div>
    <w:div w:id="241306272">
      <w:bodyDiv w:val="1"/>
      <w:marLeft w:val="0"/>
      <w:marRight w:val="0"/>
      <w:marTop w:val="0"/>
      <w:marBottom w:val="0"/>
      <w:divBdr>
        <w:top w:val="none" w:sz="0" w:space="0" w:color="auto"/>
        <w:left w:val="none" w:sz="0" w:space="0" w:color="auto"/>
        <w:bottom w:val="none" w:sz="0" w:space="0" w:color="auto"/>
        <w:right w:val="none" w:sz="0" w:space="0" w:color="auto"/>
      </w:divBdr>
    </w:div>
    <w:div w:id="260458711">
      <w:bodyDiv w:val="1"/>
      <w:marLeft w:val="0"/>
      <w:marRight w:val="0"/>
      <w:marTop w:val="0"/>
      <w:marBottom w:val="0"/>
      <w:divBdr>
        <w:top w:val="none" w:sz="0" w:space="0" w:color="auto"/>
        <w:left w:val="none" w:sz="0" w:space="0" w:color="auto"/>
        <w:bottom w:val="none" w:sz="0" w:space="0" w:color="auto"/>
        <w:right w:val="none" w:sz="0" w:space="0" w:color="auto"/>
      </w:divBdr>
    </w:div>
    <w:div w:id="294457641">
      <w:bodyDiv w:val="1"/>
      <w:marLeft w:val="0"/>
      <w:marRight w:val="0"/>
      <w:marTop w:val="0"/>
      <w:marBottom w:val="0"/>
      <w:divBdr>
        <w:top w:val="none" w:sz="0" w:space="0" w:color="auto"/>
        <w:left w:val="none" w:sz="0" w:space="0" w:color="auto"/>
        <w:bottom w:val="none" w:sz="0" w:space="0" w:color="auto"/>
        <w:right w:val="none" w:sz="0" w:space="0" w:color="auto"/>
      </w:divBdr>
    </w:div>
    <w:div w:id="296227650">
      <w:bodyDiv w:val="1"/>
      <w:marLeft w:val="0"/>
      <w:marRight w:val="0"/>
      <w:marTop w:val="0"/>
      <w:marBottom w:val="0"/>
      <w:divBdr>
        <w:top w:val="none" w:sz="0" w:space="0" w:color="auto"/>
        <w:left w:val="none" w:sz="0" w:space="0" w:color="auto"/>
        <w:bottom w:val="none" w:sz="0" w:space="0" w:color="auto"/>
        <w:right w:val="none" w:sz="0" w:space="0" w:color="auto"/>
      </w:divBdr>
    </w:div>
    <w:div w:id="296689341">
      <w:bodyDiv w:val="1"/>
      <w:marLeft w:val="0"/>
      <w:marRight w:val="0"/>
      <w:marTop w:val="0"/>
      <w:marBottom w:val="0"/>
      <w:divBdr>
        <w:top w:val="none" w:sz="0" w:space="0" w:color="auto"/>
        <w:left w:val="none" w:sz="0" w:space="0" w:color="auto"/>
        <w:bottom w:val="none" w:sz="0" w:space="0" w:color="auto"/>
        <w:right w:val="none" w:sz="0" w:space="0" w:color="auto"/>
      </w:divBdr>
    </w:div>
    <w:div w:id="361127818">
      <w:bodyDiv w:val="1"/>
      <w:marLeft w:val="0"/>
      <w:marRight w:val="0"/>
      <w:marTop w:val="0"/>
      <w:marBottom w:val="0"/>
      <w:divBdr>
        <w:top w:val="none" w:sz="0" w:space="0" w:color="auto"/>
        <w:left w:val="none" w:sz="0" w:space="0" w:color="auto"/>
        <w:bottom w:val="none" w:sz="0" w:space="0" w:color="auto"/>
        <w:right w:val="none" w:sz="0" w:space="0" w:color="auto"/>
      </w:divBdr>
    </w:div>
    <w:div w:id="404030099">
      <w:bodyDiv w:val="1"/>
      <w:marLeft w:val="0"/>
      <w:marRight w:val="0"/>
      <w:marTop w:val="0"/>
      <w:marBottom w:val="0"/>
      <w:divBdr>
        <w:top w:val="none" w:sz="0" w:space="0" w:color="auto"/>
        <w:left w:val="none" w:sz="0" w:space="0" w:color="auto"/>
        <w:bottom w:val="none" w:sz="0" w:space="0" w:color="auto"/>
        <w:right w:val="none" w:sz="0" w:space="0" w:color="auto"/>
      </w:divBdr>
    </w:div>
    <w:div w:id="434402878">
      <w:bodyDiv w:val="1"/>
      <w:marLeft w:val="0"/>
      <w:marRight w:val="0"/>
      <w:marTop w:val="0"/>
      <w:marBottom w:val="0"/>
      <w:divBdr>
        <w:top w:val="none" w:sz="0" w:space="0" w:color="auto"/>
        <w:left w:val="none" w:sz="0" w:space="0" w:color="auto"/>
        <w:bottom w:val="none" w:sz="0" w:space="0" w:color="auto"/>
        <w:right w:val="none" w:sz="0" w:space="0" w:color="auto"/>
      </w:divBdr>
    </w:div>
    <w:div w:id="434863527">
      <w:bodyDiv w:val="1"/>
      <w:marLeft w:val="0"/>
      <w:marRight w:val="0"/>
      <w:marTop w:val="0"/>
      <w:marBottom w:val="0"/>
      <w:divBdr>
        <w:top w:val="none" w:sz="0" w:space="0" w:color="auto"/>
        <w:left w:val="none" w:sz="0" w:space="0" w:color="auto"/>
        <w:bottom w:val="none" w:sz="0" w:space="0" w:color="auto"/>
        <w:right w:val="none" w:sz="0" w:space="0" w:color="auto"/>
      </w:divBdr>
    </w:div>
    <w:div w:id="468740934">
      <w:bodyDiv w:val="1"/>
      <w:marLeft w:val="0"/>
      <w:marRight w:val="0"/>
      <w:marTop w:val="0"/>
      <w:marBottom w:val="0"/>
      <w:divBdr>
        <w:top w:val="none" w:sz="0" w:space="0" w:color="auto"/>
        <w:left w:val="none" w:sz="0" w:space="0" w:color="auto"/>
        <w:bottom w:val="none" w:sz="0" w:space="0" w:color="auto"/>
        <w:right w:val="none" w:sz="0" w:space="0" w:color="auto"/>
      </w:divBdr>
    </w:div>
    <w:div w:id="553544445">
      <w:bodyDiv w:val="1"/>
      <w:marLeft w:val="0"/>
      <w:marRight w:val="0"/>
      <w:marTop w:val="0"/>
      <w:marBottom w:val="0"/>
      <w:divBdr>
        <w:top w:val="none" w:sz="0" w:space="0" w:color="auto"/>
        <w:left w:val="none" w:sz="0" w:space="0" w:color="auto"/>
        <w:bottom w:val="none" w:sz="0" w:space="0" w:color="auto"/>
        <w:right w:val="none" w:sz="0" w:space="0" w:color="auto"/>
      </w:divBdr>
    </w:div>
    <w:div w:id="556740639">
      <w:bodyDiv w:val="1"/>
      <w:marLeft w:val="0"/>
      <w:marRight w:val="0"/>
      <w:marTop w:val="0"/>
      <w:marBottom w:val="0"/>
      <w:divBdr>
        <w:top w:val="none" w:sz="0" w:space="0" w:color="auto"/>
        <w:left w:val="none" w:sz="0" w:space="0" w:color="auto"/>
        <w:bottom w:val="none" w:sz="0" w:space="0" w:color="auto"/>
        <w:right w:val="none" w:sz="0" w:space="0" w:color="auto"/>
      </w:divBdr>
    </w:div>
    <w:div w:id="578253950">
      <w:bodyDiv w:val="1"/>
      <w:marLeft w:val="0"/>
      <w:marRight w:val="0"/>
      <w:marTop w:val="0"/>
      <w:marBottom w:val="0"/>
      <w:divBdr>
        <w:top w:val="none" w:sz="0" w:space="0" w:color="auto"/>
        <w:left w:val="none" w:sz="0" w:space="0" w:color="auto"/>
        <w:bottom w:val="none" w:sz="0" w:space="0" w:color="auto"/>
        <w:right w:val="none" w:sz="0" w:space="0" w:color="auto"/>
      </w:divBdr>
    </w:div>
    <w:div w:id="604969662">
      <w:bodyDiv w:val="1"/>
      <w:marLeft w:val="0"/>
      <w:marRight w:val="0"/>
      <w:marTop w:val="0"/>
      <w:marBottom w:val="0"/>
      <w:divBdr>
        <w:top w:val="none" w:sz="0" w:space="0" w:color="auto"/>
        <w:left w:val="none" w:sz="0" w:space="0" w:color="auto"/>
        <w:bottom w:val="none" w:sz="0" w:space="0" w:color="auto"/>
        <w:right w:val="none" w:sz="0" w:space="0" w:color="auto"/>
      </w:divBdr>
    </w:div>
    <w:div w:id="611941728">
      <w:bodyDiv w:val="1"/>
      <w:marLeft w:val="0"/>
      <w:marRight w:val="0"/>
      <w:marTop w:val="0"/>
      <w:marBottom w:val="0"/>
      <w:divBdr>
        <w:top w:val="none" w:sz="0" w:space="0" w:color="auto"/>
        <w:left w:val="none" w:sz="0" w:space="0" w:color="auto"/>
        <w:bottom w:val="none" w:sz="0" w:space="0" w:color="auto"/>
        <w:right w:val="none" w:sz="0" w:space="0" w:color="auto"/>
      </w:divBdr>
    </w:div>
    <w:div w:id="622224489">
      <w:bodyDiv w:val="1"/>
      <w:marLeft w:val="0"/>
      <w:marRight w:val="0"/>
      <w:marTop w:val="0"/>
      <w:marBottom w:val="0"/>
      <w:divBdr>
        <w:top w:val="none" w:sz="0" w:space="0" w:color="auto"/>
        <w:left w:val="none" w:sz="0" w:space="0" w:color="auto"/>
        <w:bottom w:val="none" w:sz="0" w:space="0" w:color="auto"/>
        <w:right w:val="none" w:sz="0" w:space="0" w:color="auto"/>
      </w:divBdr>
    </w:div>
    <w:div w:id="637683249">
      <w:bodyDiv w:val="1"/>
      <w:marLeft w:val="0"/>
      <w:marRight w:val="0"/>
      <w:marTop w:val="0"/>
      <w:marBottom w:val="0"/>
      <w:divBdr>
        <w:top w:val="none" w:sz="0" w:space="0" w:color="auto"/>
        <w:left w:val="none" w:sz="0" w:space="0" w:color="auto"/>
        <w:bottom w:val="none" w:sz="0" w:space="0" w:color="auto"/>
        <w:right w:val="none" w:sz="0" w:space="0" w:color="auto"/>
      </w:divBdr>
      <w:divsChild>
        <w:div w:id="1622225017">
          <w:marLeft w:val="0"/>
          <w:marRight w:val="0"/>
          <w:marTop w:val="0"/>
          <w:marBottom w:val="0"/>
          <w:divBdr>
            <w:top w:val="none" w:sz="0" w:space="0" w:color="auto"/>
            <w:left w:val="none" w:sz="0" w:space="0" w:color="auto"/>
            <w:bottom w:val="none" w:sz="0" w:space="0" w:color="auto"/>
            <w:right w:val="none" w:sz="0" w:space="0" w:color="auto"/>
          </w:divBdr>
        </w:div>
        <w:div w:id="776484849">
          <w:marLeft w:val="0"/>
          <w:marRight w:val="0"/>
          <w:marTop w:val="0"/>
          <w:marBottom w:val="0"/>
          <w:divBdr>
            <w:top w:val="none" w:sz="0" w:space="0" w:color="auto"/>
            <w:left w:val="none" w:sz="0" w:space="0" w:color="auto"/>
            <w:bottom w:val="none" w:sz="0" w:space="0" w:color="auto"/>
            <w:right w:val="none" w:sz="0" w:space="0" w:color="auto"/>
          </w:divBdr>
        </w:div>
      </w:divsChild>
    </w:div>
    <w:div w:id="741678109">
      <w:bodyDiv w:val="1"/>
      <w:marLeft w:val="0"/>
      <w:marRight w:val="0"/>
      <w:marTop w:val="0"/>
      <w:marBottom w:val="0"/>
      <w:divBdr>
        <w:top w:val="none" w:sz="0" w:space="0" w:color="auto"/>
        <w:left w:val="none" w:sz="0" w:space="0" w:color="auto"/>
        <w:bottom w:val="none" w:sz="0" w:space="0" w:color="auto"/>
        <w:right w:val="none" w:sz="0" w:space="0" w:color="auto"/>
      </w:divBdr>
    </w:div>
    <w:div w:id="754591665">
      <w:bodyDiv w:val="1"/>
      <w:marLeft w:val="0"/>
      <w:marRight w:val="0"/>
      <w:marTop w:val="0"/>
      <w:marBottom w:val="0"/>
      <w:divBdr>
        <w:top w:val="none" w:sz="0" w:space="0" w:color="auto"/>
        <w:left w:val="none" w:sz="0" w:space="0" w:color="auto"/>
        <w:bottom w:val="none" w:sz="0" w:space="0" w:color="auto"/>
        <w:right w:val="none" w:sz="0" w:space="0" w:color="auto"/>
      </w:divBdr>
    </w:div>
    <w:div w:id="805393228">
      <w:bodyDiv w:val="1"/>
      <w:marLeft w:val="0"/>
      <w:marRight w:val="0"/>
      <w:marTop w:val="0"/>
      <w:marBottom w:val="0"/>
      <w:divBdr>
        <w:top w:val="none" w:sz="0" w:space="0" w:color="auto"/>
        <w:left w:val="none" w:sz="0" w:space="0" w:color="auto"/>
        <w:bottom w:val="none" w:sz="0" w:space="0" w:color="auto"/>
        <w:right w:val="none" w:sz="0" w:space="0" w:color="auto"/>
      </w:divBdr>
    </w:div>
    <w:div w:id="809203213">
      <w:bodyDiv w:val="1"/>
      <w:marLeft w:val="0"/>
      <w:marRight w:val="0"/>
      <w:marTop w:val="0"/>
      <w:marBottom w:val="0"/>
      <w:divBdr>
        <w:top w:val="none" w:sz="0" w:space="0" w:color="auto"/>
        <w:left w:val="none" w:sz="0" w:space="0" w:color="auto"/>
        <w:bottom w:val="none" w:sz="0" w:space="0" w:color="auto"/>
        <w:right w:val="none" w:sz="0" w:space="0" w:color="auto"/>
      </w:divBdr>
      <w:divsChild>
        <w:div w:id="630131793">
          <w:marLeft w:val="0"/>
          <w:marRight w:val="0"/>
          <w:marTop w:val="0"/>
          <w:marBottom w:val="0"/>
          <w:divBdr>
            <w:top w:val="none" w:sz="0" w:space="0" w:color="auto"/>
            <w:left w:val="none" w:sz="0" w:space="0" w:color="auto"/>
            <w:bottom w:val="none" w:sz="0" w:space="0" w:color="auto"/>
            <w:right w:val="none" w:sz="0" w:space="0" w:color="auto"/>
          </w:divBdr>
        </w:div>
        <w:div w:id="379673065">
          <w:marLeft w:val="0"/>
          <w:marRight w:val="0"/>
          <w:marTop w:val="0"/>
          <w:marBottom w:val="0"/>
          <w:divBdr>
            <w:top w:val="none" w:sz="0" w:space="0" w:color="auto"/>
            <w:left w:val="none" w:sz="0" w:space="0" w:color="auto"/>
            <w:bottom w:val="none" w:sz="0" w:space="0" w:color="auto"/>
            <w:right w:val="none" w:sz="0" w:space="0" w:color="auto"/>
          </w:divBdr>
        </w:div>
        <w:div w:id="1609655300">
          <w:marLeft w:val="0"/>
          <w:marRight w:val="0"/>
          <w:marTop w:val="0"/>
          <w:marBottom w:val="0"/>
          <w:divBdr>
            <w:top w:val="none" w:sz="0" w:space="0" w:color="auto"/>
            <w:left w:val="none" w:sz="0" w:space="0" w:color="auto"/>
            <w:bottom w:val="none" w:sz="0" w:space="0" w:color="auto"/>
            <w:right w:val="none" w:sz="0" w:space="0" w:color="auto"/>
          </w:divBdr>
        </w:div>
        <w:div w:id="405149818">
          <w:marLeft w:val="0"/>
          <w:marRight w:val="0"/>
          <w:marTop w:val="0"/>
          <w:marBottom w:val="0"/>
          <w:divBdr>
            <w:top w:val="none" w:sz="0" w:space="0" w:color="auto"/>
            <w:left w:val="none" w:sz="0" w:space="0" w:color="auto"/>
            <w:bottom w:val="none" w:sz="0" w:space="0" w:color="auto"/>
            <w:right w:val="none" w:sz="0" w:space="0" w:color="auto"/>
          </w:divBdr>
        </w:div>
        <w:div w:id="133523716">
          <w:marLeft w:val="0"/>
          <w:marRight w:val="0"/>
          <w:marTop w:val="0"/>
          <w:marBottom w:val="0"/>
          <w:divBdr>
            <w:top w:val="none" w:sz="0" w:space="0" w:color="auto"/>
            <w:left w:val="none" w:sz="0" w:space="0" w:color="auto"/>
            <w:bottom w:val="none" w:sz="0" w:space="0" w:color="auto"/>
            <w:right w:val="none" w:sz="0" w:space="0" w:color="auto"/>
          </w:divBdr>
        </w:div>
        <w:div w:id="1756704797">
          <w:marLeft w:val="0"/>
          <w:marRight w:val="0"/>
          <w:marTop w:val="0"/>
          <w:marBottom w:val="0"/>
          <w:divBdr>
            <w:top w:val="none" w:sz="0" w:space="0" w:color="auto"/>
            <w:left w:val="none" w:sz="0" w:space="0" w:color="auto"/>
            <w:bottom w:val="none" w:sz="0" w:space="0" w:color="auto"/>
            <w:right w:val="none" w:sz="0" w:space="0" w:color="auto"/>
          </w:divBdr>
        </w:div>
        <w:div w:id="1590694727">
          <w:marLeft w:val="0"/>
          <w:marRight w:val="0"/>
          <w:marTop w:val="0"/>
          <w:marBottom w:val="0"/>
          <w:divBdr>
            <w:top w:val="none" w:sz="0" w:space="0" w:color="auto"/>
            <w:left w:val="none" w:sz="0" w:space="0" w:color="auto"/>
            <w:bottom w:val="none" w:sz="0" w:space="0" w:color="auto"/>
            <w:right w:val="none" w:sz="0" w:space="0" w:color="auto"/>
          </w:divBdr>
        </w:div>
        <w:div w:id="419066308">
          <w:marLeft w:val="0"/>
          <w:marRight w:val="0"/>
          <w:marTop w:val="0"/>
          <w:marBottom w:val="0"/>
          <w:divBdr>
            <w:top w:val="none" w:sz="0" w:space="0" w:color="auto"/>
            <w:left w:val="none" w:sz="0" w:space="0" w:color="auto"/>
            <w:bottom w:val="none" w:sz="0" w:space="0" w:color="auto"/>
            <w:right w:val="none" w:sz="0" w:space="0" w:color="auto"/>
          </w:divBdr>
        </w:div>
        <w:div w:id="521668618">
          <w:marLeft w:val="0"/>
          <w:marRight w:val="0"/>
          <w:marTop w:val="0"/>
          <w:marBottom w:val="0"/>
          <w:divBdr>
            <w:top w:val="none" w:sz="0" w:space="0" w:color="auto"/>
            <w:left w:val="none" w:sz="0" w:space="0" w:color="auto"/>
            <w:bottom w:val="none" w:sz="0" w:space="0" w:color="auto"/>
            <w:right w:val="none" w:sz="0" w:space="0" w:color="auto"/>
          </w:divBdr>
        </w:div>
        <w:div w:id="1685400382">
          <w:marLeft w:val="0"/>
          <w:marRight w:val="0"/>
          <w:marTop w:val="0"/>
          <w:marBottom w:val="0"/>
          <w:divBdr>
            <w:top w:val="none" w:sz="0" w:space="0" w:color="auto"/>
            <w:left w:val="none" w:sz="0" w:space="0" w:color="auto"/>
            <w:bottom w:val="none" w:sz="0" w:space="0" w:color="auto"/>
            <w:right w:val="none" w:sz="0" w:space="0" w:color="auto"/>
          </w:divBdr>
        </w:div>
        <w:div w:id="2008052303">
          <w:marLeft w:val="0"/>
          <w:marRight w:val="0"/>
          <w:marTop w:val="0"/>
          <w:marBottom w:val="0"/>
          <w:divBdr>
            <w:top w:val="none" w:sz="0" w:space="0" w:color="auto"/>
            <w:left w:val="none" w:sz="0" w:space="0" w:color="auto"/>
            <w:bottom w:val="none" w:sz="0" w:space="0" w:color="auto"/>
            <w:right w:val="none" w:sz="0" w:space="0" w:color="auto"/>
          </w:divBdr>
        </w:div>
        <w:div w:id="1753240453">
          <w:marLeft w:val="0"/>
          <w:marRight w:val="0"/>
          <w:marTop w:val="0"/>
          <w:marBottom w:val="0"/>
          <w:divBdr>
            <w:top w:val="none" w:sz="0" w:space="0" w:color="auto"/>
            <w:left w:val="none" w:sz="0" w:space="0" w:color="auto"/>
            <w:bottom w:val="none" w:sz="0" w:space="0" w:color="auto"/>
            <w:right w:val="none" w:sz="0" w:space="0" w:color="auto"/>
          </w:divBdr>
        </w:div>
      </w:divsChild>
    </w:div>
    <w:div w:id="847714800">
      <w:bodyDiv w:val="1"/>
      <w:marLeft w:val="0"/>
      <w:marRight w:val="0"/>
      <w:marTop w:val="0"/>
      <w:marBottom w:val="0"/>
      <w:divBdr>
        <w:top w:val="none" w:sz="0" w:space="0" w:color="auto"/>
        <w:left w:val="none" w:sz="0" w:space="0" w:color="auto"/>
        <w:bottom w:val="none" w:sz="0" w:space="0" w:color="auto"/>
        <w:right w:val="none" w:sz="0" w:space="0" w:color="auto"/>
      </w:divBdr>
    </w:div>
    <w:div w:id="856390876">
      <w:bodyDiv w:val="1"/>
      <w:marLeft w:val="0"/>
      <w:marRight w:val="0"/>
      <w:marTop w:val="0"/>
      <w:marBottom w:val="0"/>
      <w:divBdr>
        <w:top w:val="none" w:sz="0" w:space="0" w:color="auto"/>
        <w:left w:val="none" w:sz="0" w:space="0" w:color="auto"/>
        <w:bottom w:val="none" w:sz="0" w:space="0" w:color="auto"/>
        <w:right w:val="none" w:sz="0" w:space="0" w:color="auto"/>
      </w:divBdr>
    </w:div>
    <w:div w:id="886141455">
      <w:bodyDiv w:val="1"/>
      <w:marLeft w:val="0"/>
      <w:marRight w:val="0"/>
      <w:marTop w:val="0"/>
      <w:marBottom w:val="0"/>
      <w:divBdr>
        <w:top w:val="none" w:sz="0" w:space="0" w:color="auto"/>
        <w:left w:val="none" w:sz="0" w:space="0" w:color="auto"/>
        <w:bottom w:val="none" w:sz="0" w:space="0" w:color="auto"/>
        <w:right w:val="none" w:sz="0" w:space="0" w:color="auto"/>
      </w:divBdr>
    </w:div>
    <w:div w:id="892040867">
      <w:bodyDiv w:val="1"/>
      <w:marLeft w:val="0"/>
      <w:marRight w:val="0"/>
      <w:marTop w:val="0"/>
      <w:marBottom w:val="0"/>
      <w:divBdr>
        <w:top w:val="none" w:sz="0" w:space="0" w:color="auto"/>
        <w:left w:val="none" w:sz="0" w:space="0" w:color="auto"/>
        <w:bottom w:val="none" w:sz="0" w:space="0" w:color="auto"/>
        <w:right w:val="none" w:sz="0" w:space="0" w:color="auto"/>
      </w:divBdr>
    </w:div>
    <w:div w:id="956912031">
      <w:bodyDiv w:val="1"/>
      <w:marLeft w:val="0"/>
      <w:marRight w:val="0"/>
      <w:marTop w:val="0"/>
      <w:marBottom w:val="0"/>
      <w:divBdr>
        <w:top w:val="none" w:sz="0" w:space="0" w:color="auto"/>
        <w:left w:val="none" w:sz="0" w:space="0" w:color="auto"/>
        <w:bottom w:val="none" w:sz="0" w:space="0" w:color="auto"/>
        <w:right w:val="none" w:sz="0" w:space="0" w:color="auto"/>
      </w:divBdr>
    </w:div>
    <w:div w:id="969282224">
      <w:bodyDiv w:val="1"/>
      <w:marLeft w:val="0"/>
      <w:marRight w:val="0"/>
      <w:marTop w:val="0"/>
      <w:marBottom w:val="0"/>
      <w:divBdr>
        <w:top w:val="none" w:sz="0" w:space="0" w:color="auto"/>
        <w:left w:val="none" w:sz="0" w:space="0" w:color="auto"/>
        <w:bottom w:val="none" w:sz="0" w:space="0" w:color="auto"/>
        <w:right w:val="none" w:sz="0" w:space="0" w:color="auto"/>
      </w:divBdr>
    </w:div>
    <w:div w:id="998577645">
      <w:bodyDiv w:val="1"/>
      <w:marLeft w:val="0"/>
      <w:marRight w:val="0"/>
      <w:marTop w:val="0"/>
      <w:marBottom w:val="0"/>
      <w:divBdr>
        <w:top w:val="none" w:sz="0" w:space="0" w:color="auto"/>
        <w:left w:val="none" w:sz="0" w:space="0" w:color="auto"/>
        <w:bottom w:val="none" w:sz="0" w:space="0" w:color="auto"/>
        <w:right w:val="none" w:sz="0" w:space="0" w:color="auto"/>
      </w:divBdr>
    </w:div>
    <w:div w:id="1014235450">
      <w:bodyDiv w:val="1"/>
      <w:marLeft w:val="0"/>
      <w:marRight w:val="0"/>
      <w:marTop w:val="0"/>
      <w:marBottom w:val="0"/>
      <w:divBdr>
        <w:top w:val="none" w:sz="0" w:space="0" w:color="auto"/>
        <w:left w:val="none" w:sz="0" w:space="0" w:color="auto"/>
        <w:bottom w:val="none" w:sz="0" w:space="0" w:color="auto"/>
        <w:right w:val="none" w:sz="0" w:space="0" w:color="auto"/>
      </w:divBdr>
    </w:div>
    <w:div w:id="1030952983">
      <w:bodyDiv w:val="1"/>
      <w:marLeft w:val="0"/>
      <w:marRight w:val="0"/>
      <w:marTop w:val="0"/>
      <w:marBottom w:val="0"/>
      <w:divBdr>
        <w:top w:val="none" w:sz="0" w:space="0" w:color="auto"/>
        <w:left w:val="none" w:sz="0" w:space="0" w:color="auto"/>
        <w:bottom w:val="none" w:sz="0" w:space="0" w:color="auto"/>
        <w:right w:val="none" w:sz="0" w:space="0" w:color="auto"/>
      </w:divBdr>
    </w:div>
    <w:div w:id="1032532142">
      <w:bodyDiv w:val="1"/>
      <w:marLeft w:val="0"/>
      <w:marRight w:val="0"/>
      <w:marTop w:val="0"/>
      <w:marBottom w:val="0"/>
      <w:divBdr>
        <w:top w:val="none" w:sz="0" w:space="0" w:color="auto"/>
        <w:left w:val="none" w:sz="0" w:space="0" w:color="auto"/>
        <w:bottom w:val="none" w:sz="0" w:space="0" w:color="auto"/>
        <w:right w:val="none" w:sz="0" w:space="0" w:color="auto"/>
      </w:divBdr>
    </w:div>
    <w:div w:id="1032918350">
      <w:bodyDiv w:val="1"/>
      <w:marLeft w:val="0"/>
      <w:marRight w:val="0"/>
      <w:marTop w:val="0"/>
      <w:marBottom w:val="0"/>
      <w:divBdr>
        <w:top w:val="none" w:sz="0" w:space="0" w:color="auto"/>
        <w:left w:val="none" w:sz="0" w:space="0" w:color="auto"/>
        <w:bottom w:val="none" w:sz="0" w:space="0" w:color="auto"/>
        <w:right w:val="none" w:sz="0" w:space="0" w:color="auto"/>
      </w:divBdr>
    </w:div>
    <w:div w:id="1037513898">
      <w:bodyDiv w:val="1"/>
      <w:marLeft w:val="0"/>
      <w:marRight w:val="0"/>
      <w:marTop w:val="0"/>
      <w:marBottom w:val="0"/>
      <w:divBdr>
        <w:top w:val="none" w:sz="0" w:space="0" w:color="auto"/>
        <w:left w:val="none" w:sz="0" w:space="0" w:color="auto"/>
        <w:bottom w:val="none" w:sz="0" w:space="0" w:color="auto"/>
        <w:right w:val="none" w:sz="0" w:space="0" w:color="auto"/>
      </w:divBdr>
    </w:div>
    <w:div w:id="1037580910">
      <w:bodyDiv w:val="1"/>
      <w:marLeft w:val="0"/>
      <w:marRight w:val="0"/>
      <w:marTop w:val="0"/>
      <w:marBottom w:val="0"/>
      <w:divBdr>
        <w:top w:val="none" w:sz="0" w:space="0" w:color="auto"/>
        <w:left w:val="none" w:sz="0" w:space="0" w:color="auto"/>
        <w:bottom w:val="none" w:sz="0" w:space="0" w:color="auto"/>
        <w:right w:val="none" w:sz="0" w:space="0" w:color="auto"/>
      </w:divBdr>
    </w:div>
    <w:div w:id="1075594169">
      <w:bodyDiv w:val="1"/>
      <w:marLeft w:val="0"/>
      <w:marRight w:val="0"/>
      <w:marTop w:val="0"/>
      <w:marBottom w:val="0"/>
      <w:divBdr>
        <w:top w:val="none" w:sz="0" w:space="0" w:color="auto"/>
        <w:left w:val="none" w:sz="0" w:space="0" w:color="auto"/>
        <w:bottom w:val="none" w:sz="0" w:space="0" w:color="auto"/>
        <w:right w:val="none" w:sz="0" w:space="0" w:color="auto"/>
      </w:divBdr>
    </w:div>
    <w:div w:id="1078668509">
      <w:bodyDiv w:val="1"/>
      <w:marLeft w:val="0"/>
      <w:marRight w:val="0"/>
      <w:marTop w:val="0"/>
      <w:marBottom w:val="0"/>
      <w:divBdr>
        <w:top w:val="none" w:sz="0" w:space="0" w:color="auto"/>
        <w:left w:val="none" w:sz="0" w:space="0" w:color="auto"/>
        <w:bottom w:val="none" w:sz="0" w:space="0" w:color="auto"/>
        <w:right w:val="none" w:sz="0" w:space="0" w:color="auto"/>
      </w:divBdr>
    </w:div>
    <w:div w:id="1105268510">
      <w:bodyDiv w:val="1"/>
      <w:marLeft w:val="0"/>
      <w:marRight w:val="0"/>
      <w:marTop w:val="0"/>
      <w:marBottom w:val="0"/>
      <w:divBdr>
        <w:top w:val="none" w:sz="0" w:space="0" w:color="auto"/>
        <w:left w:val="none" w:sz="0" w:space="0" w:color="auto"/>
        <w:bottom w:val="none" w:sz="0" w:space="0" w:color="auto"/>
        <w:right w:val="none" w:sz="0" w:space="0" w:color="auto"/>
      </w:divBdr>
    </w:div>
    <w:div w:id="1115714614">
      <w:bodyDiv w:val="1"/>
      <w:marLeft w:val="0"/>
      <w:marRight w:val="0"/>
      <w:marTop w:val="0"/>
      <w:marBottom w:val="0"/>
      <w:divBdr>
        <w:top w:val="none" w:sz="0" w:space="0" w:color="auto"/>
        <w:left w:val="none" w:sz="0" w:space="0" w:color="auto"/>
        <w:bottom w:val="none" w:sz="0" w:space="0" w:color="auto"/>
        <w:right w:val="none" w:sz="0" w:space="0" w:color="auto"/>
      </w:divBdr>
    </w:div>
    <w:div w:id="1138885012">
      <w:bodyDiv w:val="1"/>
      <w:marLeft w:val="0"/>
      <w:marRight w:val="0"/>
      <w:marTop w:val="0"/>
      <w:marBottom w:val="0"/>
      <w:divBdr>
        <w:top w:val="none" w:sz="0" w:space="0" w:color="auto"/>
        <w:left w:val="none" w:sz="0" w:space="0" w:color="auto"/>
        <w:bottom w:val="none" w:sz="0" w:space="0" w:color="auto"/>
        <w:right w:val="none" w:sz="0" w:space="0" w:color="auto"/>
      </w:divBdr>
    </w:div>
    <w:div w:id="1172992667">
      <w:bodyDiv w:val="1"/>
      <w:marLeft w:val="0"/>
      <w:marRight w:val="0"/>
      <w:marTop w:val="0"/>
      <w:marBottom w:val="0"/>
      <w:divBdr>
        <w:top w:val="none" w:sz="0" w:space="0" w:color="auto"/>
        <w:left w:val="none" w:sz="0" w:space="0" w:color="auto"/>
        <w:bottom w:val="none" w:sz="0" w:space="0" w:color="auto"/>
        <w:right w:val="none" w:sz="0" w:space="0" w:color="auto"/>
      </w:divBdr>
    </w:div>
    <w:div w:id="1206714692">
      <w:bodyDiv w:val="1"/>
      <w:marLeft w:val="0"/>
      <w:marRight w:val="0"/>
      <w:marTop w:val="0"/>
      <w:marBottom w:val="0"/>
      <w:divBdr>
        <w:top w:val="none" w:sz="0" w:space="0" w:color="auto"/>
        <w:left w:val="none" w:sz="0" w:space="0" w:color="auto"/>
        <w:bottom w:val="none" w:sz="0" w:space="0" w:color="auto"/>
        <w:right w:val="none" w:sz="0" w:space="0" w:color="auto"/>
      </w:divBdr>
    </w:div>
    <w:div w:id="1235385668">
      <w:bodyDiv w:val="1"/>
      <w:marLeft w:val="0"/>
      <w:marRight w:val="0"/>
      <w:marTop w:val="0"/>
      <w:marBottom w:val="0"/>
      <w:divBdr>
        <w:top w:val="none" w:sz="0" w:space="0" w:color="auto"/>
        <w:left w:val="none" w:sz="0" w:space="0" w:color="auto"/>
        <w:bottom w:val="none" w:sz="0" w:space="0" w:color="auto"/>
        <w:right w:val="none" w:sz="0" w:space="0" w:color="auto"/>
      </w:divBdr>
      <w:divsChild>
        <w:div w:id="2013795876">
          <w:marLeft w:val="0"/>
          <w:marRight w:val="0"/>
          <w:marTop w:val="0"/>
          <w:marBottom w:val="0"/>
          <w:divBdr>
            <w:top w:val="none" w:sz="0" w:space="0" w:color="auto"/>
            <w:left w:val="none" w:sz="0" w:space="0" w:color="auto"/>
            <w:bottom w:val="none" w:sz="0" w:space="0" w:color="auto"/>
            <w:right w:val="none" w:sz="0" w:space="0" w:color="auto"/>
          </w:divBdr>
        </w:div>
        <w:div w:id="2014531184">
          <w:marLeft w:val="0"/>
          <w:marRight w:val="0"/>
          <w:marTop w:val="0"/>
          <w:marBottom w:val="0"/>
          <w:divBdr>
            <w:top w:val="none" w:sz="0" w:space="0" w:color="auto"/>
            <w:left w:val="none" w:sz="0" w:space="0" w:color="auto"/>
            <w:bottom w:val="none" w:sz="0" w:space="0" w:color="auto"/>
            <w:right w:val="none" w:sz="0" w:space="0" w:color="auto"/>
          </w:divBdr>
        </w:div>
      </w:divsChild>
    </w:div>
    <w:div w:id="1246457746">
      <w:bodyDiv w:val="1"/>
      <w:marLeft w:val="0"/>
      <w:marRight w:val="0"/>
      <w:marTop w:val="0"/>
      <w:marBottom w:val="0"/>
      <w:divBdr>
        <w:top w:val="none" w:sz="0" w:space="0" w:color="auto"/>
        <w:left w:val="none" w:sz="0" w:space="0" w:color="auto"/>
        <w:bottom w:val="none" w:sz="0" w:space="0" w:color="auto"/>
        <w:right w:val="none" w:sz="0" w:space="0" w:color="auto"/>
      </w:divBdr>
    </w:div>
    <w:div w:id="1258095088">
      <w:bodyDiv w:val="1"/>
      <w:marLeft w:val="0"/>
      <w:marRight w:val="0"/>
      <w:marTop w:val="0"/>
      <w:marBottom w:val="0"/>
      <w:divBdr>
        <w:top w:val="none" w:sz="0" w:space="0" w:color="auto"/>
        <w:left w:val="none" w:sz="0" w:space="0" w:color="auto"/>
        <w:bottom w:val="none" w:sz="0" w:space="0" w:color="auto"/>
        <w:right w:val="none" w:sz="0" w:space="0" w:color="auto"/>
      </w:divBdr>
    </w:div>
    <w:div w:id="1258636981">
      <w:bodyDiv w:val="1"/>
      <w:marLeft w:val="0"/>
      <w:marRight w:val="0"/>
      <w:marTop w:val="0"/>
      <w:marBottom w:val="0"/>
      <w:divBdr>
        <w:top w:val="none" w:sz="0" w:space="0" w:color="auto"/>
        <w:left w:val="none" w:sz="0" w:space="0" w:color="auto"/>
        <w:bottom w:val="none" w:sz="0" w:space="0" w:color="auto"/>
        <w:right w:val="none" w:sz="0" w:space="0" w:color="auto"/>
      </w:divBdr>
    </w:div>
    <w:div w:id="1262644819">
      <w:bodyDiv w:val="1"/>
      <w:marLeft w:val="0"/>
      <w:marRight w:val="0"/>
      <w:marTop w:val="0"/>
      <w:marBottom w:val="0"/>
      <w:divBdr>
        <w:top w:val="none" w:sz="0" w:space="0" w:color="auto"/>
        <w:left w:val="none" w:sz="0" w:space="0" w:color="auto"/>
        <w:bottom w:val="none" w:sz="0" w:space="0" w:color="auto"/>
        <w:right w:val="none" w:sz="0" w:space="0" w:color="auto"/>
      </w:divBdr>
    </w:div>
    <w:div w:id="1267157607">
      <w:bodyDiv w:val="1"/>
      <w:marLeft w:val="0"/>
      <w:marRight w:val="0"/>
      <w:marTop w:val="0"/>
      <w:marBottom w:val="0"/>
      <w:divBdr>
        <w:top w:val="none" w:sz="0" w:space="0" w:color="auto"/>
        <w:left w:val="none" w:sz="0" w:space="0" w:color="auto"/>
        <w:bottom w:val="none" w:sz="0" w:space="0" w:color="auto"/>
        <w:right w:val="none" w:sz="0" w:space="0" w:color="auto"/>
      </w:divBdr>
    </w:div>
    <w:div w:id="1317343418">
      <w:bodyDiv w:val="1"/>
      <w:marLeft w:val="0"/>
      <w:marRight w:val="0"/>
      <w:marTop w:val="0"/>
      <w:marBottom w:val="0"/>
      <w:divBdr>
        <w:top w:val="none" w:sz="0" w:space="0" w:color="auto"/>
        <w:left w:val="none" w:sz="0" w:space="0" w:color="auto"/>
        <w:bottom w:val="none" w:sz="0" w:space="0" w:color="auto"/>
        <w:right w:val="none" w:sz="0" w:space="0" w:color="auto"/>
      </w:divBdr>
    </w:div>
    <w:div w:id="1341661791">
      <w:bodyDiv w:val="1"/>
      <w:marLeft w:val="0"/>
      <w:marRight w:val="0"/>
      <w:marTop w:val="0"/>
      <w:marBottom w:val="0"/>
      <w:divBdr>
        <w:top w:val="none" w:sz="0" w:space="0" w:color="auto"/>
        <w:left w:val="none" w:sz="0" w:space="0" w:color="auto"/>
        <w:bottom w:val="none" w:sz="0" w:space="0" w:color="auto"/>
        <w:right w:val="none" w:sz="0" w:space="0" w:color="auto"/>
      </w:divBdr>
    </w:div>
    <w:div w:id="1342706900">
      <w:bodyDiv w:val="1"/>
      <w:marLeft w:val="0"/>
      <w:marRight w:val="0"/>
      <w:marTop w:val="0"/>
      <w:marBottom w:val="0"/>
      <w:divBdr>
        <w:top w:val="none" w:sz="0" w:space="0" w:color="auto"/>
        <w:left w:val="none" w:sz="0" w:space="0" w:color="auto"/>
        <w:bottom w:val="none" w:sz="0" w:space="0" w:color="auto"/>
        <w:right w:val="none" w:sz="0" w:space="0" w:color="auto"/>
      </w:divBdr>
    </w:div>
    <w:div w:id="1365709202">
      <w:bodyDiv w:val="1"/>
      <w:marLeft w:val="0"/>
      <w:marRight w:val="0"/>
      <w:marTop w:val="0"/>
      <w:marBottom w:val="0"/>
      <w:divBdr>
        <w:top w:val="none" w:sz="0" w:space="0" w:color="auto"/>
        <w:left w:val="none" w:sz="0" w:space="0" w:color="auto"/>
        <w:bottom w:val="none" w:sz="0" w:space="0" w:color="auto"/>
        <w:right w:val="none" w:sz="0" w:space="0" w:color="auto"/>
      </w:divBdr>
    </w:div>
    <w:div w:id="1366759290">
      <w:bodyDiv w:val="1"/>
      <w:marLeft w:val="0"/>
      <w:marRight w:val="0"/>
      <w:marTop w:val="0"/>
      <w:marBottom w:val="0"/>
      <w:divBdr>
        <w:top w:val="none" w:sz="0" w:space="0" w:color="auto"/>
        <w:left w:val="none" w:sz="0" w:space="0" w:color="auto"/>
        <w:bottom w:val="none" w:sz="0" w:space="0" w:color="auto"/>
        <w:right w:val="none" w:sz="0" w:space="0" w:color="auto"/>
      </w:divBdr>
    </w:div>
    <w:div w:id="1392772102">
      <w:bodyDiv w:val="1"/>
      <w:marLeft w:val="0"/>
      <w:marRight w:val="0"/>
      <w:marTop w:val="0"/>
      <w:marBottom w:val="0"/>
      <w:divBdr>
        <w:top w:val="none" w:sz="0" w:space="0" w:color="auto"/>
        <w:left w:val="none" w:sz="0" w:space="0" w:color="auto"/>
        <w:bottom w:val="none" w:sz="0" w:space="0" w:color="auto"/>
        <w:right w:val="none" w:sz="0" w:space="0" w:color="auto"/>
      </w:divBdr>
    </w:div>
    <w:div w:id="1394084827">
      <w:bodyDiv w:val="1"/>
      <w:marLeft w:val="0"/>
      <w:marRight w:val="0"/>
      <w:marTop w:val="0"/>
      <w:marBottom w:val="0"/>
      <w:divBdr>
        <w:top w:val="none" w:sz="0" w:space="0" w:color="auto"/>
        <w:left w:val="none" w:sz="0" w:space="0" w:color="auto"/>
        <w:bottom w:val="none" w:sz="0" w:space="0" w:color="auto"/>
        <w:right w:val="none" w:sz="0" w:space="0" w:color="auto"/>
      </w:divBdr>
    </w:div>
    <w:div w:id="1401097550">
      <w:bodyDiv w:val="1"/>
      <w:marLeft w:val="0"/>
      <w:marRight w:val="0"/>
      <w:marTop w:val="0"/>
      <w:marBottom w:val="0"/>
      <w:divBdr>
        <w:top w:val="none" w:sz="0" w:space="0" w:color="auto"/>
        <w:left w:val="none" w:sz="0" w:space="0" w:color="auto"/>
        <w:bottom w:val="none" w:sz="0" w:space="0" w:color="auto"/>
        <w:right w:val="none" w:sz="0" w:space="0" w:color="auto"/>
      </w:divBdr>
    </w:div>
    <w:div w:id="1410496920">
      <w:bodyDiv w:val="1"/>
      <w:marLeft w:val="0"/>
      <w:marRight w:val="0"/>
      <w:marTop w:val="0"/>
      <w:marBottom w:val="0"/>
      <w:divBdr>
        <w:top w:val="none" w:sz="0" w:space="0" w:color="auto"/>
        <w:left w:val="none" w:sz="0" w:space="0" w:color="auto"/>
        <w:bottom w:val="none" w:sz="0" w:space="0" w:color="auto"/>
        <w:right w:val="none" w:sz="0" w:space="0" w:color="auto"/>
      </w:divBdr>
    </w:div>
    <w:div w:id="1516534936">
      <w:bodyDiv w:val="1"/>
      <w:marLeft w:val="0"/>
      <w:marRight w:val="0"/>
      <w:marTop w:val="0"/>
      <w:marBottom w:val="0"/>
      <w:divBdr>
        <w:top w:val="none" w:sz="0" w:space="0" w:color="auto"/>
        <w:left w:val="none" w:sz="0" w:space="0" w:color="auto"/>
        <w:bottom w:val="none" w:sz="0" w:space="0" w:color="auto"/>
        <w:right w:val="none" w:sz="0" w:space="0" w:color="auto"/>
      </w:divBdr>
    </w:div>
    <w:div w:id="1555696305">
      <w:bodyDiv w:val="1"/>
      <w:marLeft w:val="0"/>
      <w:marRight w:val="0"/>
      <w:marTop w:val="0"/>
      <w:marBottom w:val="0"/>
      <w:divBdr>
        <w:top w:val="none" w:sz="0" w:space="0" w:color="auto"/>
        <w:left w:val="none" w:sz="0" w:space="0" w:color="auto"/>
        <w:bottom w:val="none" w:sz="0" w:space="0" w:color="auto"/>
        <w:right w:val="none" w:sz="0" w:space="0" w:color="auto"/>
      </w:divBdr>
    </w:div>
    <w:div w:id="1575504230">
      <w:bodyDiv w:val="1"/>
      <w:marLeft w:val="0"/>
      <w:marRight w:val="0"/>
      <w:marTop w:val="0"/>
      <w:marBottom w:val="0"/>
      <w:divBdr>
        <w:top w:val="none" w:sz="0" w:space="0" w:color="auto"/>
        <w:left w:val="none" w:sz="0" w:space="0" w:color="auto"/>
        <w:bottom w:val="none" w:sz="0" w:space="0" w:color="auto"/>
        <w:right w:val="none" w:sz="0" w:space="0" w:color="auto"/>
      </w:divBdr>
    </w:div>
    <w:div w:id="1581014124">
      <w:bodyDiv w:val="1"/>
      <w:marLeft w:val="0"/>
      <w:marRight w:val="0"/>
      <w:marTop w:val="0"/>
      <w:marBottom w:val="0"/>
      <w:divBdr>
        <w:top w:val="none" w:sz="0" w:space="0" w:color="auto"/>
        <w:left w:val="none" w:sz="0" w:space="0" w:color="auto"/>
        <w:bottom w:val="none" w:sz="0" w:space="0" w:color="auto"/>
        <w:right w:val="none" w:sz="0" w:space="0" w:color="auto"/>
      </w:divBdr>
    </w:div>
    <w:div w:id="1646549813">
      <w:bodyDiv w:val="1"/>
      <w:marLeft w:val="0"/>
      <w:marRight w:val="0"/>
      <w:marTop w:val="0"/>
      <w:marBottom w:val="0"/>
      <w:divBdr>
        <w:top w:val="none" w:sz="0" w:space="0" w:color="auto"/>
        <w:left w:val="none" w:sz="0" w:space="0" w:color="auto"/>
        <w:bottom w:val="none" w:sz="0" w:space="0" w:color="auto"/>
        <w:right w:val="none" w:sz="0" w:space="0" w:color="auto"/>
      </w:divBdr>
    </w:div>
    <w:div w:id="1653676772">
      <w:bodyDiv w:val="1"/>
      <w:marLeft w:val="0"/>
      <w:marRight w:val="0"/>
      <w:marTop w:val="0"/>
      <w:marBottom w:val="0"/>
      <w:divBdr>
        <w:top w:val="none" w:sz="0" w:space="0" w:color="auto"/>
        <w:left w:val="none" w:sz="0" w:space="0" w:color="auto"/>
        <w:bottom w:val="none" w:sz="0" w:space="0" w:color="auto"/>
        <w:right w:val="none" w:sz="0" w:space="0" w:color="auto"/>
      </w:divBdr>
    </w:div>
    <w:div w:id="1707943169">
      <w:bodyDiv w:val="1"/>
      <w:marLeft w:val="0"/>
      <w:marRight w:val="0"/>
      <w:marTop w:val="0"/>
      <w:marBottom w:val="0"/>
      <w:divBdr>
        <w:top w:val="none" w:sz="0" w:space="0" w:color="auto"/>
        <w:left w:val="none" w:sz="0" w:space="0" w:color="auto"/>
        <w:bottom w:val="none" w:sz="0" w:space="0" w:color="auto"/>
        <w:right w:val="none" w:sz="0" w:space="0" w:color="auto"/>
      </w:divBdr>
    </w:div>
    <w:div w:id="1755853594">
      <w:bodyDiv w:val="1"/>
      <w:marLeft w:val="0"/>
      <w:marRight w:val="0"/>
      <w:marTop w:val="0"/>
      <w:marBottom w:val="0"/>
      <w:divBdr>
        <w:top w:val="none" w:sz="0" w:space="0" w:color="auto"/>
        <w:left w:val="none" w:sz="0" w:space="0" w:color="auto"/>
        <w:bottom w:val="none" w:sz="0" w:space="0" w:color="auto"/>
        <w:right w:val="none" w:sz="0" w:space="0" w:color="auto"/>
      </w:divBdr>
    </w:div>
    <w:div w:id="1764380286">
      <w:bodyDiv w:val="1"/>
      <w:marLeft w:val="0"/>
      <w:marRight w:val="0"/>
      <w:marTop w:val="0"/>
      <w:marBottom w:val="0"/>
      <w:divBdr>
        <w:top w:val="none" w:sz="0" w:space="0" w:color="auto"/>
        <w:left w:val="none" w:sz="0" w:space="0" w:color="auto"/>
        <w:bottom w:val="none" w:sz="0" w:space="0" w:color="auto"/>
        <w:right w:val="none" w:sz="0" w:space="0" w:color="auto"/>
      </w:divBdr>
      <w:divsChild>
        <w:div w:id="1169249408">
          <w:marLeft w:val="0"/>
          <w:marRight w:val="0"/>
          <w:marTop w:val="0"/>
          <w:marBottom w:val="0"/>
          <w:divBdr>
            <w:top w:val="none" w:sz="0" w:space="0" w:color="auto"/>
            <w:left w:val="none" w:sz="0" w:space="0" w:color="auto"/>
            <w:bottom w:val="none" w:sz="0" w:space="0" w:color="auto"/>
            <w:right w:val="none" w:sz="0" w:space="0" w:color="auto"/>
          </w:divBdr>
        </w:div>
        <w:div w:id="1569536437">
          <w:marLeft w:val="0"/>
          <w:marRight w:val="0"/>
          <w:marTop w:val="0"/>
          <w:marBottom w:val="0"/>
          <w:divBdr>
            <w:top w:val="none" w:sz="0" w:space="0" w:color="auto"/>
            <w:left w:val="none" w:sz="0" w:space="0" w:color="auto"/>
            <w:bottom w:val="none" w:sz="0" w:space="0" w:color="auto"/>
            <w:right w:val="none" w:sz="0" w:space="0" w:color="auto"/>
          </w:divBdr>
        </w:div>
      </w:divsChild>
    </w:div>
    <w:div w:id="1796364876">
      <w:bodyDiv w:val="1"/>
      <w:marLeft w:val="0"/>
      <w:marRight w:val="0"/>
      <w:marTop w:val="0"/>
      <w:marBottom w:val="0"/>
      <w:divBdr>
        <w:top w:val="none" w:sz="0" w:space="0" w:color="auto"/>
        <w:left w:val="none" w:sz="0" w:space="0" w:color="auto"/>
        <w:bottom w:val="none" w:sz="0" w:space="0" w:color="auto"/>
        <w:right w:val="none" w:sz="0" w:space="0" w:color="auto"/>
      </w:divBdr>
    </w:div>
    <w:div w:id="1844709064">
      <w:bodyDiv w:val="1"/>
      <w:marLeft w:val="0"/>
      <w:marRight w:val="0"/>
      <w:marTop w:val="0"/>
      <w:marBottom w:val="0"/>
      <w:divBdr>
        <w:top w:val="none" w:sz="0" w:space="0" w:color="auto"/>
        <w:left w:val="none" w:sz="0" w:space="0" w:color="auto"/>
        <w:bottom w:val="none" w:sz="0" w:space="0" w:color="auto"/>
        <w:right w:val="none" w:sz="0" w:space="0" w:color="auto"/>
      </w:divBdr>
    </w:div>
    <w:div w:id="1860971564">
      <w:bodyDiv w:val="1"/>
      <w:marLeft w:val="0"/>
      <w:marRight w:val="0"/>
      <w:marTop w:val="0"/>
      <w:marBottom w:val="0"/>
      <w:divBdr>
        <w:top w:val="none" w:sz="0" w:space="0" w:color="auto"/>
        <w:left w:val="none" w:sz="0" w:space="0" w:color="auto"/>
        <w:bottom w:val="none" w:sz="0" w:space="0" w:color="auto"/>
        <w:right w:val="none" w:sz="0" w:space="0" w:color="auto"/>
      </w:divBdr>
    </w:div>
    <w:div w:id="1864631966">
      <w:bodyDiv w:val="1"/>
      <w:marLeft w:val="0"/>
      <w:marRight w:val="0"/>
      <w:marTop w:val="0"/>
      <w:marBottom w:val="0"/>
      <w:divBdr>
        <w:top w:val="none" w:sz="0" w:space="0" w:color="auto"/>
        <w:left w:val="none" w:sz="0" w:space="0" w:color="auto"/>
        <w:bottom w:val="none" w:sz="0" w:space="0" w:color="auto"/>
        <w:right w:val="none" w:sz="0" w:space="0" w:color="auto"/>
      </w:divBdr>
    </w:div>
    <w:div w:id="1881505516">
      <w:bodyDiv w:val="1"/>
      <w:marLeft w:val="0"/>
      <w:marRight w:val="0"/>
      <w:marTop w:val="0"/>
      <w:marBottom w:val="0"/>
      <w:divBdr>
        <w:top w:val="none" w:sz="0" w:space="0" w:color="auto"/>
        <w:left w:val="none" w:sz="0" w:space="0" w:color="auto"/>
        <w:bottom w:val="none" w:sz="0" w:space="0" w:color="auto"/>
        <w:right w:val="none" w:sz="0" w:space="0" w:color="auto"/>
      </w:divBdr>
    </w:div>
    <w:div w:id="1898278350">
      <w:bodyDiv w:val="1"/>
      <w:marLeft w:val="0"/>
      <w:marRight w:val="0"/>
      <w:marTop w:val="0"/>
      <w:marBottom w:val="0"/>
      <w:divBdr>
        <w:top w:val="none" w:sz="0" w:space="0" w:color="auto"/>
        <w:left w:val="none" w:sz="0" w:space="0" w:color="auto"/>
        <w:bottom w:val="none" w:sz="0" w:space="0" w:color="auto"/>
        <w:right w:val="none" w:sz="0" w:space="0" w:color="auto"/>
      </w:divBdr>
      <w:divsChild>
        <w:div w:id="2114519567">
          <w:marLeft w:val="0"/>
          <w:marRight w:val="0"/>
          <w:marTop w:val="0"/>
          <w:marBottom w:val="0"/>
          <w:divBdr>
            <w:top w:val="none" w:sz="0" w:space="0" w:color="auto"/>
            <w:left w:val="none" w:sz="0" w:space="0" w:color="auto"/>
            <w:bottom w:val="none" w:sz="0" w:space="0" w:color="auto"/>
            <w:right w:val="none" w:sz="0" w:space="0" w:color="auto"/>
          </w:divBdr>
        </w:div>
        <w:div w:id="336617682">
          <w:marLeft w:val="0"/>
          <w:marRight w:val="0"/>
          <w:marTop w:val="0"/>
          <w:marBottom w:val="0"/>
          <w:divBdr>
            <w:top w:val="none" w:sz="0" w:space="0" w:color="auto"/>
            <w:left w:val="none" w:sz="0" w:space="0" w:color="auto"/>
            <w:bottom w:val="none" w:sz="0" w:space="0" w:color="auto"/>
            <w:right w:val="none" w:sz="0" w:space="0" w:color="auto"/>
          </w:divBdr>
        </w:div>
        <w:div w:id="2042168916">
          <w:marLeft w:val="0"/>
          <w:marRight w:val="0"/>
          <w:marTop w:val="0"/>
          <w:marBottom w:val="0"/>
          <w:divBdr>
            <w:top w:val="none" w:sz="0" w:space="0" w:color="auto"/>
            <w:left w:val="none" w:sz="0" w:space="0" w:color="auto"/>
            <w:bottom w:val="none" w:sz="0" w:space="0" w:color="auto"/>
            <w:right w:val="none" w:sz="0" w:space="0" w:color="auto"/>
          </w:divBdr>
        </w:div>
        <w:div w:id="1258294523">
          <w:marLeft w:val="0"/>
          <w:marRight w:val="0"/>
          <w:marTop w:val="0"/>
          <w:marBottom w:val="0"/>
          <w:divBdr>
            <w:top w:val="none" w:sz="0" w:space="0" w:color="auto"/>
            <w:left w:val="none" w:sz="0" w:space="0" w:color="auto"/>
            <w:bottom w:val="none" w:sz="0" w:space="0" w:color="auto"/>
            <w:right w:val="none" w:sz="0" w:space="0" w:color="auto"/>
          </w:divBdr>
        </w:div>
        <w:div w:id="1963612572">
          <w:marLeft w:val="0"/>
          <w:marRight w:val="0"/>
          <w:marTop w:val="0"/>
          <w:marBottom w:val="0"/>
          <w:divBdr>
            <w:top w:val="none" w:sz="0" w:space="0" w:color="auto"/>
            <w:left w:val="none" w:sz="0" w:space="0" w:color="auto"/>
            <w:bottom w:val="none" w:sz="0" w:space="0" w:color="auto"/>
            <w:right w:val="none" w:sz="0" w:space="0" w:color="auto"/>
          </w:divBdr>
        </w:div>
        <w:div w:id="1274022593">
          <w:marLeft w:val="0"/>
          <w:marRight w:val="0"/>
          <w:marTop w:val="0"/>
          <w:marBottom w:val="0"/>
          <w:divBdr>
            <w:top w:val="none" w:sz="0" w:space="0" w:color="auto"/>
            <w:left w:val="none" w:sz="0" w:space="0" w:color="auto"/>
            <w:bottom w:val="none" w:sz="0" w:space="0" w:color="auto"/>
            <w:right w:val="none" w:sz="0" w:space="0" w:color="auto"/>
          </w:divBdr>
        </w:div>
        <w:div w:id="284852082">
          <w:marLeft w:val="0"/>
          <w:marRight w:val="0"/>
          <w:marTop w:val="0"/>
          <w:marBottom w:val="0"/>
          <w:divBdr>
            <w:top w:val="none" w:sz="0" w:space="0" w:color="auto"/>
            <w:left w:val="none" w:sz="0" w:space="0" w:color="auto"/>
            <w:bottom w:val="none" w:sz="0" w:space="0" w:color="auto"/>
            <w:right w:val="none" w:sz="0" w:space="0" w:color="auto"/>
          </w:divBdr>
        </w:div>
        <w:div w:id="1654672814">
          <w:marLeft w:val="0"/>
          <w:marRight w:val="0"/>
          <w:marTop w:val="0"/>
          <w:marBottom w:val="0"/>
          <w:divBdr>
            <w:top w:val="none" w:sz="0" w:space="0" w:color="auto"/>
            <w:left w:val="none" w:sz="0" w:space="0" w:color="auto"/>
            <w:bottom w:val="none" w:sz="0" w:space="0" w:color="auto"/>
            <w:right w:val="none" w:sz="0" w:space="0" w:color="auto"/>
          </w:divBdr>
        </w:div>
        <w:div w:id="757098499">
          <w:marLeft w:val="0"/>
          <w:marRight w:val="0"/>
          <w:marTop w:val="0"/>
          <w:marBottom w:val="0"/>
          <w:divBdr>
            <w:top w:val="none" w:sz="0" w:space="0" w:color="auto"/>
            <w:left w:val="none" w:sz="0" w:space="0" w:color="auto"/>
            <w:bottom w:val="none" w:sz="0" w:space="0" w:color="auto"/>
            <w:right w:val="none" w:sz="0" w:space="0" w:color="auto"/>
          </w:divBdr>
        </w:div>
      </w:divsChild>
    </w:div>
    <w:div w:id="1906182711">
      <w:bodyDiv w:val="1"/>
      <w:marLeft w:val="0"/>
      <w:marRight w:val="0"/>
      <w:marTop w:val="0"/>
      <w:marBottom w:val="0"/>
      <w:divBdr>
        <w:top w:val="none" w:sz="0" w:space="0" w:color="auto"/>
        <w:left w:val="none" w:sz="0" w:space="0" w:color="auto"/>
        <w:bottom w:val="none" w:sz="0" w:space="0" w:color="auto"/>
        <w:right w:val="none" w:sz="0" w:space="0" w:color="auto"/>
      </w:divBdr>
    </w:div>
    <w:div w:id="1906262205">
      <w:bodyDiv w:val="1"/>
      <w:marLeft w:val="0"/>
      <w:marRight w:val="0"/>
      <w:marTop w:val="0"/>
      <w:marBottom w:val="0"/>
      <w:divBdr>
        <w:top w:val="none" w:sz="0" w:space="0" w:color="auto"/>
        <w:left w:val="none" w:sz="0" w:space="0" w:color="auto"/>
        <w:bottom w:val="none" w:sz="0" w:space="0" w:color="auto"/>
        <w:right w:val="none" w:sz="0" w:space="0" w:color="auto"/>
      </w:divBdr>
    </w:div>
    <w:div w:id="1918899996">
      <w:bodyDiv w:val="1"/>
      <w:marLeft w:val="0"/>
      <w:marRight w:val="0"/>
      <w:marTop w:val="0"/>
      <w:marBottom w:val="0"/>
      <w:divBdr>
        <w:top w:val="none" w:sz="0" w:space="0" w:color="auto"/>
        <w:left w:val="none" w:sz="0" w:space="0" w:color="auto"/>
        <w:bottom w:val="none" w:sz="0" w:space="0" w:color="auto"/>
        <w:right w:val="none" w:sz="0" w:space="0" w:color="auto"/>
      </w:divBdr>
    </w:div>
    <w:div w:id="1940021503">
      <w:bodyDiv w:val="1"/>
      <w:marLeft w:val="0"/>
      <w:marRight w:val="0"/>
      <w:marTop w:val="0"/>
      <w:marBottom w:val="0"/>
      <w:divBdr>
        <w:top w:val="none" w:sz="0" w:space="0" w:color="auto"/>
        <w:left w:val="none" w:sz="0" w:space="0" w:color="auto"/>
        <w:bottom w:val="none" w:sz="0" w:space="0" w:color="auto"/>
        <w:right w:val="none" w:sz="0" w:space="0" w:color="auto"/>
      </w:divBdr>
    </w:div>
    <w:div w:id="1952545976">
      <w:bodyDiv w:val="1"/>
      <w:marLeft w:val="0"/>
      <w:marRight w:val="0"/>
      <w:marTop w:val="0"/>
      <w:marBottom w:val="0"/>
      <w:divBdr>
        <w:top w:val="none" w:sz="0" w:space="0" w:color="auto"/>
        <w:left w:val="none" w:sz="0" w:space="0" w:color="auto"/>
        <w:bottom w:val="none" w:sz="0" w:space="0" w:color="auto"/>
        <w:right w:val="none" w:sz="0" w:space="0" w:color="auto"/>
      </w:divBdr>
    </w:div>
    <w:div w:id="1960136748">
      <w:bodyDiv w:val="1"/>
      <w:marLeft w:val="0"/>
      <w:marRight w:val="0"/>
      <w:marTop w:val="0"/>
      <w:marBottom w:val="0"/>
      <w:divBdr>
        <w:top w:val="none" w:sz="0" w:space="0" w:color="auto"/>
        <w:left w:val="none" w:sz="0" w:space="0" w:color="auto"/>
        <w:bottom w:val="none" w:sz="0" w:space="0" w:color="auto"/>
        <w:right w:val="none" w:sz="0" w:space="0" w:color="auto"/>
      </w:divBdr>
    </w:div>
    <w:div w:id="1973250166">
      <w:bodyDiv w:val="1"/>
      <w:marLeft w:val="0"/>
      <w:marRight w:val="0"/>
      <w:marTop w:val="0"/>
      <w:marBottom w:val="0"/>
      <w:divBdr>
        <w:top w:val="none" w:sz="0" w:space="0" w:color="auto"/>
        <w:left w:val="none" w:sz="0" w:space="0" w:color="auto"/>
        <w:bottom w:val="none" w:sz="0" w:space="0" w:color="auto"/>
        <w:right w:val="none" w:sz="0" w:space="0" w:color="auto"/>
      </w:divBdr>
    </w:div>
    <w:div w:id="1992519394">
      <w:bodyDiv w:val="1"/>
      <w:marLeft w:val="0"/>
      <w:marRight w:val="0"/>
      <w:marTop w:val="0"/>
      <w:marBottom w:val="0"/>
      <w:divBdr>
        <w:top w:val="none" w:sz="0" w:space="0" w:color="auto"/>
        <w:left w:val="none" w:sz="0" w:space="0" w:color="auto"/>
        <w:bottom w:val="none" w:sz="0" w:space="0" w:color="auto"/>
        <w:right w:val="none" w:sz="0" w:space="0" w:color="auto"/>
      </w:divBdr>
    </w:div>
    <w:div w:id="1997220017">
      <w:bodyDiv w:val="1"/>
      <w:marLeft w:val="0"/>
      <w:marRight w:val="0"/>
      <w:marTop w:val="0"/>
      <w:marBottom w:val="0"/>
      <w:divBdr>
        <w:top w:val="none" w:sz="0" w:space="0" w:color="auto"/>
        <w:left w:val="none" w:sz="0" w:space="0" w:color="auto"/>
        <w:bottom w:val="none" w:sz="0" w:space="0" w:color="auto"/>
        <w:right w:val="none" w:sz="0" w:space="0" w:color="auto"/>
      </w:divBdr>
    </w:div>
    <w:div w:id="2003190810">
      <w:bodyDiv w:val="1"/>
      <w:marLeft w:val="0"/>
      <w:marRight w:val="0"/>
      <w:marTop w:val="0"/>
      <w:marBottom w:val="0"/>
      <w:divBdr>
        <w:top w:val="none" w:sz="0" w:space="0" w:color="auto"/>
        <w:left w:val="none" w:sz="0" w:space="0" w:color="auto"/>
        <w:bottom w:val="none" w:sz="0" w:space="0" w:color="auto"/>
        <w:right w:val="none" w:sz="0" w:space="0" w:color="auto"/>
      </w:divBdr>
      <w:divsChild>
        <w:div w:id="519009187">
          <w:marLeft w:val="0"/>
          <w:marRight w:val="0"/>
          <w:marTop w:val="0"/>
          <w:marBottom w:val="0"/>
          <w:divBdr>
            <w:top w:val="none" w:sz="0" w:space="0" w:color="auto"/>
            <w:left w:val="none" w:sz="0" w:space="0" w:color="auto"/>
            <w:bottom w:val="none" w:sz="0" w:space="0" w:color="auto"/>
            <w:right w:val="none" w:sz="0" w:space="0" w:color="auto"/>
          </w:divBdr>
        </w:div>
        <w:div w:id="1348825249">
          <w:marLeft w:val="0"/>
          <w:marRight w:val="0"/>
          <w:marTop w:val="0"/>
          <w:marBottom w:val="0"/>
          <w:divBdr>
            <w:top w:val="none" w:sz="0" w:space="0" w:color="auto"/>
            <w:left w:val="none" w:sz="0" w:space="0" w:color="auto"/>
            <w:bottom w:val="none" w:sz="0" w:space="0" w:color="auto"/>
            <w:right w:val="none" w:sz="0" w:space="0" w:color="auto"/>
          </w:divBdr>
        </w:div>
        <w:div w:id="2113626432">
          <w:marLeft w:val="0"/>
          <w:marRight w:val="0"/>
          <w:marTop w:val="0"/>
          <w:marBottom w:val="0"/>
          <w:divBdr>
            <w:top w:val="none" w:sz="0" w:space="0" w:color="auto"/>
            <w:left w:val="none" w:sz="0" w:space="0" w:color="auto"/>
            <w:bottom w:val="none" w:sz="0" w:space="0" w:color="auto"/>
            <w:right w:val="none" w:sz="0" w:space="0" w:color="auto"/>
          </w:divBdr>
        </w:div>
        <w:div w:id="159927757">
          <w:marLeft w:val="0"/>
          <w:marRight w:val="0"/>
          <w:marTop w:val="0"/>
          <w:marBottom w:val="0"/>
          <w:divBdr>
            <w:top w:val="none" w:sz="0" w:space="0" w:color="auto"/>
            <w:left w:val="none" w:sz="0" w:space="0" w:color="auto"/>
            <w:bottom w:val="none" w:sz="0" w:space="0" w:color="auto"/>
            <w:right w:val="none" w:sz="0" w:space="0" w:color="auto"/>
          </w:divBdr>
        </w:div>
        <w:div w:id="1283149752">
          <w:marLeft w:val="0"/>
          <w:marRight w:val="0"/>
          <w:marTop w:val="0"/>
          <w:marBottom w:val="0"/>
          <w:divBdr>
            <w:top w:val="none" w:sz="0" w:space="0" w:color="auto"/>
            <w:left w:val="none" w:sz="0" w:space="0" w:color="auto"/>
            <w:bottom w:val="none" w:sz="0" w:space="0" w:color="auto"/>
            <w:right w:val="none" w:sz="0" w:space="0" w:color="auto"/>
          </w:divBdr>
        </w:div>
        <w:div w:id="1921520733">
          <w:marLeft w:val="0"/>
          <w:marRight w:val="0"/>
          <w:marTop w:val="0"/>
          <w:marBottom w:val="0"/>
          <w:divBdr>
            <w:top w:val="none" w:sz="0" w:space="0" w:color="auto"/>
            <w:left w:val="none" w:sz="0" w:space="0" w:color="auto"/>
            <w:bottom w:val="none" w:sz="0" w:space="0" w:color="auto"/>
            <w:right w:val="none" w:sz="0" w:space="0" w:color="auto"/>
          </w:divBdr>
        </w:div>
        <w:div w:id="794064092">
          <w:marLeft w:val="0"/>
          <w:marRight w:val="0"/>
          <w:marTop w:val="0"/>
          <w:marBottom w:val="0"/>
          <w:divBdr>
            <w:top w:val="none" w:sz="0" w:space="0" w:color="auto"/>
            <w:left w:val="none" w:sz="0" w:space="0" w:color="auto"/>
            <w:bottom w:val="none" w:sz="0" w:space="0" w:color="auto"/>
            <w:right w:val="none" w:sz="0" w:space="0" w:color="auto"/>
          </w:divBdr>
        </w:div>
        <w:div w:id="1127089439">
          <w:marLeft w:val="0"/>
          <w:marRight w:val="0"/>
          <w:marTop w:val="0"/>
          <w:marBottom w:val="0"/>
          <w:divBdr>
            <w:top w:val="none" w:sz="0" w:space="0" w:color="auto"/>
            <w:left w:val="none" w:sz="0" w:space="0" w:color="auto"/>
            <w:bottom w:val="none" w:sz="0" w:space="0" w:color="auto"/>
            <w:right w:val="none" w:sz="0" w:space="0" w:color="auto"/>
          </w:divBdr>
        </w:div>
        <w:div w:id="2143187502">
          <w:marLeft w:val="0"/>
          <w:marRight w:val="0"/>
          <w:marTop w:val="0"/>
          <w:marBottom w:val="0"/>
          <w:divBdr>
            <w:top w:val="none" w:sz="0" w:space="0" w:color="auto"/>
            <w:left w:val="none" w:sz="0" w:space="0" w:color="auto"/>
            <w:bottom w:val="none" w:sz="0" w:space="0" w:color="auto"/>
            <w:right w:val="none" w:sz="0" w:space="0" w:color="auto"/>
          </w:divBdr>
        </w:div>
      </w:divsChild>
    </w:div>
    <w:div w:id="2066374031">
      <w:bodyDiv w:val="1"/>
      <w:marLeft w:val="0"/>
      <w:marRight w:val="0"/>
      <w:marTop w:val="0"/>
      <w:marBottom w:val="0"/>
      <w:divBdr>
        <w:top w:val="none" w:sz="0" w:space="0" w:color="auto"/>
        <w:left w:val="none" w:sz="0" w:space="0" w:color="auto"/>
        <w:bottom w:val="none" w:sz="0" w:space="0" w:color="auto"/>
        <w:right w:val="none" w:sz="0" w:space="0" w:color="auto"/>
      </w:divBdr>
    </w:div>
    <w:div w:id="2078085203">
      <w:bodyDiv w:val="1"/>
      <w:marLeft w:val="0"/>
      <w:marRight w:val="0"/>
      <w:marTop w:val="0"/>
      <w:marBottom w:val="0"/>
      <w:divBdr>
        <w:top w:val="none" w:sz="0" w:space="0" w:color="auto"/>
        <w:left w:val="none" w:sz="0" w:space="0" w:color="auto"/>
        <w:bottom w:val="none" w:sz="0" w:space="0" w:color="auto"/>
        <w:right w:val="none" w:sz="0" w:space="0" w:color="auto"/>
      </w:divBdr>
    </w:div>
    <w:div w:id="2080790485">
      <w:bodyDiv w:val="1"/>
      <w:marLeft w:val="0"/>
      <w:marRight w:val="0"/>
      <w:marTop w:val="0"/>
      <w:marBottom w:val="0"/>
      <w:divBdr>
        <w:top w:val="none" w:sz="0" w:space="0" w:color="auto"/>
        <w:left w:val="none" w:sz="0" w:space="0" w:color="auto"/>
        <w:bottom w:val="none" w:sz="0" w:space="0" w:color="auto"/>
        <w:right w:val="none" w:sz="0" w:space="0" w:color="auto"/>
      </w:divBdr>
    </w:div>
    <w:div w:id="2101103774">
      <w:bodyDiv w:val="1"/>
      <w:marLeft w:val="0"/>
      <w:marRight w:val="0"/>
      <w:marTop w:val="0"/>
      <w:marBottom w:val="0"/>
      <w:divBdr>
        <w:top w:val="none" w:sz="0" w:space="0" w:color="auto"/>
        <w:left w:val="none" w:sz="0" w:space="0" w:color="auto"/>
        <w:bottom w:val="none" w:sz="0" w:space="0" w:color="auto"/>
        <w:right w:val="none" w:sz="0" w:space="0" w:color="auto"/>
      </w:divBdr>
    </w:div>
    <w:div w:id="2119980974">
      <w:bodyDiv w:val="1"/>
      <w:marLeft w:val="0"/>
      <w:marRight w:val="0"/>
      <w:marTop w:val="0"/>
      <w:marBottom w:val="0"/>
      <w:divBdr>
        <w:top w:val="none" w:sz="0" w:space="0" w:color="auto"/>
        <w:left w:val="none" w:sz="0" w:space="0" w:color="auto"/>
        <w:bottom w:val="none" w:sz="0" w:space="0" w:color="auto"/>
        <w:right w:val="none" w:sz="0" w:space="0" w:color="auto"/>
      </w:divBdr>
      <w:divsChild>
        <w:div w:id="792359140">
          <w:marLeft w:val="0"/>
          <w:marRight w:val="0"/>
          <w:marTop w:val="0"/>
          <w:marBottom w:val="0"/>
          <w:divBdr>
            <w:top w:val="none" w:sz="0" w:space="0" w:color="auto"/>
            <w:left w:val="none" w:sz="0" w:space="0" w:color="auto"/>
            <w:bottom w:val="none" w:sz="0" w:space="0" w:color="auto"/>
            <w:right w:val="none" w:sz="0" w:space="0" w:color="auto"/>
          </w:divBdr>
        </w:div>
        <w:div w:id="80605272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evenkamp@bioconsult.de" TargetMode="External"/><Relationship Id="rId13" Type="http://schemas.openxmlformats.org/officeDocument/2006/relationships/hyperlink" Target="mailto:erimon@noc.ac.uk" TargetMode="External"/><Relationship Id="rId18" Type="http://schemas.openxmlformats.org/officeDocument/2006/relationships/hyperlink" Target="https://opencv.org/"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3.tiff"/><Relationship Id="rId7" Type="http://schemas.openxmlformats.org/officeDocument/2006/relationships/endnotes" Target="endnotes.xml"/><Relationship Id="rId12" Type="http://schemas.openxmlformats.org/officeDocument/2006/relationships/hyperlink" Target="mailto:bart.de.smet@vliz.be" TargetMode="External"/><Relationship Id="rId17" Type="http://schemas.openxmlformats.org/officeDocument/2006/relationships/image" Target="media/image1.jpg"/><Relationship Id="rId25" Type="http://schemas.openxmlformats.org/officeDocument/2006/relationships/image" Target="media/image6.jpg"/><Relationship Id="rId2" Type="http://schemas.openxmlformats.org/officeDocument/2006/relationships/numbering" Target="numbering.xml"/><Relationship Id="rId16" Type="http://schemas.openxmlformats.org/officeDocument/2006/relationships/hyperlink" Target="http://www.isa.org.jm" TargetMode="External"/><Relationship Id="rId20" Type="http://schemas.openxmlformats.org/officeDocument/2006/relationships/image" Target="media/image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ann.vanreusel@ugent.be" TargetMode="External"/><Relationship Id="rId24" Type="http://schemas.openxmlformats.org/officeDocument/2006/relationships/image" Target="media/image5.jpg"/><Relationship Id="rId5" Type="http://schemas.openxmlformats.org/officeDocument/2006/relationships/webSettings" Target="webSettings.xml"/><Relationship Id="rId15" Type="http://schemas.openxmlformats.org/officeDocument/2006/relationships/hyperlink" Target="mailto:bart.de.smet@vliz.be" TargetMode="External"/><Relationship Id="rId23" Type="http://schemas.openxmlformats.org/officeDocument/2006/relationships/image" Target="media/image4.jpg"/><Relationship Id="rId10" Type="http://schemas.openxmlformats.org/officeDocument/2006/relationships/hyperlink" Target="mailto:francesca.pasotti@ugent.be" TargetMode="External"/><Relationship Id="rId19" Type="http://schemas.openxmlformats.org/officeDocument/2006/relationships/hyperlink" Target="https://scikit-image.org/" TargetMode="External"/><Relationship Id="rId4" Type="http://schemas.openxmlformats.org/officeDocument/2006/relationships/settings" Target="settings.xml"/><Relationship Id="rId9" Type="http://schemas.openxmlformats.org/officeDocument/2006/relationships/hyperlink" Target="mailto:ellen.pape@ugent.be" TargetMode="External"/><Relationship Id="rId14" Type="http://schemas.openxmlformats.org/officeDocument/2006/relationships/hyperlink" Target="mailto:dj1@noc.ac.uk" TargetMode="External"/><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E9BD33-B565-4B8E-9945-98AD5CFA6A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33</Pages>
  <Words>36145</Words>
  <Characters>206032</Characters>
  <Application>Microsoft Office Word</Application>
  <DocSecurity>0</DocSecurity>
  <Lines>1716</Lines>
  <Paragraphs>483</Paragraphs>
  <ScaleCrop>false</ScaleCrop>
  <HeadingPairs>
    <vt:vector size="2" baseType="variant">
      <vt:variant>
        <vt:lpstr>Title</vt:lpstr>
      </vt:variant>
      <vt:variant>
        <vt:i4>1</vt:i4>
      </vt:variant>
    </vt:vector>
  </HeadingPairs>
  <TitlesOfParts>
    <vt:vector size="1" baseType="lpstr">
      <vt:lpstr/>
    </vt:vector>
  </TitlesOfParts>
  <Company>UGent</Company>
  <LinksUpToDate>false</LinksUpToDate>
  <CharactersWithSpaces>241694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Bart De Smet</dc:creator>
  <cp:lastModifiedBy>Bart De Smet</cp:lastModifiedBy>
  <cp:revision>19</cp:revision>
  <cp:lastPrinted>2019-08-23T09:47:00Z</cp:lastPrinted>
  <dcterms:created xsi:type="dcterms:W3CDTF">2021-01-29T10:45:00Z</dcterms:created>
  <dcterms:modified xsi:type="dcterms:W3CDTF">2021-01-29T15:03:00Z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zotero-version="5.0.95.1"&gt;&lt;session id="ZQeM7Wy2"/&gt;&lt;style id="http://www.zotero.org/styles/frontiers-in-marine-science" hasBibliography="1" bibliographyStyleHasBeenSet="1"/&gt;&lt;prefs&gt;&lt;pref name="fieldType" value="Field"/&gt;&lt;pref name="sto</vt:lpwstr>
  </property>
  <property fmtid="{D5CDD505-2E9C-101B-9397-08002B2CF9AE}" pid="3" name="ZOTERO_PREF_2">
    <vt:lpwstr>reReferences" value="true"/&gt;&lt;pref name="automaticJournalAbbreviations" value="true"/&gt;&lt;/prefs&gt;&lt;/data&gt;</vt:lpwstr>
  </property>
</Properties>
</file>