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49F" w:rsidRPr="00F62056" w:rsidRDefault="000C149F" w:rsidP="008A0E05">
      <w:pPr>
        <w:spacing w:line="480" w:lineRule="auto"/>
        <w:rPr>
          <w:rFonts w:ascii="Times New Roman" w:hAnsi="Times New Roman" w:cs="Times New Roman"/>
          <w:b/>
          <w:sz w:val="24"/>
          <w:szCs w:val="24"/>
        </w:rPr>
      </w:pPr>
      <w:r w:rsidRPr="00C44564">
        <w:rPr>
          <w:rFonts w:ascii="Times New Roman" w:hAnsi="Times New Roman" w:cs="Times New Roman"/>
          <w:sz w:val="24"/>
          <w:szCs w:val="24"/>
        </w:rPr>
        <w:t>Title</w:t>
      </w:r>
      <w:r>
        <w:rPr>
          <w:rFonts w:ascii="Times New Roman" w:hAnsi="Times New Roman" w:cs="Times New Roman"/>
          <w:b/>
          <w:sz w:val="24"/>
          <w:szCs w:val="24"/>
        </w:rPr>
        <w:t xml:space="preserve">: </w:t>
      </w:r>
      <w:bookmarkStart w:id="0" w:name="_GoBack"/>
      <w:r w:rsidRPr="00F62056">
        <w:rPr>
          <w:rFonts w:ascii="Times New Roman" w:hAnsi="Times New Roman" w:cs="Times New Roman"/>
          <w:b/>
          <w:sz w:val="24"/>
          <w:szCs w:val="24"/>
        </w:rPr>
        <w:t xml:space="preserve">Status and trends of terrestrial arthropod </w:t>
      </w:r>
      <w:r>
        <w:rPr>
          <w:rFonts w:ascii="Times New Roman" w:hAnsi="Times New Roman" w:cs="Times New Roman"/>
          <w:b/>
          <w:sz w:val="24"/>
          <w:szCs w:val="24"/>
        </w:rPr>
        <w:t xml:space="preserve">abundance </w:t>
      </w:r>
      <w:bookmarkEnd w:id="0"/>
      <w:r>
        <w:rPr>
          <w:rFonts w:ascii="Times New Roman" w:hAnsi="Times New Roman" w:cs="Times New Roman"/>
          <w:b/>
          <w:sz w:val="24"/>
          <w:szCs w:val="24"/>
        </w:rPr>
        <w:t xml:space="preserve">and </w:t>
      </w:r>
      <w:r w:rsidRPr="00F62056">
        <w:rPr>
          <w:rFonts w:ascii="Times New Roman" w:hAnsi="Times New Roman" w:cs="Times New Roman"/>
          <w:b/>
          <w:sz w:val="24"/>
          <w:szCs w:val="24"/>
        </w:rPr>
        <w:t>diversity</w:t>
      </w:r>
      <w:r>
        <w:rPr>
          <w:rFonts w:ascii="Times New Roman" w:hAnsi="Times New Roman" w:cs="Times New Roman"/>
          <w:b/>
          <w:sz w:val="24"/>
          <w:szCs w:val="24"/>
        </w:rPr>
        <w:t xml:space="preserve"> in </w:t>
      </w:r>
      <w:r w:rsidRPr="00F62056">
        <w:rPr>
          <w:rFonts w:ascii="Times New Roman" w:hAnsi="Times New Roman" w:cs="Times New Roman"/>
          <w:b/>
          <w:sz w:val="24"/>
          <w:szCs w:val="24"/>
        </w:rPr>
        <w:t>the North Atlantic region</w:t>
      </w:r>
      <w:r>
        <w:rPr>
          <w:rFonts w:ascii="Times New Roman" w:hAnsi="Times New Roman" w:cs="Times New Roman"/>
          <w:b/>
          <w:sz w:val="24"/>
          <w:szCs w:val="24"/>
        </w:rPr>
        <w:t xml:space="preserve"> of the Arctic</w:t>
      </w:r>
    </w:p>
    <w:p w:rsidR="000C149F"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 xml:space="preserve">Word Count: </w:t>
      </w:r>
      <w:r w:rsidR="00562E8A">
        <w:rPr>
          <w:rFonts w:ascii="Times New Roman" w:hAnsi="Times New Roman" w:cs="Times New Roman"/>
          <w:sz w:val="24"/>
          <w:szCs w:val="24"/>
        </w:rPr>
        <w:t>5961</w:t>
      </w:r>
    </w:p>
    <w:p w:rsidR="000C149F" w:rsidRPr="00F62056" w:rsidRDefault="000C149F" w:rsidP="008A0E05">
      <w:pPr>
        <w:spacing w:line="480" w:lineRule="auto"/>
        <w:rPr>
          <w:rFonts w:ascii="Times New Roman" w:hAnsi="Times New Roman" w:cs="Times New Roman"/>
          <w:sz w:val="24"/>
          <w:szCs w:val="24"/>
        </w:rPr>
      </w:pPr>
    </w:p>
    <w:p w:rsidR="000C149F" w:rsidRPr="00A761CA" w:rsidRDefault="000C149F" w:rsidP="008A0E05">
      <w:pPr>
        <w:spacing w:line="480" w:lineRule="auto"/>
        <w:rPr>
          <w:rFonts w:ascii="Times New Roman" w:hAnsi="Times New Roman" w:cs="Times New Roman"/>
          <w:sz w:val="24"/>
          <w:szCs w:val="24"/>
        </w:rPr>
      </w:pPr>
      <w:r w:rsidRPr="00A761CA">
        <w:rPr>
          <w:rFonts w:ascii="Times New Roman" w:hAnsi="Times New Roman" w:cs="Times New Roman"/>
          <w:sz w:val="24"/>
          <w:szCs w:val="24"/>
          <w:lang w:val="en-GB"/>
        </w:rPr>
        <w:t>Authors: Mark A K Gillespie</w:t>
      </w:r>
      <w:r w:rsidRPr="00A761CA">
        <w:rPr>
          <w:rFonts w:ascii="Times New Roman" w:hAnsi="Times New Roman" w:cs="Times New Roman"/>
          <w:sz w:val="24"/>
          <w:szCs w:val="24"/>
          <w:vertAlign w:val="superscript"/>
          <w:lang w:val="en-GB"/>
        </w:rPr>
        <w:t>1*</w:t>
      </w:r>
      <w:r w:rsidRPr="00A761CA">
        <w:rPr>
          <w:rFonts w:ascii="Times New Roman" w:hAnsi="Times New Roman" w:cs="Times New Roman"/>
          <w:sz w:val="24"/>
          <w:szCs w:val="24"/>
          <w:lang w:val="en-GB"/>
        </w:rPr>
        <w:t>, Matthias Alfredsson</w:t>
      </w:r>
      <w:r w:rsidRPr="00A761CA">
        <w:rPr>
          <w:rFonts w:ascii="Times New Roman" w:hAnsi="Times New Roman" w:cs="Times New Roman"/>
          <w:sz w:val="24"/>
          <w:szCs w:val="24"/>
          <w:vertAlign w:val="superscript"/>
          <w:lang w:val="en-GB"/>
        </w:rPr>
        <w:t>2</w:t>
      </w:r>
      <w:r w:rsidRPr="00A761CA">
        <w:rPr>
          <w:rFonts w:ascii="Times New Roman" w:hAnsi="Times New Roman" w:cs="Times New Roman"/>
          <w:sz w:val="24"/>
          <w:szCs w:val="24"/>
          <w:lang w:val="en-GB"/>
        </w:rPr>
        <w:t>, Isabel C Barrio</w:t>
      </w:r>
      <w:r w:rsidRPr="00A761CA">
        <w:rPr>
          <w:rFonts w:ascii="Times New Roman" w:hAnsi="Times New Roman" w:cs="Times New Roman"/>
          <w:sz w:val="24"/>
          <w:szCs w:val="24"/>
          <w:vertAlign w:val="superscript"/>
          <w:lang w:val="en-GB"/>
        </w:rPr>
        <w:t>3,4</w:t>
      </w:r>
      <w:r>
        <w:rPr>
          <w:rFonts w:ascii="Times New Roman" w:hAnsi="Times New Roman" w:cs="Times New Roman"/>
          <w:sz w:val="24"/>
          <w:szCs w:val="24"/>
          <w:lang w:val="en-GB"/>
        </w:rPr>
        <w:t>, Joseph J</w:t>
      </w:r>
      <w:r w:rsidRPr="00A761CA">
        <w:rPr>
          <w:rFonts w:ascii="Times New Roman" w:hAnsi="Times New Roman" w:cs="Times New Roman"/>
          <w:sz w:val="24"/>
          <w:szCs w:val="24"/>
          <w:lang w:val="en-GB"/>
        </w:rPr>
        <w:t xml:space="preserve"> Bowden</w:t>
      </w:r>
      <w:r w:rsidRPr="00A761CA">
        <w:rPr>
          <w:rFonts w:ascii="Times New Roman" w:hAnsi="Times New Roman" w:cs="Times New Roman"/>
          <w:sz w:val="24"/>
          <w:szCs w:val="24"/>
          <w:vertAlign w:val="superscript"/>
          <w:lang w:val="en-GB"/>
        </w:rPr>
        <w:t>5,6</w:t>
      </w:r>
      <w:r w:rsidRPr="00A761CA">
        <w:rPr>
          <w:rFonts w:ascii="Times New Roman" w:hAnsi="Times New Roman" w:cs="Times New Roman"/>
          <w:sz w:val="24"/>
          <w:szCs w:val="24"/>
          <w:lang w:val="en-GB"/>
        </w:rPr>
        <w:t>, Peter Convey</w:t>
      </w:r>
      <w:r w:rsidRPr="00A761CA">
        <w:rPr>
          <w:rFonts w:ascii="Times New Roman" w:hAnsi="Times New Roman" w:cs="Times New Roman"/>
          <w:sz w:val="24"/>
          <w:szCs w:val="24"/>
          <w:vertAlign w:val="superscript"/>
          <w:lang w:val="en-GB"/>
        </w:rPr>
        <w:t>7</w:t>
      </w:r>
      <w:r w:rsidRPr="00A761CA">
        <w:rPr>
          <w:rFonts w:ascii="Times New Roman" w:hAnsi="Times New Roman" w:cs="Times New Roman"/>
          <w:sz w:val="24"/>
          <w:szCs w:val="24"/>
          <w:lang w:val="en-GB"/>
        </w:rPr>
        <w:t xml:space="preserve">, </w:t>
      </w:r>
      <w:r>
        <w:rPr>
          <w:rFonts w:ascii="Times New Roman" w:hAnsi="Times New Roman" w:cs="Times New Roman"/>
          <w:sz w:val="24"/>
          <w:szCs w:val="24"/>
          <w:lang w:val="en-GB"/>
        </w:rPr>
        <w:t>Lauren E Culler</w:t>
      </w:r>
      <w:r w:rsidRPr="00A761CA">
        <w:rPr>
          <w:rFonts w:ascii="Times New Roman" w:hAnsi="Times New Roman" w:cs="Times New Roman"/>
          <w:sz w:val="24"/>
          <w:szCs w:val="24"/>
          <w:vertAlign w:val="superscript"/>
          <w:lang w:val="en-GB"/>
        </w:rPr>
        <w:t>8,9</w:t>
      </w:r>
      <w:r>
        <w:rPr>
          <w:rFonts w:ascii="Times New Roman" w:hAnsi="Times New Roman" w:cs="Times New Roman"/>
          <w:sz w:val="24"/>
          <w:szCs w:val="24"/>
          <w:lang w:val="en-GB"/>
        </w:rPr>
        <w:t xml:space="preserve">, </w:t>
      </w:r>
      <w:r w:rsidRPr="00A761CA">
        <w:rPr>
          <w:rFonts w:ascii="Times New Roman" w:hAnsi="Times New Roman" w:cs="Times New Roman"/>
          <w:sz w:val="24"/>
          <w:szCs w:val="24"/>
          <w:lang w:val="en-GB"/>
        </w:rPr>
        <w:t>Stephen J Coulson</w:t>
      </w:r>
      <w:r>
        <w:rPr>
          <w:rFonts w:ascii="Times New Roman" w:hAnsi="Times New Roman" w:cs="Times New Roman"/>
          <w:sz w:val="24"/>
          <w:szCs w:val="24"/>
          <w:vertAlign w:val="superscript"/>
          <w:lang w:val="en-GB"/>
        </w:rPr>
        <w:t>10</w:t>
      </w:r>
      <w:r w:rsidRPr="00A761CA">
        <w:rPr>
          <w:rFonts w:ascii="Times New Roman" w:hAnsi="Times New Roman" w:cs="Times New Roman"/>
          <w:sz w:val="24"/>
          <w:szCs w:val="24"/>
          <w:lang w:val="en-GB"/>
        </w:rPr>
        <w:t xml:space="preserve">, </w:t>
      </w:r>
      <w:r w:rsidRPr="00A761CA">
        <w:rPr>
          <w:rFonts w:ascii="Times New Roman" w:hAnsi="Times New Roman" w:cs="Times New Roman"/>
          <w:sz w:val="24"/>
          <w:szCs w:val="24"/>
        </w:rPr>
        <w:t>Paul Henning Krogh</w:t>
      </w:r>
      <w:r w:rsidRPr="00A761CA">
        <w:rPr>
          <w:rFonts w:ascii="Times New Roman" w:hAnsi="Times New Roman" w:cs="Times New Roman"/>
          <w:sz w:val="24"/>
          <w:szCs w:val="24"/>
          <w:vertAlign w:val="superscript"/>
        </w:rPr>
        <w:t>5</w:t>
      </w:r>
      <w:r>
        <w:rPr>
          <w:rFonts w:ascii="Times New Roman" w:hAnsi="Times New Roman" w:cs="Times New Roman"/>
          <w:sz w:val="24"/>
          <w:szCs w:val="24"/>
          <w:vertAlign w:val="superscript"/>
        </w:rPr>
        <w:t>,11</w:t>
      </w:r>
      <w:r w:rsidRPr="00A761CA">
        <w:rPr>
          <w:rFonts w:ascii="Times New Roman" w:hAnsi="Times New Roman" w:cs="Times New Roman"/>
          <w:sz w:val="24"/>
          <w:szCs w:val="24"/>
        </w:rPr>
        <w:t xml:space="preserve">, </w:t>
      </w:r>
      <w:r>
        <w:rPr>
          <w:rFonts w:ascii="Times New Roman" w:hAnsi="Times New Roman" w:cs="Times New Roman"/>
          <w:sz w:val="24"/>
          <w:szCs w:val="24"/>
        </w:rPr>
        <w:t>Amanda M. Koltz</w:t>
      </w:r>
      <w:r w:rsidRPr="002D1C4E">
        <w:rPr>
          <w:rFonts w:ascii="Times New Roman" w:hAnsi="Times New Roman" w:cs="Times New Roman"/>
          <w:sz w:val="24"/>
          <w:szCs w:val="24"/>
          <w:vertAlign w:val="superscript"/>
        </w:rPr>
        <w:t>12</w:t>
      </w:r>
      <w:r>
        <w:rPr>
          <w:rFonts w:ascii="Times New Roman" w:hAnsi="Times New Roman" w:cs="Times New Roman"/>
          <w:sz w:val="24"/>
          <w:szCs w:val="24"/>
        </w:rPr>
        <w:t xml:space="preserve">, </w:t>
      </w:r>
      <w:r w:rsidRPr="00A761CA">
        <w:rPr>
          <w:rFonts w:ascii="Times New Roman" w:hAnsi="Times New Roman" w:cs="Times New Roman"/>
          <w:sz w:val="24"/>
          <w:szCs w:val="24"/>
        </w:rPr>
        <w:t>Seppo Koponen</w:t>
      </w:r>
      <w:r>
        <w:rPr>
          <w:rFonts w:ascii="Times New Roman" w:hAnsi="Times New Roman" w:cs="Times New Roman"/>
          <w:sz w:val="24"/>
          <w:szCs w:val="24"/>
          <w:vertAlign w:val="superscript"/>
        </w:rPr>
        <w:t>13</w:t>
      </w:r>
      <w:r w:rsidRPr="00A761CA">
        <w:rPr>
          <w:rFonts w:ascii="Times New Roman" w:hAnsi="Times New Roman" w:cs="Times New Roman"/>
          <w:sz w:val="24"/>
          <w:szCs w:val="24"/>
        </w:rPr>
        <w:t>, Sarah Loboda</w:t>
      </w:r>
      <w:r w:rsidRPr="00A761C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sidRPr="00A761CA">
        <w:rPr>
          <w:rFonts w:ascii="Times New Roman" w:hAnsi="Times New Roman" w:cs="Times New Roman"/>
          <w:sz w:val="24"/>
          <w:szCs w:val="24"/>
        </w:rPr>
        <w:t>, Yuri Marusik</w:t>
      </w:r>
      <w:r w:rsidRPr="00A761C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5</w:t>
      </w:r>
      <w:r w:rsidRPr="00A761C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6</w:t>
      </w:r>
      <w:r w:rsidRPr="00A761CA">
        <w:rPr>
          <w:rFonts w:ascii="Times New Roman" w:hAnsi="Times New Roman" w:cs="Times New Roman"/>
          <w:sz w:val="24"/>
          <w:szCs w:val="24"/>
        </w:rPr>
        <w:t>, Jonas P</w:t>
      </w:r>
      <w:r w:rsidRPr="00A761CA">
        <w:t xml:space="preserve"> </w:t>
      </w:r>
      <w:r w:rsidRPr="00A761CA">
        <w:rPr>
          <w:rFonts w:ascii="Times New Roman" w:hAnsi="Times New Roman" w:cs="Times New Roman"/>
          <w:sz w:val="24"/>
          <w:szCs w:val="24"/>
        </w:rPr>
        <w:t>Sandström</w:t>
      </w:r>
      <w:r>
        <w:rPr>
          <w:rFonts w:ascii="Times New Roman" w:hAnsi="Times New Roman" w:cs="Times New Roman"/>
          <w:sz w:val="24"/>
          <w:szCs w:val="24"/>
          <w:vertAlign w:val="superscript"/>
        </w:rPr>
        <w:t>10</w:t>
      </w:r>
      <w:r w:rsidRPr="00A761CA">
        <w:rPr>
          <w:rFonts w:ascii="Times New Roman" w:hAnsi="Times New Roman" w:cs="Times New Roman"/>
          <w:sz w:val="24"/>
          <w:szCs w:val="24"/>
        </w:rPr>
        <w:t>, Derek S Sikes</w:t>
      </w:r>
      <w:r w:rsidRPr="00A761C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7</w:t>
      </w:r>
      <w:r w:rsidRPr="00A761CA">
        <w:rPr>
          <w:rFonts w:ascii="Times New Roman" w:hAnsi="Times New Roman" w:cs="Times New Roman"/>
          <w:sz w:val="24"/>
          <w:szCs w:val="24"/>
          <w:lang w:val="en-GB"/>
        </w:rPr>
        <w:t>, Toke T Høye</w:t>
      </w:r>
      <w:r w:rsidRPr="00A761CA">
        <w:rPr>
          <w:rFonts w:ascii="Times New Roman" w:hAnsi="Times New Roman" w:cs="Times New Roman"/>
          <w:sz w:val="24"/>
          <w:szCs w:val="24"/>
          <w:vertAlign w:val="superscript"/>
          <w:lang w:val="en-GB"/>
        </w:rPr>
        <w:t>5,1</w:t>
      </w:r>
      <w:r>
        <w:rPr>
          <w:rFonts w:ascii="Times New Roman" w:hAnsi="Times New Roman" w:cs="Times New Roman"/>
          <w:sz w:val="24"/>
          <w:szCs w:val="24"/>
          <w:vertAlign w:val="superscript"/>
          <w:lang w:val="en-GB"/>
        </w:rPr>
        <w:t>8</w:t>
      </w:r>
    </w:p>
    <w:p w:rsidR="000C149F" w:rsidRPr="0071076B"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lang w:val="en-GB"/>
        </w:rPr>
      </w:pPr>
      <w:r w:rsidRPr="00AD502A">
        <w:rPr>
          <w:rFonts w:ascii="Times New Roman" w:hAnsi="Times New Roman" w:cs="Times New Roman"/>
          <w:sz w:val="24"/>
          <w:szCs w:val="24"/>
          <w:lang w:val="en-GB"/>
        </w:rPr>
        <w:t>Affiliations</w:t>
      </w:r>
      <w:r>
        <w:rPr>
          <w:rFonts w:ascii="Times New Roman" w:hAnsi="Times New Roman" w:cs="Times New Roman"/>
          <w:sz w:val="24"/>
          <w:szCs w:val="24"/>
          <w:lang w:val="en-GB"/>
        </w:rPr>
        <w:t>:</w:t>
      </w:r>
    </w:p>
    <w:p w:rsidR="000C149F" w:rsidRDefault="000C149F" w:rsidP="008A0E05">
      <w:pPr>
        <w:spacing w:line="480" w:lineRule="auto"/>
        <w:rPr>
          <w:rFonts w:ascii="Times New Roman" w:hAnsi="Times New Roman" w:cs="Times New Roman"/>
          <w:sz w:val="24"/>
          <w:szCs w:val="24"/>
          <w:lang w:val="en-GB"/>
        </w:rPr>
      </w:pPr>
      <w:r w:rsidRPr="00DA0055">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Department of Engineering and Natural Science, Western Norway University of Applied Sciences, Sogndal Campus, 6851 Sogndal, Norway</w:t>
      </w:r>
    </w:p>
    <w:p w:rsidR="000C149F" w:rsidRPr="00AD502A"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rPr>
        <w:t>2</w:t>
      </w:r>
      <w:r w:rsidRPr="00BC68DB">
        <w:rPr>
          <w:rFonts w:ascii="Times New Roman" w:hAnsi="Times New Roman" w:cs="Times New Roman"/>
          <w:sz w:val="24"/>
          <w:szCs w:val="24"/>
        </w:rPr>
        <w:t>The Icelandic Institute of Natural History, Urridaholtsstraeti 6</w:t>
      </w:r>
      <w:r>
        <w:rPr>
          <w:rFonts w:ascii="Times New Roman" w:hAnsi="Times New Roman" w:cs="Times New Roman"/>
          <w:sz w:val="24"/>
          <w:szCs w:val="24"/>
        </w:rPr>
        <w:t>–</w:t>
      </w:r>
      <w:r w:rsidRPr="00BC68DB">
        <w:rPr>
          <w:rFonts w:ascii="Times New Roman" w:hAnsi="Times New Roman" w:cs="Times New Roman"/>
          <w:sz w:val="24"/>
          <w:szCs w:val="24"/>
        </w:rPr>
        <w:t>8, 212 Gardabaer, Iceland</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vertAlign w:val="superscript"/>
          <w:lang w:val="en-GB"/>
        </w:rPr>
        <w:t>3</w:t>
      </w:r>
      <w:r>
        <w:rPr>
          <w:rFonts w:ascii="Times New Roman" w:hAnsi="Times New Roman" w:cs="Times New Roman"/>
          <w:sz w:val="24"/>
          <w:szCs w:val="24"/>
        </w:rPr>
        <w:t>Department</w:t>
      </w:r>
      <w:r w:rsidRPr="00E13475">
        <w:rPr>
          <w:rFonts w:ascii="Times New Roman" w:hAnsi="Times New Roman" w:cs="Times New Roman"/>
          <w:sz w:val="24"/>
          <w:szCs w:val="24"/>
        </w:rPr>
        <w:t xml:space="preserve"> of Natural Resources and Environmental Sciences</w:t>
      </w:r>
      <w:r>
        <w:rPr>
          <w:rFonts w:ascii="Times New Roman" w:hAnsi="Times New Roman" w:cs="Times New Roman"/>
          <w:sz w:val="24"/>
          <w:szCs w:val="24"/>
        </w:rPr>
        <w:t>, Agricultural University of Iceland, Árleyni 22, Keldnaholt, 112 Reykjavík, Iceland</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4</w:t>
      </w:r>
      <w:r>
        <w:rPr>
          <w:rFonts w:ascii="Times New Roman" w:hAnsi="Times New Roman" w:cs="Times New Roman"/>
          <w:sz w:val="24"/>
          <w:szCs w:val="24"/>
          <w:lang w:val="en-GB"/>
        </w:rPr>
        <w:t>Department of Life and Environmental Sciences, University of Iceland, Sturlugata 7, 101 Reykjavík, Iceland</w:t>
      </w:r>
    </w:p>
    <w:p w:rsidR="000C149F" w:rsidRPr="0095193D" w:rsidRDefault="000C149F" w:rsidP="008A0E05">
      <w:pPr>
        <w:tabs>
          <w:tab w:val="left" w:pos="720"/>
        </w:tabs>
        <w:spacing w:line="480" w:lineRule="auto"/>
        <w:rPr>
          <w:rFonts w:ascii="Times New Roman" w:eastAsia="Times New Roman" w:hAnsi="Times New Roman" w:cs="Times New Roman"/>
          <w:sz w:val="24"/>
          <w:szCs w:val="20"/>
          <w:lang w:val="en-US" w:eastAsia="da-DK"/>
        </w:rPr>
      </w:pPr>
      <w:r w:rsidRPr="000D5C97">
        <w:rPr>
          <w:rFonts w:ascii="Times New Roman" w:hAnsi="Times New Roman" w:cs="Times New Roman"/>
          <w:sz w:val="24"/>
          <w:szCs w:val="24"/>
          <w:vertAlign w:val="superscript"/>
          <w:lang w:val="en-GB"/>
        </w:rPr>
        <w:t>5</w:t>
      </w:r>
      <w:r w:rsidRPr="007B6199">
        <w:rPr>
          <w:rFonts w:ascii="Times New Roman" w:eastAsia="Times New Roman" w:hAnsi="Times New Roman" w:cs="Times New Roman"/>
          <w:sz w:val="24"/>
          <w:szCs w:val="24"/>
          <w:lang w:val="en-US" w:eastAsia="da-DK"/>
        </w:rPr>
        <w:t xml:space="preserve">Arctic Research Centre, Aarhus University, </w:t>
      </w:r>
      <w:r w:rsidRPr="007B6199">
        <w:rPr>
          <w:rFonts w:ascii="Times New Roman" w:eastAsia="Times New Roman" w:hAnsi="Times New Roman" w:cs="Times New Roman"/>
          <w:sz w:val="24"/>
          <w:szCs w:val="20"/>
          <w:lang w:val="en-US" w:eastAsia="da-DK"/>
        </w:rPr>
        <w:t xml:space="preserve">Ny Munkegade 114, bldg. </w:t>
      </w:r>
      <w:r w:rsidRPr="0095193D">
        <w:rPr>
          <w:rFonts w:ascii="Times New Roman" w:eastAsia="Times New Roman" w:hAnsi="Times New Roman" w:cs="Times New Roman"/>
          <w:sz w:val="24"/>
          <w:szCs w:val="20"/>
          <w:lang w:val="en-US" w:eastAsia="da-DK"/>
        </w:rPr>
        <w:t>1540, DK-8000 Aarhus C, Denmark</w:t>
      </w:r>
    </w:p>
    <w:p w:rsidR="000C149F" w:rsidRDefault="000C149F" w:rsidP="008A0E05">
      <w:pPr>
        <w:spacing w:line="480" w:lineRule="auto"/>
        <w:rPr>
          <w:rFonts w:ascii="Times New Roman" w:hAnsi="Times New Roman" w:cs="Times New Roman"/>
          <w:sz w:val="24"/>
          <w:szCs w:val="24"/>
          <w:lang w:val="en-GB"/>
        </w:rPr>
      </w:pPr>
      <w:r w:rsidRPr="00E93331">
        <w:rPr>
          <w:rFonts w:ascii="Times New Roman" w:hAnsi="Times New Roman" w:cs="Times New Roman"/>
          <w:sz w:val="24"/>
          <w:szCs w:val="24"/>
          <w:vertAlign w:val="superscript"/>
          <w:lang w:val="en-US"/>
        </w:rPr>
        <w:t>6</w:t>
      </w:r>
      <w:r w:rsidRPr="0095193D">
        <w:rPr>
          <w:rFonts w:ascii="Times New Roman" w:hAnsi="Times New Roman" w:cs="Times New Roman"/>
          <w:sz w:val="24"/>
          <w:szCs w:val="24"/>
          <w:lang w:val="en-US"/>
        </w:rPr>
        <w:t xml:space="preserve">Current address: Canadian Forest Service – Atlantic Forestry Centre, 26 University Drive, </w:t>
      </w:r>
      <w:r>
        <w:rPr>
          <w:rFonts w:ascii="Times New Roman" w:hAnsi="Times New Roman" w:cs="Times New Roman"/>
          <w:sz w:val="24"/>
          <w:szCs w:val="24"/>
          <w:lang w:val="en-US"/>
        </w:rPr>
        <w:t>P</w:t>
      </w:r>
      <w:r w:rsidRPr="0095193D">
        <w:rPr>
          <w:rFonts w:ascii="Times New Roman" w:hAnsi="Times New Roman" w:cs="Times New Roman"/>
          <w:sz w:val="24"/>
          <w:szCs w:val="24"/>
          <w:lang w:val="en-US"/>
        </w:rPr>
        <w:t>O Box 960, Corner Brook NL, Canada A2H 6J3</w:t>
      </w:r>
      <w:r>
        <w:rPr>
          <w:rFonts w:ascii="Times New Roman" w:hAnsi="Times New Roman" w:cs="Times New Roman"/>
          <w:sz w:val="24"/>
          <w:szCs w:val="24"/>
          <w:lang w:val="en-GB"/>
        </w:rPr>
        <w:t xml:space="preserve"> </w:t>
      </w:r>
    </w:p>
    <w:p w:rsidR="000C149F" w:rsidRDefault="000C149F" w:rsidP="008A0E05">
      <w:pPr>
        <w:spacing w:line="480" w:lineRule="auto"/>
        <w:rPr>
          <w:rFonts w:ascii="Times New Roman" w:hAnsi="Times New Roman" w:cs="Times New Roman"/>
          <w:sz w:val="24"/>
          <w:szCs w:val="24"/>
          <w:lang w:val="en-GB"/>
        </w:rPr>
      </w:pPr>
      <w:r w:rsidRPr="00FA3E76">
        <w:rPr>
          <w:rFonts w:ascii="Times New Roman" w:hAnsi="Times New Roman" w:cs="Times New Roman"/>
          <w:sz w:val="24"/>
          <w:szCs w:val="24"/>
          <w:vertAlign w:val="superscript"/>
          <w:lang w:val="en-GB"/>
        </w:rPr>
        <w:lastRenderedPageBreak/>
        <w:t>7</w:t>
      </w:r>
      <w:r w:rsidRPr="00FA3E76">
        <w:rPr>
          <w:rFonts w:ascii="Times New Roman" w:hAnsi="Times New Roman" w:cs="Times New Roman"/>
          <w:sz w:val="24"/>
          <w:szCs w:val="24"/>
          <w:lang w:val="en-GB"/>
        </w:rPr>
        <w:t>British Antarctic Survey, NERC, High Cross, Madingley Road, Cambridge CB3 0ET, United Kingdom</w:t>
      </w:r>
    </w:p>
    <w:p w:rsidR="000C149F" w:rsidRPr="0052689A"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8</w:t>
      </w:r>
      <w:r>
        <w:rPr>
          <w:rFonts w:ascii="Times New Roman" w:hAnsi="Times New Roman" w:cs="Times New Roman"/>
          <w:sz w:val="24"/>
          <w:szCs w:val="24"/>
          <w:lang w:val="en-GB"/>
        </w:rPr>
        <w:t>Environmental Studies Program, Dartmouth College, 113 Steele Hall, Hanover, New Hampshire 03755 USA</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9</w:t>
      </w:r>
      <w:r>
        <w:rPr>
          <w:rFonts w:ascii="Times New Roman" w:hAnsi="Times New Roman" w:cs="Times New Roman"/>
          <w:sz w:val="24"/>
          <w:szCs w:val="24"/>
          <w:lang w:val="en-GB"/>
        </w:rPr>
        <w:t>Institute of Arctic Studies, Dartmouth College, 6214 Haldeman Center, Hanover, New Hampshire 03755 USA</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10</w:t>
      </w:r>
      <w:r w:rsidRPr="00481C66">
        <w:rPr>
          <w:rFonts w:ascii="Times New Roman" w:hAnsi="Times New Roman" w:cs="Times New Roman"/>
          <w:sz w:val="24"/>
          <w:szCs w:val="24"/>
          <w:lang w:val="en-GB"/>
        </w:rPr>
        <w:t>Swedish Species Information Centre</w:t>
      </w:r>
      <w:r>
        <w:rPr>
          <w:rFonts w:ascii="Times New Roman" w:hAnsi="Times New Roman" w:cs="Times New Roman"/>
          <w:sz w:val="24"/>
          <w:szCs w:val="24"/>
          <w:lang w:val="en-GB"/>
        </w:rPr>
        <w:t xml:space="preserve">, </w:t>
      </w:r>
      <w:r w:rsidRPr="00481C66">
        <w:rPr>
          <w:rFonts w:ascii="Times New Roman" w:hAnsi="Times New Roman" w:cs="Times New Roman"/>
          <w:sz w:val="24"/>
          <w:szCs w:val="24"/>
          <w:lang w:val="en-GB"/>
        </w:rPr>
        <w:t>Swedish University of Agricultural Sciences</w:t>
      </w:r>
      <w:r>
        <w:rPr>
          <w:rFonts w:ascii="Times New Roman" w:hAnsi="Times New Roman" w:cs="Times New Roman"/>
          <w:sz w:val="24"/>
          <w:szCs w:val="24"/>
          <w:lang w:val="en-GB"/>
        </w:rPr>
        <w:t xml:space="preserve">, </w:t>
      </w:r>
      <w:r w:rsidRPr="00481C66">
        <w:rPr>
          <w:rFonts w:ascii="Times New Roman" w:hAnsi="Times New Roman" w:cs="Times New Roman"/>
          <w:sz w:val="24"/>
          <w:szCs w:val="24"/>
          <w:lang w:val="en-GB"/>
        </w:rPr>
        <w:t>750 07 Uppsala</w:t>
      </w:r>
      <w:r>
        <w:rPr>
          <w:rFonts w:ascii="Times New Roman" w:hAnsi="Times New Roman" w:cs="Times New Roman"/>
          <w:sz w:val="24"/>
          <w:szCs w:val="24"/>
          <w:lang w:val="en-GB"/>
        </w:rPr>
        <w:t>, Sweden</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11</w:t>
      </w:r>
      <w:r w:rsidRPr="00B64597">
        <w:rPr>
          <w:rFonts w:ascii="Times New Roman" w:hAnsi="Times New Roman" w:cs="Times New Roman"/>
          <w:sz w:val="24"/>
          <w:szCs w:val="24"/>
          <w:lang w:val="en-GB"/>
        </w:rPr>
        <w:t>Department of Bioscience, Aarhus University, P.O. Box 314, Vejlsøvej 25, DK-8600 Silkeborg</w:t>
      </w:r>
    </w:p>
    <w:p w:rsidR="000C149F" w:rsidRPr="002D1C4E" w:rsidRDefault="000C149F" w:rsidP="008A0E05">
      <w:pPr>
        <w:spacing w:line="480" w:lineRule="auto"/>
        <w:rPr>
          <w:rFonts w:ascii="Times New Roman" w:hAnsi="Times New Roman" w:cs="Times New Roman"/>
          <w:sz w:val="24"/>
          <w:szCs w:val="24"/>
        </w:rPr>
      </w:pPr>
      <w:r w:rsidRPr="002D1C4E">
        <w:rPr>
          <w:rFonts w:ascii="Times New Roman" w:hAnsi="Times New Roman" w:cs="Times New Roman"/>
          <w:sz w:val="24"/>
          <w:szCs w:val="24"/>
          <w:vertAlign w:val="superscript"/>
        </w:rPr>
        <w:t>12</w:t>
      </w:r>
      <w:r w:rsidRPr="002D1C4E">
        <w:rPr>
          <w:rFonts w:ascii="Times New Roman" w:hAnsi="Times New Roman" w:cs="Times New Roman"/>
          <w:sz w:val="24"/>
          <w:szCs w:val="24"/>
        </w:rPr>
        <w:t>Department of Biology, Washington University in St. Louis, St. Louis, MO 63130 USA</w:t>
      </w:r>
    </w:p>
    <w:p w:rsidR="000C149F" w:rsidRPr="00B64597"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13</w:t>
      </w:r>
      <w:r>
        <w:rPr>
          <w:rFonts w:ascii="Times New Roman" w:hAnsi="Times New Roman" w:cs="Times New Roman"/>
          <w:sz w:val="24"/>
          <w:szCs w:val="24"/>
          <w:lang w:val="en-GB"/>
        </w:rPr>
        <w:t>Zoological Museum, Biodiversity Unit, FI-20014 University of Turku, Finland</w:t>
      </w:r>
    </w:p>
    <w:p w:rsidR="000C149F" w:rsidRDefault="000C149F" w:rsidP="008A0E05">
      <w:pPr>
        <w:spacing w:line="480" w:lineRule="auto"/>
        <w:rPr>
          <w:rFonts w:ascii="Times New Roman" w:hAnsi="Times New Roman" w:cs="Times New Roman"/>
          <w:sz w:val="24"/>
          <w:szCs w:val="24"/>
          <w:lang w:val="en-GB"/>
        </w:rPr>
      </w:pPr>
      <w:r w:rsidRPr="00E37C98">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4</w:t>
      </w:r>
      <w:r>
        <w:rPr>
          <w:rFonts w:ascii="Times New Roman" w:hAnsi="Times New Roman" w:cs="Times New Roman"/>
          <w:sz w:val="24"/>
          <w:szCs w:val="24"/>
          <w:lang w:val="en-GB"/>
        </w:rPr>
        <w:t>Department of Natural Resource Sciences, McGill University, Ste-Anne-de-Bellevue, Qc, Canada</w:t>
      </w:r>
    </w:p>
    <w:p w:rsidR="000C149F" w:rsidRPr="00E37C98" w:rsidRDefault="000C149F" w:rsidP="008A0E05">
      <w:pPr>
        <w:spacing w:line="480" w:lineRule="auto"/>
        <w:rPr>
          <w:rFonts w:ascii="Times New Roman" w:hAnsi="Times New Roman" w:cs="Times New Roman"/>
          <w:sz w:val="24"/>
          <w:szCs w:val="24"/>
          <w:lang w:val="en-GB"/>
        </w:rPr>
      </w:pPr>
      <w:r w:rsidRPr="003A39B6">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5</w:t>
      </w:r>
      <w:r w:rsidRPr="00E37C98">
        <w:rPr>
          <w:rFonts w:ascii="Times New Roman" w:hAnsi="Times New Roman" w:cs="Times New Roman"/>
          <w:sz w:val="24"/>
          <w:szCs w:val="24"/>
          <w:lang w:val="en-GB"/>
        </w:rPr>
        <w:t>Institute for Biological Problems of the North RAS, Portovaya Str. 18, Magadan 685000, Russia</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16</w:t>
      </w:r>
      <w:r w:rsidRPr="00E37C98">
        <w:rPr>
          <w:rFonts w:ascii="Times New Roman" w:hAnsi="Times New Roman" w:cs="Times New Roman"/>
          <w:sz w:val="24"/>
          <w:szCs w:val="24"/>
          <w:lang w:val="en-GB"/>
        </w:rPr>
        <w:t>Department of Zoology &amp; Entomology, University of the Free State, Bloemfontein 9300, South Africa</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17</w:t>
      </w:r>
      <w:r w:rsidRPr="0006711F">
        <w:rPr>
          <w:rFonts w:ascii="Times New Roman" w:hAnsi="Times New Roman" w:cs="Times New Roman"/>
          <w:sz w:val="24"/>
          <w:szCs w:val="24"/>
        </w:rPr>
        <w:t xml:space="preserve">University of Alaska Museum, </w:t>
      </w:r>
      <w:r>
        <w:rPr>
          <w:rFonts w:ascii="Times New Roman" w:hAnsi="Times New Roman" w:cs="Times New Roman"/>
          <w:sz w:val="24"/>
          <w:szCs w:val="24"/>
        </w:rPr>
        <w:t xml:space="preserve">University of Alaska Fairbanks, </w:t>
      </w:r>
      <w:r w:rsidRPr="0006711F">
        <w:rPr>
          <w:rFonts w:ascii="Times New Roman" w:hAnsi="Times New Roman" w:cs="Times New Roman"/>
          <w:sz w:val="24"/>
          <w:szCs w:val="24"/>
        </w:rPr>
        <w:t>Fairbanks, A</w:t>
      </w:r>
      <w:r>
        <w:rPr>
          <w:rFonts w:ascii="Times New Roman" w:hAnsi="Times New Roman" w:cs="Times New Roman"/>
          <w:sz w:val="24"/>
          <w:szCs w:val="24"/>
        </w:rPr>
        <w:t>laska</w:t>
      </w:r>
      <w:r w:rsidRPr="0006711F">
        <w:rPr>
          <w:rFonts w:ascii="Times New Roman" w:hAnsi="Times New Roman" w:cs="Times New Roman"/>
          <w:sz w:val="24"/>
          <w:szCs w:val="24"/>
        </w:rPr>
        <w:t xml:space="preserve"> 99775-6960, USA</w:t>
      </w:r>
    </w:p>
    <w:p w:rsidR="000C149F" w:rsidRDefault="000C149F" w:rsidP="008A0E05">
      <w:pPr>
        <w:spacing w:line="480" w:lineRule="auto"/>
        <w:rPr>
          <w:rFonts w:ascii="Times New Roman" w:hAnsi="Times New Roman" w:cs="Times New Roman"/>
          <w:sz w:val="24"/>
          <w:szCs w:val="24"/>
          <w:lang w:val="en-GB"/>
        </w:rPr>
      </w:pPr>
      <w:r w:rsidRPr="00EF6752">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8</w:t>
      </w:r>
      <w:r w:rsidRPr="00B3549E">
        <w:rPr>
          <w:rFonts w:ascii="Times New Roman" w:hAnsi="Times New Roman" w:cs="Times New Roman"/>
          <w:sz w:val="24"/>
          <w:szCs w:val="24"/>
          <w:lang w:val="en-GB"/>
        </w:rPr>
        <w:t>Department of Bioscience, Aarhus University, Grenåvej 14, 8410 Rønde, Denmark</w:t>
      </w:r>
    </w:p>
    <w:p w:rsidR="000C149F" w:rsidRDefault="000C149F" w:rsidP="008A0E05">
      <w:pPr>
        <w:spacing w:line="480" w:lineRule="auto"/>
        <w:rPr>
          <w:rFonts w:ascii="Times New Roman" w:hAnsi="Times New Roman" w:cs="Times New Roman"/>
          <w:sz w:val="24"/>
          <w:szCs w:val="24"/>
          <w:lang w:val="en-GB"/>
        </w:rPr>
      </w:pP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*Corresponding author: Mark A.K. Gillespie, </w:t>
      </w:r>
      <w:hyperlink r:id="rId7" w:history="1">
        <w:r w:rsidRPr="0057218B">
          <w:rPr>
            <w:rStyle w:val="Hyperlink"/>
            <w:rFonts w:ascii="Times New Roman" w:hAnsi="Times New Roman" w:cs="Times New Roman"/>
            <w:sz w:val="24"/>
            <w:szCs w:val="24"/>
            <w:lang w:val="en-GB"/>
          </w:rPr>
          <w:t>markg@hvl.no</w:t>
        </w:r>
      </w:hyperlink>
      <w:r>
        <w:rPr>
          <w:rFonts w:ascii="Times New Roman" w:hAnsi="Times New Roman" w:cs="Times New Roman"/>
          <w:sz w:val="24"/>
          <w:szCs w:val="24"/>
          <w:lang w:val="en-GB"/>
        </w:rPr>
        <w:t>, Tel: +47 918 15 593</w:t>
      </w:r>
    </w:p>
    <w:p w:rsidR="000C149F" w:rsidRDefault="000C149F" w:rsidP="008A0E05">
      <w:pPr>
        <w:spacing w:line="480" w:lineRule="auto"/>
        <w:rPr>
          <w:rFonts w:ascii="Times New Roman" w:hAnsi="Times New Roman" w:cs="Times New Roman"/>
          <w:sz w:val="24"/>
          <w:szCs w:val="24"/>
          <w:lang w:val="en-GB"/>
        </w:rPr>
      </w:pPr>
    </w:p>
    <w:p w:rsidR="000C149F" w:rsidRPr="001B4D7F" w:rsidRDefault="000C149F" w:rsidP="008A0E05">
      <w:pPr>
        <w:autoSpaceDE w:val="0"/>
        <w:autoSpaceDN w:val="0"/>
        <w:adjustRightInd w:val="0"/>
        <w:spacing w:after="0" w:line="240" w:lineRule="auto"/>
        <w:rPr>
          <w:rFonts w:ascii="Segoe UI" w:hAnsi="Segoe UI" w:cs="Segoe UI"/>
          <w:b/>
          <w:sz w:val="18"/>
          <w:szCs w:val="18"/>
          <w:lang w:val="en-GB"/>
        </w:rPr>
      </w:pPr>
      <w:r w:rsidRPr="001B4D7F">
        <w:rPr>
          <w:rFonts w:ascii="Times New Roman" w:hAnsi="Times New Roman" w:cs="Times New Roman"/>
          <w:b/>
          <w:sz w:val="24"/>
          <w:szCs w:val="24"/>
        </w:rPr>
        <w:t>Acknowledgements</w:t>
      </w:r>
    </w:p>
    <w:p w:rsidR="000C149F" w:rsidRPr="00F62056" w:rsidRDefault="000C149F" w:rsidP="008A0E05">
      <w:pPr>
        <w:spacing w:before="240" w:line="480" w:lineRule="auto"/>
        <w:rPr>
          <w:rFonts w:ascii="Times New Roman" w:hAnsi="Times New Roman" w:cs="Times New Roman"/>
          <w:b/>
          <w:sz w:val="24"/>
          <w:szCs w:val="24"/>
          <w:lang w:val="en-GB"/>
        </w:rPr>
      </w:pPr>
      <w:r>
        <w:rPr>
          <w:rFonts w:ascii="Times New Roman" w:hAnsi="Times New Roman" w:cs="Times New Roman"/>
          <w:sz w:val="24"/>
          <w:szCs w:val="24"/>
        </w:rPr>
        <w:t xml:space="preserve">We thank Jukka Salmela for invaluable work during the initial phases of this study, </w:t>
      </w:r>
      <w:r w:rsidRPr="0026588B">
        <w:rPr>
          <w:rFonts w:ascii="Times New Roman" w:hAnsi="Times New Roman" w:cs="Times New Roman"/>
          <w:sz w:val="24"/>
          <w:szCs w:val="24"/>
        </w:rPr>
        <w:t xml:space="preserve">Erling Ólafsson and The Icelandic Institute of Natural History for the use of the </w:t>
      </w:r>
      <w:r>
        <w:rPr>
          <w:rFonts w:ascii="Times New Roman" w:hAnsi="Times New Roman" w:cs="Times New Roman"/>
          <w:sz w:val="24"/>
          <w:szCs w:val="24"/>
        </w:rPr>
        <w:t xml:space="preserve">Iceland moth data, </w:t>
      </w:r>
      <w:r w:rsidRPr="00E74B72">
        <w:rPr>
          <w:rFonts w:ascii="Times New Roman" w:hAnsi="Times New Roman" w:cs="Times New Roman"/>
          <w:sz w:val="24"/>
          <w:szCs w:val="24"/>
        </w:rPr>
        <w:t>Chris Buddle for early contributions to the CBMPs Invertebrate Expert Committee</w:t>
      </w:r>
      <w:r>
        <w:rPr>
          <w:rFonts w:ascii="Times New Roman" w:hAnsi="Times New Roman" w:cs="Times New Roman"/>
          <w:sz w:val="24"/>
          <w:szCs w:val="24"/>
        </w:rPr>
        <w:t xml:space="preserve"> and the guest editor </w:t>
      </w:r>
      <w:r w:rsidR="00562E8A">
        <w:rPr>
          <w:rFonts w:ascii="Times New Roman" w:hAnsi="Times New Roman" w:cs="Times New Roman"/>
          <w:sz w:val="24"/>
          <w:szCs w:val="24"/>
        </w:rPr>
        <w:t xml:space="preserve">and reviewers </w:t>
      </w:r>
      <w:r>
        <w:rPr>
          <w:rFonts w:ascii="Times New Roman" w:hAnsi="Times New Roman" w:cs="Times New Roman"/>
          <w:sz w:val="24"/>
          <w:szCs w:val="24"/>
        </w:rPr>
        <w:t>for valuable comments on an earlier draft. We also thank Olga Makarova, Anatoly Babenko, Laura Gough and Ashley Asmus for valuable comments.</w:t>
      </w:r>
      <w:r w:rsidRPr="00DB18ED">
        <w:t xml:space="preserve"> </w:t>
      </w:r>
      <w:r w:rsidRPr="00DB18ED">
        <w:rPr>
          <w:rFonts w:ascii="Times New Roman" w:hAnsi="Times New Roman" w:cs="Times New Roman"/>
          <w:sz w:val="24"/>
          <w:szCs w:val="24"/>
        </w:rPr>
        <w:t>P. Convey is supported by NERC core funding to the BAS ‘Biodiversity, Evolution and Adaptation’ Team</w:t>
      </w:r>
      <w:r>
        <w:rPr>
          <w:rFonts w:ascii="Times New Roman" w:hAnsi="Times New Roman" w:cs="Times New Roman"/>
          <w:sz w:val="24"/>
          <w:szCs w:val="24"/>
        </w:rPr>
        <w:t>.</w:t>
      </w:r>
      <w:r>
        <w:rPr>
          <w:rFonts w:ascii="Times New Roman" w:hAnsi="Times New Roman" w:cs="Times New Roman"/>
          <w:sz w:val="24"/>
          <w:szCs w:val="24"/>
        </w:rPr>
        <w:br w:type="page"/>
      </w:r>
      <w:r w:rsidRPr="00F62056">
        <w:rPr>
          <w:rFonts w:ascii="Times New Roman" w:hAnsi="Times New Roman" w:cs="Times New Roman"/>
          <w:b/>
          <w:sz w:val="24"/>
          <w:szCs w:val="24"/>
          <w:lang w:val="en-GB"/>
        </w:rPr>
        <w:t>Abstract</w:t>
      </w:r>
    </w:p>
    <w:p w:rsidR="000C149F" w:rsidRPr="00F62056" w:rsidRDefault="000C149F" w:rsidP="008A0E05">
      <w:pPr>
        <w:spacing w:after="0" w:line="480" w:lineRule="auto"/>
        <w:rPr>
          <w:rFonts w:ascii="Times New Roman" w:hAnsi="Times New Roman" w:cs="Times New Roman"/>
          <w:sz w:val="24"/>
          <w:szCs w:val="24"/>
        </w:rPr>
      </w:pPr>
      <w:r w:rsidRPr="00F62056">
        <w:rPr>
          <w:rFonts w:ascii="Times New Roman" w:hAnsi="Times New Roman" w:cs="Times New Roman"/>
          <w:sz w:val="24"/>
          <w:szCs w:val="24"/>
        </w:rPr>
        <w:t xml:space="preserve">Understanding the current </w:t>
      </w:r>
      <w:r>
        <w:rPr>
          <w:rFonts w:ascii="Times New Roman" w:hAnsi="Times New Roman" w:cs="Times New Roman"/>
          <w:sz w:val="24"/>
          <w:szCs w:val="24"/>
        </w:rPr>
        <w:t xml:space="preserve">conservation </w:t>
      </w:r>
      <w:r w:rsidRPr="00F62056">
        <w:rPr>
          <w:rFonts w:ascii="Times New Roman" w:hAnsi="Times New Roman" w:cs="Times New Roman"/>
          <w:sz w:val="24"/>
          <w:szCs w:val="24"/>
        </w:rPr>
        <w:t>status of important taxonomic groups is a key starting point for any species monitoring endeavour, and identif</w:t>
      </w:r>
      <w:r>
        <w:rPr>
          <w:rFonts w:ascii="Times New Roman" w:hAnsi="Times New Roman" w:cs="Times New Roman"/>
          <w:sz w:val="24"/>
          <w:szCs w:val="24"/>
        </w:rPr>
        <w:t>ying</w:t>
      </w:r>
      <w:r w:rsidRPr="00F62056">
        <w:rPr>
          <w:rFonts w:ascii="Times New Roman" w:hAnsi="Times New Roman" w:cs="Times New Roman"/>
          <w:sz w:val="24"/>
          <w:szCs w:val="24"/>
        </w:rPr>
        <w:t xml:space="preserve"> recent trends in abundance and diversity can help </w:t>
      </w:r>
      <w:r>
        <w:rPr>
          <w:rFonts w:ascii="Times New Roman" w:hAnsi="Times New Roman" w:cs="Times New Roman"/>
          <w:sz w:val="24"/>
          <w:szCs w:val="24"/>
        </w:rPr>
        <w:t>in</w:t>
      </w:r>
      <w:r w:rsidRPr="00F62056">
        <w:rPr>
          <w:rFonts w:ascii="Times New Roman" w:hAnsi="Times New Roman" w:cs="Times New Roman"/>
          <w:sz w:val="24"/>
          <w:szCs w:val="24"/>
        </w:rPr>
        <w:t xml:space="preserve"> prioritis</w:t>
      </w:r>
      <w:r>
        <w:rPr>
          <w:rFonts w:ascii="Times New Roman" w:hAnsi="Times New Roman" w:cs="Times New Roman"/>
          <w:sz w:val="24"/>
          <w:szCs w:val="24"/>
        </w:rPr>
        <w:t>ing</w:t>
      </w:r>
      <w:r w:rsidRPr="00F62056">
        <w:rPr>
          <w:rFonts w:ascii="Times New Roman" w:hAnsi="Times New Roman" w:cs="Times New Roman"/>
          <w:sz w:val="24"/>
          <w:szCs w:val="24"/>
        </w:rPr>
        <w:t xml:space="preserve"> focal species</w:t>
      </w:r>
      <w:r>
        <w:rPr>
          <w:rFonts w:ascii="Times New Roman" w:hAnsi="Times New Roman" w:cs="Times New Roman"/>
          <w:sz w:val="24"/>
          <w:szCs w:val="24"/>
        </w:rPr>
        <w:t xml:space="preserve"> for management</w:t>
      </w:r>
      <w:r w:rsidRPr="00F62056">
        <w:rPr>
          <w:rFonts w:ascii="Times New Roman" w:hAnsi="Times New Roman" w:cs="Times New Roman"/>
          <w:sz w:val="24"/>
          <w:szCs w:val="24"/>
        </w:rPr>
        <w:t xml:space="preserve">. </w:t>
      </w:r>
      <w:r>
        <w:rPr>
          <w:rFonts w:ascii="Times New Roman" w:hAnsi="Times New Roman" w:cs="Times New Roman"/>
          <w:sz w:val="24"/>
          <w:szCs w:val="24"/>
        </w:rPr>
        <w:t>Unfortunately</w:t>
      </w:r>
      <w:r w:rsidRPr="00F62056">
        <w:rPr>
          <w:rFonts w:ascii="Times New Roman" w:hAnsi="Times New Roman" w:cs="Times New Roman"/>
          <w:sz w:val="24"/>
          <w:szCs w:val="24"/>
        </w:rPr>
        <w:t xml:space="preserve">, such information is </w:t>
      </w:r>
      <w:r>
        <w:rPr>
          <w:rFonts w:ascii="Times New Roman" w:hAnsi="Times New Roman" w:cs="Times New Roman"/>
          <w:sz w:val="24"/>
          <w:szCs w:val="24"/>
        </w:rPr>
        <w:t xml:space="preserve">largely </w:t>
      </w:r>
      <w:r w:rsidRPr="00F62056">
        <w:rPr>
          <w:rFonts w:ascii="Times New Roman" w:hAnsi="Times New Roman" w:cs="Times New Roman"/>
          <w:sz w:val="24"/>
          <w:szCs w:val="24"/>
        </w:rPr>
        <w:t xml:space="preserve">lacking for arthropods </w:t>
      </w:r>
      <w:r>
        <w:rPr>
          <w:rFonts w:ascii="Times New Roman" w:hAnsi="Times New Roman" w:cs="Times New Roman"/>
          <w:sz w:val="24"/>
          <w:szCs w:val="24"/>
        </w:rPr>
        <w:t>across</w:t>
      </w:r>
      <w:r w:rsidRPr="00F62056">
        <w:rPr>
          <w:rFonts w:ascii="Times New Roman" w:hAnsi="Times New Roman" w:cs="Times New Roman"/>
          <w:sz w:val="24"/>
          <w:szCs w:val="24"/>
        </w:rPr>
        <w:t xml:space="preserve"> much of the Arctic. Current species richness lists are disparate, </w:t>
      </w:r>
      <w:r>
        <w:rPr>
          <w:rFonts w:ascii="Times New Roman" w:hAnsi="Times New Roman" w:cs="Times New Roman"/>
          <w:sz w:val="24"/>
          <w:szCs w:val="24"/>
        </w:rPr>
        <w:t xml:space="preserve">they </w:t>
      </w:r>
      <w:r w:rsidRPr="00F62056">
        <w:rPr>
          <w:rFonts w:ascii="Times New Roman" w:hAnsi="Times New Roman" w:cs="Times New Roman"/>
          <w:sz w:val="24"/>
          <w:szCs w:val="24"/>
        </w:rPr>
        <w:t xml:space="preserve">cover </w:t>
      </w:r>
      <w:r>
        <w:rPr>
          <w:rFonts w:ascii="Times New Roman" w:hAnsi="Times New Roman" w:cs="Times New Roman"/>
          <w:sz w:val="24"/>
          <w:szCs w:val="24"/>
        </w:rPr>
        <w:t>unevenly sized</w:t>
      </w:r>
      <w:r w:rsidRPr="00F62056">
        <w:rPr>
          <w:rFonts w:ascii="Times New Roman" w:hAnsi="Times New Roman" w:cs="Times New Roman"/>
          <w:sz w:val="24"/>
          <w:szCs w:val="24"/>
        </w:rPr>
        <w:t xml:space="preserve"> </w:t>
      </w:r>
      <w:r>
        <w:rPr>
          <w:rFonts w:ascii="Times New Roman" w:hAnsi="Times New Roman" w:cs="Times New Roman"/>
          <w:sz w:val="24"/>
          <w:szCs w:val="24"/>
        </w:rPr>
        <w:t>geographic regions and</w:t>
      </w:r>
      <w:r w:rsidRPr="00F62056">
        <w:rPr>
          <w:rFonts w:ascii="Times New Roman" w:hAnsi="Times New Roman" w:cs="Times New Roman"/>
          <w:sz w:val="24"/>
          <w:szCs w:val="24"/>
        </w:rPr>
        <w:t xml:space="preserve"> long-term </w:t>
      </w:r>
      <w:r>
        <w:rPr>
          <w:rFonts w:ascii="Times New Roman" w:hAnsi="Times New Roman" w:cs="Times New Roman"/>
          <w:sz w:val="24"/>
          <w:szCs w:val="24"/>
        </w:rPr>
        <w:t xml:space="preserve">repeat survey </w:t>
      </w:r>
      <w:r w:rsidRPr="00F62056">
        <w:rPr>
          <w:rFonts w:ascii="Times New Roman" w:hAnsi="Times New Roman" w:cs="Times New Roman"/>
          <w:sz w:val="24"/>
          <w:szCs w:val="24"/>
        </w:rPr>
        <w:t xml:space="preserve">data </w:t>
      </w:r>
      <w:r>
        <w:rPr>
          <w:rFonts w:ascii="Times New Roman" w:hAnsi="Times New Roman" w:cs="Times New Roman"/>
          <w:sz w:val="24"/>
          <w:szCs w:val="24"/>
        </w:rPr>
        <w:t>are</w:t>
      </w:r>
      <w:r w:rsidRPr="00F62056">
        <w:rPr>
          <w:rFonts w:ascii="Times New Roman" w:hAnsi="Times New Roman" w:cs="Times New Roman"/>
          <w:sz w:val="24"/>
          <w:szCs w:val="24"/>
        </w:rPr>
        <w:t xml:space="preserve"> virtually absent for </w:t>
      </w:r>
      <w:r>
        <w:rPr>
          <w:rFonts w:ascii="Times New Roman" w:hAnsi="Times New Roman" w:cs="Times New Roman"/>
          <w:sz w:val="24"/>
          <w:szCs w:val="24"/>
        </w:rPr>
        <w:t>most groups</w:t>
      </w:r>
      <w:r w:rsidRPr="00F62056">
        <w:rPr>
          <w:rFonts w:ascii="Times New Roman" w:hAnsi="Times New Roman" w:cs="Times New Roman"/>
          <w:sz w:val="24"/>
          <w:szCs w:val="24"/>
        </w:rPr>
        <w:t xml:space="preserve">. </w:t>
      </w:r>
      <w:r>
        <w:rPr>
          <w:rFonts w:ascii="Times New Roman" w:hAnsi="Times New Roman" w:cs="Times New Roman"/>
          <w:sz w:val="24"/>
          <w:szCs w:val="24"/>
        </w:rPr>
        <w:t xml:space="preserve">The Circumpolar Biodiversity Monitoring Programme (CBMP) provides an opportunity to address these issues, but initial baseline studies are required to summarise the status and trends of planned target groups of species known as Focal Ecosystem Components (FECs). </w:t>
      </w:r>
      <w:r w:rsidRPr="00F62056">
        <w:rPr>
          <w:rFonts w:ascii="Times New Roman" w:hAnsi="Times New Roman" w:cs="Times New Roman"/>
          <w:sz w:val="24"/>
          <w:szCs w:val="24"/>
        </w:rPr>
        <w:t>In this study, we</w:t>
      </w:r>
      <w:r>
        <w:rPr>
          <w:rFonts w:ascii="Times New Roman" w:hAnsi="Times New Roman" w:cs="Times New Roman"/>
          <w:sz w:val="24"/>
          <w:szCs w:val="24"/>
        </w:rPr>
        <w:t xml:space="preserve"> begin this process by collating</w:t>
      </w:r>
      <w:r w:rsidRPr="00F62056">
        <w:rPr>
          <w:rFonts w:ascii="Times New Roman" w:hAnsi="Times New Roman" w:cs="Times New Roman"/>
          <w:sz w:val="24"/>
          <w:szCs w:val="24"/>
        </w:rPr>
        <w:t xml:space="preserve"> available data for </w:t>
      </w:r>
      <w:r>
        <w:rPr>
          <w:rFonts w:ascii="Times New Roman" w:hAnsi="Times New Roman" w:cs="Times New Roman"/>
          <w:sz w:val="24"/>
          <w:szCs w:val="24"/>
        </w:rPr>
        <w:t xml:space="preserve">selected </w:t>
      </w:r>
      <w:r w:rsidRPr="00F62056">
        <w:rPr>
          <w:rFonts w:ascii="Times New Roman" w:hAnsi="Times New Roman" w:cs="Times New Roman"/>
          <w:sz w:val="24"/>
          <w:szCs w:val="24"/>
        </w:rPr>
        <w:t>arthropods</w:t>
      </w:r>
      <w:r w:rsidRPr="005C3963">
        <w:rPr>
          <w:rFonts w:ascii="Times New Roman" w:hAnsi="Times New Roman" w:cs="Times New Roman"/>
          <w:sz w:val="24"/>
          <w:szCs w:val="24"/>
        </w:rPr>
        <w:t xml:space="preserve"> </w:t>
      </w:r>
      <w:r>
        <w:rPr>
          <w:rFonts w:ascii="Times New Roman" w:hAnsi="Times New Roman" w:cs="Times New Roman"/>
          <w:sz w:val="24"/>
          <w:szCs w:val="24"/>
        </w:rPr>
        <w:t>for a relatively well-studied region in the Arctic, the North Atlantic region. Specifically, we</w:t>
      </w:r>
      <w:r w:rsidRPr="00F62056">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F62056">
        <w:rPr>
          <w:rFonts w:ascii="Times New Roman" w:hAnsi="Times New Roman" w:cs="Times New Roman"/>
          <w:sz w:val="24"/>
          <w:szCs w:val="24"/>
        </w:rPr>
        <w:t>synthesis</w:t>
      </w:r>
      <w:r>
        <w:rPr>
          <w:rFonts w:ascii="Times New Roman" w:hAnsi="Times New Roman" w:cs="Times New Roman"/>
          <w:sz w:val="24"/>
          <w:szCs w:val="24"/>
        </w:rPr>
        <w:t>e</w:t>
      </w:r>
      <w:r w:rsidRPr="00F62056">
        <w:rPr>
          <w:rFonts w:ascii="Times New Roman" w:hAnsi="Times New Roman" w:cs="Times New Roman"/>
          <w:sz w:val="24"/>
          <w:szCs w:val="24"/>
        </w:rPr>
        <w:t xml:space="preserve"> </w:t>
      </w:r>
      <w:r>
        <w:rPr>
          <w:rFonts w:ascii="Times New Roman" w:hAnsi="Times New Roman" w:cs="Times New Roman"/>
          <w:sz w:val="24"/>
          <w:szCs w:val="24"/>
        </w:rPr>
        <w:t xml:space="preserve">the diversity of key </w:t>
      </w:r>
      <w:r w:rsidRPr="00F62056">
        <w:rPr>
          <w:rFonts w:ascii="Times New Roman" w:hAnsi="Times New Roman" w:cs="Times New Roman"/>
          <w:sz w:val="24"/>
          <w:szCs w:val="24"/>
        </w:rPr>
        <w:t xml:space="preserve">terrestrial arthropod </w:t>
      </w:r>
      <w:r>
        <w:rPr>
          <w:rFonts w:ascii="Times New Roman" w:hAnsi="Times New Roman" w:cs="Times New Roman"/>
          <w:sz w:val="24"/>
          <w:szCs w:val="24"/>
        </w:rPr>
        <w:t>FECs, and 2) compile trends for some species representative of each of these FECs</w:t>
      </w:r>
      <w:r w:rsidRPr="00F62056">
        <w:rPr>
          <w:rFonts w:ascii="Times New Roman" w:hAnsi="Times New Roman" w:cs="Times New Roman"/>
          <w:sz w:val="24"/>
          <w:szCs w:val="24"/>
        </w:rPr>
        <w:t xml:space="preserve">. </w:t>
      </w:r>
      <w:r>
        <w:rPr>
          <w:rFonts w:ascii="Times New Roman" w:hAnsi="Times New Roman" w:cs="Times New Roman"/>
          <w:sz w:val="24"/>
          <w:szCs w:val="24"/>
        </w:rPr>
        <w:t>We found the FEC classification system to be challenging to implement, particularly for less well-known arthropod families, but identified some key groups to target in the initial phases of the programme. Long-term data are scarce, and the trends we found differed between habitat types and showed high levels of spatial and temporal variability. Nevertheless, we found that a number of species and groups are in decline, mirroring patterns in other regions of the world. We emphasise that terrestrial arthropods require higher priority within future Arctic monitoring programmes.</w:t>
      </w:r>
    </w:p>
    <w:p w:rsidR="000C149F" w:rsidRDefault="000C149F">
      <w:pPr>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rPr>
      </w:pPr>
      <w:r w:rsidRPr="00B02B36">
        <w:rPr>
          <w:rFonts w:ascii="Times New Roman" w:hAnsi="Times New Roman" w:cs="Times New Roman"/>
          <w:b/>
          <w:sz w:val="24"/>
          <w:szCs w:val="24"/>
        </w:rPr>
        <w:t>Keywords</w:t>
      </w:r>
      <w:r>
        <w:rPr>
          <w:rFonts w:ascii="Times New Roman" w:hAnsi="Times New Roman" w:cs="Times New Roman"/>
          <w:sz w:val="24"/>
          <w:szCs w:val="24"/>
        </w:rPr>
        <w:t>: blood-feeding, climate change</w:t>
      </w:r>
      <w:r w:rsidRPr="00C44564">
        <w:rPr>
          <w:rFonts w:ascii="Times New Roman" w:hAnsi="Times New Roman" w:cs="Times New Roman"/>
          <w:sz w:val="24"/>
          <w:szCs w:val="24"/>
        </w:rPr>
        <w:t xml:space="preserve"> </w:t>
      </w:r>
      <w:r>
        <w:rPr>
          <w:rFonts w:ascii="Times New Roman" w:hAnsi="Times New Roman" w:cs="Times New Roman"/>
          <w:sz w:val="24"/>
          <w:szCs w:val="24"/>
        </w:rPr>
        <w:t>drivers, decomposers, Greenland, Iceland, herbivores, insects, invertebrate prey, Jan Mayen, pollinators, predators, Svalbard</w:t>
      </w:r>
    </w:p>
    <w:p w:rsidR="000C149F" w:rsidRDefault="000C149F">
      <w:pPr>
        <w:rPr>
          <w:rFonts w:ascii="Times New Roman" w:hAnsi="Times New Roman" w:cs="Times New Roman"/>
          <w:sz w:val="24"/>
          <w:szCs w:val="24"/>
        </w:rPr>
      </w:pPr>
      <w:r>
        <w:rPr>
          <w:rFonts w:ascii="Times New Roman" w:hAnsi="Times New Roman" w:cs="Times New Roman"/>
          <w:sz w:val="24"/>
          <w:szCs w:val="24"/>
        </w:rPr>
        <w:br w:type="page"/>
      </w:r>
    </w:p>
    <w:p w:rsidR="000C149F" w:rsidRPr="005101A8" w:rsidRDefault="000C149F" w:rsidP="008A0E05">
      <w:pPr>
        <w:pStyle w:val="ListParagraph"/>
        <w:numPr>
          <w:ilvl w:val="0"/>
          <w:numId w:val="11"/>
        </w:numPr>
        <w:spacing w:line="480" w:lineRule="auto"/>
        <w:rPr>
          <w:rFonts w:ascii="Times New Roman" w:hAnsi="Times New Roman" w:cs="Times New Roman"/>
          <w:b/>
          <w:sz w:val="24"/>
          <w:szCs w:val="24"/>
        </w:rPr>
      </w:pPr>
      <w:r w:rsidRPr="005101A8">
        <w:rPr>
          <w:rFonts w:ascii="Times New Roman" w:hAnsi="Times New Roman" w:cs="Times New Roman"/>
          <w:b/>
          <w:sz w:val="24"/>
          <w:szCs w:val="24"/>
        </w:rPr>
        <w:t>Introduction</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The richness of arthropod life and the complexities of Arctic food webs have been highlighted</w:t>
      </w:r>
      <w:r w:rsidRPr="00C7509C">
        <w:rPr>
          <w:rFonts w:ascii="Times New Roman" w:hAnsi="Times New Roman" w:cs="Times New Roman"/>
          <w:sz w:val="24"/>
          <w:szCs w:val="24"/>
        </w:rPr>
        <w:t xml:space="preserve"> </w:t>
      </w:r>
      <w:r>
        <w:rPr>
          <w:rFonts w:ascii="Times New Roman" w:hAnsi="Times New Roman" w:cs="Times New Roman"/>
          <w:sz w:val="24"/>
          <w:szCs w:val="24"/>
        </w:rPr>
        <w:t xml:space="preserve">recently, challenging the more traditional and simplistic viewpoints that compare them to temperate and tropical zones </w:t>
      </w:r>
      <w:r>
        <w:rPr>
          <w:rFonts w:ascii="Times New Roman" w:hAnsi="Times New Roman" w:cs="Times New Roman"/>
          <w:noProof/>
          <w:sz w:val="24"/>
          <w:szCs w:val="24"/>
        </w:rPr>
        <w:t>(Hodkinson et al. 2004, Høye and Sikes 2013, Roslin et al. 2013, Hansen et al. 2016, Høye and Culler 2018)</w:t>
      </w:r>
      <w:r>
        <w:rPr>
          <w:rFonts w:ascii="Times New Roman" w:hAnsi="Times New Roman" w:cs="Times New Roman"/>
          <w:sz w:val="24"/>
          <w:szCs w:val="24"/>
        </w:rPr>
        <w:t xml:space="preserve">. From the northern polar deserts, through the tundra, to the boreal zone, arthropods dominate faunal biodiversity in terms of species richness and abundance, with some groups found at densities of up to several million individuals per square meter </w:t>
      </w:r>
      <w:r>
        <w:rPr>
          <w:rFonts w:ascii="Times New Roman" w:hAnsi="Times New Roman" w:cs="Times New Roman"/>
          <w:noProof/>
          <w:sz w:val="24"/>
          <w:szCs w:val="24"/>
        </w:rPr>
        <w:t>(Hodkinson et al. 2013)</w:t>
      </w:r>
      <w:r>
        <w:rPr>
          <w:rFonts w:ascii="Times New Roman" w:hAnsi="Times New Roman" w:cs="Times New Roman"/>
          <w:sz w:val="24"/>
          <w:szCs w:val="24"/>
        </w:rPr>
        <w:t xml:space="preserve">. </w:t>
      </w:r>
      <w:r w:rsidRPr="004C5BCC">
        <w:rPr>
          <w:rFonts w:ascii="Times New Roman" w:hAnsi="Times New Roman" w:cs="Times New Roman"/>
          <w:sz w:val="24"/>
          <w:szCs w:val="24"/>
        </w:rPr>
        <w:t xml:space="preserve">There is also growing appreciation that arthropods are vital to ecological functioning and community dynamics throughout the region </w:t>
      </w:r>
      <w:r w:rsidRPr="004C5BCC">
        <w:rPr>
          <w:rFonts w:ascii="Times New Roman" w:hAnsi="Times New Roman" w:cs="Times New Roman"/>
          <w:noProof/>
          <w:sz w:val="24"/>
          <w:szCs w:val="24"/>
        </w:rPr>
        <w:t>(Hodkinson and Coulson 2004, Barrio et al. 2017)</w:t>
      </w:r>
      <w:r>
        <w:rPr>
          <w:rFonts w:ascii="Times New Roman" w:hAnsi="Times New Roman" w:cs="Times New Roman"/>
          <w:sz w:val="24"/>
          <w:szCs w:val="24"/>
        </w:rPr>
        <w:t xml:space="preserve">, fulfilling diverse roles such as soil nutrient cycling, decomposition and pollination. Further, they are integral to Arctic food webs with the potential to directly and indirectly influence plant and vertebrate diversity and abundance </w:t>
      </w:r>
      <w:r>
        <w:rPr>
          <w:rFonts w:ascii="Times New Roman" w:hAnsi="Times New Roman" w:cs="Times New Roman"/>
          <w:noProof/>
          <w:sz w:val="24"/>
          <w:szCs w:val="24"/>
        </w:rPr>
        <w:t>(Hodkinson and Coulson 2004, Roslin et al. 2013, Wirta et al. 2015, Schmidt et al. 2017)</w:t>
      </w:r>
      <w:r>
        <w:rPr>
          <w:rFonts w:ascii="Times New Roman" w:hAnsi="Times New Roman" w:cs="Times New Roman"/>
          <w:sz w:val="24"/>
          <w:szCs w:val="24"/>
        </w:rPr>
        <w:t xml:space="preserve">. However, the state of knowledge of Arctic arthropods lags far behind that of plants and vertebrates (e.g., </w:t>
      </w:r>
      <w:r w:rsidRPr="000424D3">
        <w:rPr>
          <w:rFonts w:ascii="Times New Roman" w:hAnsi="Times New Roman" w:cs="Times New Roman"/>
          <w:sz w:val="24"/>
          <w:szCs w:val="24"/>
          <w:highlight w:val="yellow"/>
        </w:rPr>
        <w:t>Russell et al., this issue, Schmidt et al., this issue</w:t>
      </w:r>
      <w:r>
        <w:rPr>
          <w:rFonts w:ascii="Times New Roman" w:hAnsi="Times New Roman" w:cs="Times New Roman"/>
          <w:sz w:val="24"/>
          <w:szCs w:val="24"/>
        </w:rPr>
        <w:t xml:space="preserve">), and coupled with global declines of arthropods </w:t>
      </w:r>
      <w:r>
        <w:rPr>
          <w:rFonts w:ascii="Times New Roman" w:hAnsi="Times New Roman" w:cs="Times New Roman"/>
          <w:noProof/>
          <w:sz w:val="24"/>
          <w:szCs w:val="24"/>
        </w:rPr>
        <w:t>(Hallmann et al. 2017, Lister and Garcia 2018)</w:t>
      </w:r>
      <w:r>
        <w:rPr>
          <w:rFonts w:ascii="Times New Roman" w:hAnsi="Times New Roman" w:cs="Times New Roman"/>
          <w:sz w:val="24"/>
          <w:szCs w:val="24"/>
        </w:rPr>
        <w:t xml:space="preserve">, this makes their prominence in a circumpolar monitoring programme all the more imperative </w:t>
      </w:r>
      <w:r>
        <w:rPr>
          <w:rFonts w:ascii="Times New Roman" w:hAnsi="Times New Roman" w:cs="Times New Roman"/>
          <w:noProof/>
          <w:sz w:val="24"/>
          <w:szCs w:val="24"/>
        </w:rPr>
        <w:t>(Hodkinson et al. 2013)</w:t>
      </w:r>
      <w:r>
        <w:rPr>
          <w:rFonts w:ascii="Times New Roman" w:hAnsi="Times New Roman" w:cs="Times New Roman"/>
          <w:sz w:val="24"/>
          <w:szCs w:val="24"/>
        </w:rPr>
        <w:t>. In this paper, we synthesise several Arctic species inventories and datasets within the framework of the Circumpolar Biodiversity Monitoring Programme (hereafter CBMP; Christensen et al. 2013) to highlight the significance and challenges of terrestrial arthropod monitoring.</w:t>
      </w:r>
    </w:p>
    <w:p w:rsidR="000C149F" w:rsidRDefault="000C149F" w:rsidP="008A0E05">
      <w:pPr>
        <w:spacing w:line="480" w:lineRule="auto"/>
        <w:rPr>
          <w:rFonts w:ascii="Times New Roman" w:hAnsi="Times New Roman" w:cs="Times New Roman"/>
          <w:sz w:val="24"/>
          <w:szCs w:val="24"/>
        </w:rPr>
      </w:pPr>
    </w:p>
    <w:p w:rsidR="000C149F" w:rsidRPr="0033670D" w:rsidRDefault="000C149F" w:rsidP="008A0E05">
      <w:pPr>
        <w:spacing w:line="480" w:lineRule="auto"/>
        <w:rPr>
          <w:rFonts w:ascii="Times New Roman" w:hAnsi="Times New Roman" w:cs="Times New Roman"/>
          <w:sz w:val="24"/>
          <w:szCs w:val="24"/>
        </w:rPr>
      </w:pPr>
      <w:r w:rsidRPr="00F62056">
        <w:rPr>
          <w:rFonts w:ascii="Times New Roman" w:hAnsi="Times New Roman" w:cs="Times New Roman"/>
          <w:sz w:val="24"/>
          <w:szCs w:val="24"/>
        </w:rPr>
        <w:t xml:space="preserve">The </w:t>
      </w:r>
      <w:r>
        <w:rPr>
          <w:rFonts w:ascii="Times New Roman" w:hAnsi="Times New Roman" w:cs="Times New Roman"/>
          <w:sz w:val="24"/>
          <w:szCs w:val="24"/>
        </w:rPr>
        <w:t>CBMP represents an opportunity to</w:t>
      </w:r>
      <w:r w:rsidRPr="00F62056">
        <w:rPr>
          <w:rFonts w:ascii="Times New Roman" w:hAnsi="Times New Roman" w:cs="Times New Roman"/>
          <w:sz w:val="24"/>
          <w:szCs w:val="24"/>
        </w:rPr>
        <w:t xml:space="preserve"> address </w:t>
      </w:r>
      <w:r>
        <w:rPr>
          <w:rFonts w:ascii="Times New Roman" w:hAnsi="Times New Roman" w:cs="Times New Roman"/>
          <w:sz w:val="24"/>
          <w:szCs w:val="24"/>
        </w:rPr>
        <w:t xml:space="preserve">the lack of knowledge of arthropods and track responses to future change </w:t>
      </w:r>
      <w:r w:rsidRPr="00F62056">
        <w:rPr>
          <w:rFonts w:ascii="Times New Roman" w:hAnsi="Times New Roman" w:cs="Times New Roman"/>
          <w:sz w:val="24"/>
          <w:szCs w:val="24"/>
        </w:rPr>
        <w:t>by incorporating arthropod sampling into</w:t>
      </w:r>
      <w:r>
        <w:rPr>
          <w:rFonts w:ascii="Times New Roman" w:hAnsi="Times New Roman" w:cs="Times New Roman"/>
          <w:sz w:val="24"/>
          <w:szCs w:val="24"/>
        </w:rPr>
        <w:t xml:space="preserve"> international, standardised</w:t>
      </w:r>
      <w:r w:rsidRPr="00F62056">
        <w:rPr>
          <w:rFonts w:ascii="Times New Roman" w:hAnsi="Times New Roman" w:cs="Times New Roman"/>
          <w:sz w:val="24"/>
          <w:szCs w:val="24"/>
        </w:rPr>
        <w:t xml:space="preserve"> monitoring activities.</w:t>
      </w:r>
      <w:r>
        <w:rPr>
          <w:rFonts w:ascii="Times New Roman" w:hAnsi="Times New Roman" w:cs="Times New Roman"/>
          <w:sz w:val="24"/>
          <w:szCs w:val="24"/>
        </w:rPr>
        <w:t xml:space="preserve"> However, for such a programme to be efficient and successful, baseline inventories and decisions on focal taxa are required.  We provide an initial summary of biodiversity</w:t>
      </w:r>
      <w:r w:rsidRPr="00F62056">
        <w:rPr>
          <w:rFonts w:ascii="Times New Roman" w:hAnsi="Times New Roman" w:cs="Times New Roman"/>
          <w:sz w:val="24"/>
          <w:szCs w:val="24"/>
        </w:rPr>
        <w:t xml:space="preserve"> </w:t>
      </w:r>
      <w:r>
        <w:rPr>
          <w:rFonts w:ascii="Times New Roman" w:hAnsi="Times New Roman" w:cs="Times New Roman"/>
          <w:sz w:val="24"/>
          <w:szCs w:val="24"/>
        </w:rPr>
        <w:t>of terrestrial arthropods for a well-studied region of the Arctic, collating available data on recent diversity and abundance trends. We use this approach to assess the Focal Ecosystem Component (FEC) framework of the CBMP and offer recommendations for its improvement. The lack of information and coverage of data, as well as inconsistent taxonomic information, prevents a comprehensive review for the entire Arctic.</w:t>
      </w:r>
      <w:r w:rsidRPr="00F62056">
        <w:rPr>
          <w:rFonts w:ascii="Times New Roman" w:hAnsi="Times New Roman" w:cs="Times New Roman"/>
          <w:sz w:val="24"/>
          <w:szCs w:val="24"/>
        </w:rPr>
        <w:t xml:space="preserve"> Th</w:t>
      </w:r>
      <w:r>
        <w:rPr>
          <w:rFonts w:ascii="Times New Roman" w:hAnsi="Times New Roman" w:cs="Times New Roman"/>
          <w:sz w:val="24"/>
          <w:szCs w:val="24"/>
        </w:rPr>
        <w:t>is</w:t>
      </w:r>
      <w:r w:rsidRPr="00F62056">
        <w:rPr>
          <w:rFonts w:ascii="Times New Roman" w:hAnsi="Times New Roman" w:cs="Times New Roman"/>
          <w:sz w:val="24"/>
          <w:szCs w:val="24"/>
        </w:rPr>
        <w:t xml:space="preserve"> study therefore </w:t>
      </w:r>
      <w:r>
        <w:rPr>
          <w:rFonts w:ascii="Times New Roman" w:hAnsi="Times New Roman" w:cs="Times New Roman"/>
          <w:sz w:val="24"/>
          <w:szCs w:val="24"/>
        </w:rPr>
        <w:t>focusses on the North Atlantic region of the Arctic, arguably one of the best documented polar regions, to demonstrate the level of information required to determine the status and trends of all FEC attributes</w:t>
      </w:r>
      <w:r w:rsidRPr="00F62056">
        <w:rPr>
          <w:rFonts w:ascii="Times New Roman" w:hAnsi="Times New Roman" w:cs="Times New Roman"/>
          <w:sz w:val="24"/>
          <w:szCs w:val="24"/>
        </w:rPr>
        <w:t>.</w:t>
      </w:r>
      <w:r>
        <w:rPr>
          <w:rFonts w:ascii="Times New Roman" w:hAnsi="Times New Roman" w:cs="Times New Roman"/>
          <w:sz w:val="24"/>
          <w:szCs w:val="24"/>
        </w:rPr>
        <w:t xml:space="preserve"> A broader circumpolar evaluation of data availability for a model group of arthropods is given in Gillespie et al. (</w:t>
      </w:r>
      <w:r w:rsidRPr="000424D3">
        <w:rPr>
          <w:rFonts w:ascii="Times New Roman" w:hAnsi="Times New Roman" w:cs="Times New Roman"/>
          <w:sz w:val="24"/>
          <w:szCs w:val="24"/>
          <w:highlight w:val="yellow"/>
        </w:rPr>
        <w:t>this issue</w:t>
      </w:r>
      <w:r w:rsidRPr="004C5BCC">
        <w:rPr>
          <w:rFonts w:ascii="Times New Roman" w:hAnsi="Times New Roman" w:cs="Times New Roman"/>
          <w:sz w:val="24"/>
          <w:szCs w:val="24"/>
        </w:rPr>
        <w:t xml:space="preserve">). Given the unconventional groupings of the FECs (see section 2 below), we strongly recommend that readers consult the CBMP Terrestrial report (particularly section 4, page 48) for a full explanation of FECs and their development. Similarly, it should be noted that the definition of the Arctic used in this paper is that of the Circumpolar Arctic Vegetation Map </w:t>
      </w:r>
      <w:r w:rsidRPr="004C5BCC">
        <w:rPr>
          <w:rFonts w:ascii="Times New Roman" w:hAnsi="Times New Roman" w:cs="Times New Roman"/>
          <w:noProof/>
          <w:sz w:val="24"/>
          <w:szCs w:val="24"/>
        </w:rPr>
        <w:t>(</w:t>
      </w:r>
      <w:r w:rsidR="008A0E05">
        <w:rPr>
          <w:rFonts w:ascii="Times New Roman" w:hAnsi="Times New Roman" w:cs="Times New Roman"/>
          <w:noProof/>
          <w:sz w:val="24"/>
          <w:szCs w:val="24"/>
        </w:rPr>
        <w:t xml:space="preserve">CAVM </w:t>
      </w:r>
      <w:r w:rsidRPr="004C5BCC">
        <w:rPr>
          <w:rFonts w:ascii="Times New Roman" w:hAnsi="Times New Roman" w:cs="Times New Roman"/>
          <w:noProof/>
          <w:sz w:val="24"/>
          <w:szCs w:val="24"/>
        </w:rPr>
        <w:t>Team 2003)</w:t>
      </w:r>
      <w:r w:rsidRPr="004C5BCC">
        <w:rPr>
          <w:rFonts w:ascii="Times New Roman" w:hAnsi="Times New Roman" w:cs="Times New Roman"/>
          <w:sz w:val="24"/>
          <w:szCs w:val="24"/>
        </w:rPr>
        <w:t>, including divisions between High, Low and Sub-Arctic</w:t>
      </w:r>
      <w:r w:rsidRPr="00C66C3F">
        <w:rPr>
          <w:rFonts w:ascii="Times New Roman" w:hAnsi="Times New Roman" w:cs="Times New Roman"/>
          <w:sz w:val="24"/>
          <w:szCs w:val="24"/>
          <w:highlight w:val="lightGray"/>
        </w:rPr>
        <w:t>.</w:t>
      </w:r>
    </w:p>
    <w:p w:rsidR="000C149F" w:rsidRDefault="000C149F" w:rsidP="008A0E05">
      <w:pPr>
        <w:spacing w:line="480" w:lineRule="auto"/>
        <w:rPr>
          <w:rFonts w:ascii="Times New Roman" w:hAnsi="Times New Roman" w:cs="Times New Roman"/>
          <w:sz w:val="24"/>
          <w:szCs w:val="24"/>
        </w:rPr>
      </w:pPr>
    </w:p>
    <w:p w:rsidR="000C149F" w:rsidRPr="00880DD6" w:rsidRDefault="000C149F" w:rsidP="008A0E05">
      <w:pPr>
        <w:pStyle w:val="ListParagraph"/>
        <w:numPr>
          <w:ilvl w:val="0"/>
          <w:numId w:val="11"/>
        </w:numPr>
        <w:spacing w:line="480" w:lineRule="auto"/>
        <w:rPr>
          <w:rFonts w:ascii="Times New Roman" w:hAnsi="Times New Roman" w:cs="Times New Roman"/>
          <w:b/>
          <w:sz w:val="24"/>
          <w:szCs w:val="24"/>
        </w:rPr>
      </w:pPr>
      <w:r w:rsidRPr="00880DD6">
        <w:rPr>
          <w:rFonts w:ascii="Times New Roman" w:hAnsi="Times New Roman" w:cs="Times New Roman"/>
          <w:b/>
          <w:sz w:val="24"/>
          <w:szCs w:val="24"/>
        </w:rPr>
        <w:t xml:space="preserve">The Terrestrial </w:t>
      </w:r>
      <w:r>
        <w:rPr>
          <w:rFonts w:ascii="Times New Roman" w:hAnsi="Times New Roman" w:cs="Times New Roman"/>
          <w:b/>
          <w:sz w:val="24"/>
          <w:szCs w:val="24"/>
        </w:rPr>
        <w:t>Arthropod</w:t>
      </w:r>
      <w:r w:rsidRPr="00880DD6">
        <w:rPr>
          <w:rFonts w:ascii="Times New Roman" w:hAnsi="Times New Roman" w:cs="Times New Roman"/>
          <w:b/>
          <w:sz w:val="24"/>
          <w:szCs w:val="24"/>
        </w:rPr>
        <w:t xml:space="preserve"> Focal Ecosystem Components of </w:t>
      </w:r>
      <w:r>
        <w:rPr>
          <w:rFonts w:ascii="Times New Roman" w:hAnsi="Times New Roman" w:cs="Times New Roman"/>
          <w:b/>
          <w:sz w:val="24"/>
          <w:szCs w:val="24"/>
        </w:rPr>
        <w:t>the North Atlantic region</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As described in Christensen et al. (2013), the CBMP adopts a hierarchical approach to monitoring, with the first level being Focal Ecosystem Components (</w:t>
      </w:r>
      <w:r w:rsidRPr="00F62056">
        <w:rPr>
          <w:rFonts w:ascii="Times New Roman" w:hAnsi="Times New Roman" w:cs="Times New Roman"/>
          <w:sz w:val="24"/>
          <w:szCs w:val="24"/>
        </w:rPr>
        <w:t>FECs</w:t>
      </w:r>
      <w:r>
        <w:rPr>
          <w:rFonts w:ascii="Times New Roman" w:hAnsi="Times New Roman" w:cs="Times New Roman"/>
          <w:sz w:val="24"/>
          <w:szCs w:val="24"/>
        </w:rPr>
        <w:t xml:space="preserve">; groups of key organisms targeted for monitoring) and subsequent levels consisting of “attributes” and “parameters” of the FECs (Table 1). The five FECs </w:t>
      </w:r>
      <w:r w:rsidRPr="00F62056">
        <w:rPr>
          <w:rFonts w:ascii="Times New Roman" w:hAnsi="Times New Roman" w:cs="Times New Roman"/>
          <w:sz w:val="24"/>
          <w:szCs w:val="24"/>
        </w:rPr>
        <w:t xml:space="preserve">selected for terrestrial </w:t>
      </w:r>
      <w:r>
        <w:rPr>
          <w:rFonts w:ascii="Times New Roman" w:hAnsi="Times New Roman" w:cs="Times New Roman"/>
          <w:sz w:val="24"/>
          <w:szCs w:val="24"/>
        </w:rPr>
        <w:t>arthropod</w:t>
      </w:r>
      <w:r w:rsidRPr="00F62056">
        <w:rPr>
          <w:rFonts w:ascii="Times New Roman" w:hAnsi="Times New Roman" w:cs="Times New Roman"/>
          <w:sz w:val="24"/>
          <w:szCs w:val="24"/>
        </w:rPr>
        <w:t xml:space="preserve">s </w:t>
      </w:r>
      <w:r>
        <w:rPr>
          <w:rFonts w:ascii="Times New Roman" w:hAnsi="Times New Roman" w:cs="Times New Roman"/>
          <w:sz w:val="24"/>
          <w:szCs w:val="24"/>
        </w:rPr>
        <w:t>(blood-feeding, pollinators, decomposers, herbivores and prey for vertebrates) have not been applied in practice and baseline information is therefore required</w:t>
      </w:r>
      <w:r w:rsidRPr="00F62056">
        <w:rPr>
          <w:rFonts w:ascii="Times New Roman" w:hAnsi="Times New Roman" w:cs="Times New Roman"/>
          <w:sz w:val="24"/>
          <w:szCs w:val="24"/>
        </w:rPr>
        <w:t xml:space="preserve">. </w:t>
      </w:r>
      <w:r>
        <w:rPr>
          <w:rFonts w:ascii="Times New Roman" w:hAnsi="Times New Roman" w:cs="Times New Roman"/>
          <w:sz w:val="24"/>
          <w:szCs w:val="24"/>
        </w:rPr>
        <w:t xml:space="preserve">We begin this task by assigning known arthropod species to each of the five FECs with the broad aim of describing the potential species richness of each (i.e., rather than the actual number of species that frequently occur). We use the most recent species inventories for Greenland </w:t>
      </w:r>
      <w:r>
        <w:rPr>
          <w:rFonts w:ascii="Times New Roman" w:hAnsi="Times New Roman" w:cs="Times New Roman"/>
          <w:noProof/>
          <w:sz w:val="24"/>
          <w:szCs w:val="24"/>
        </w:rPr>
        <w:t>(Böcher et al. 2015)</w:t>
      </w:r>
      <w:r>
        <w:rPr>
          <w:rFonts w:ascii="Times New Roman" w:hAnsi="Times New Roman" w:cs="Times New Roman"/>
          <w:sz w:val="24"/>
          <w:szCs w:val="24"/>
        </w:rPr>
        <w:t xml:space="preserve">, Iceland </w:t>
      </w:r>
      <w:r>
        <w:rPr>
          <w:rFonts w:ascii="Times New Roman" w:hAnsi="Times New Roman" w:cs="Times New Roman"/>
          <w:noProof/>
          <w:sz w:val="24"/>
          <w:szCs w:val="24"/>
        </w:rPr>
        <w:t>(Lindroth 1957, Gauld and Bolton 1988)</w:t>
      </w:r>
      <w:r>
        <w:rPr>
          <w:rFonts w:ascii="Times New Roman" w:hAnsi="Times New Roman" w:cs="Times New Roman"/>
          <w:sz w:val="24"/>
          <w:szCs w:val="24"/>
        </w:rPr>
        <w:t xml:space="preserve">, Svalbard and Jan Mayen </w:t>
      </w:r>
      <w:r>
        <w:rPr>
          <w:rFonts w:ascii="Times New Roman" w:hAnsi="Times New Roman" w:cs="Times New Roman"/>
          <w:noProof/>
          <w:sz w:val="24"/>
          <w:szCs w:val="24"/>
        </w:rPr>
        <w:t>(Coulson et al. 2014)</w:t>
      </w:r>
      <w:r>
        <w:rPr>
          <w:rFonts w:ascii="Times New Roman" w:hAnsi="Times New Roman" w:cs="Times New Roman"/>
          <w:sz w:val="24"/>
          <w:szCs w:val="24"/>
        </w:rPr>
        <w:t xml:space="preserve">, to assign species of arthropods to FECs based on feeding or habitat preferences. Franz Josef Land, Novaya Zemlya and the Faroe islands are not included for brevity, and some large groups such as mites were not classified due to a lack of species-level information. Species performing multiple ecological roles were assigned to more than one category, and those not meeting the criteria for any of the five FECs were added to an “other” category. As many of these other species are predators and parasitoids, we also created an additional FEC for the CBMP to consider, hereafter termed “predators FEC”. </w:t>
      </w:r>
    </w:p>
    <w:p w:rsidR="000C149F"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For Greenland, we consider six “faunal districts” (</w:t>
      </w:r>
      <w:r w:rsidRPr="008A0E05">
        <w:rPr>
          <w:rFonts w:ascii="Times New Roman" w:hAnsi="Times New Roman" w:cs="Times New Roman"/>
          <w:i/>
          <w:sz w:val="24"/>
          <w:szCs w:val="24"/>
        </w:rPr>
        <w:t>sensu</w:t>
      </w:r>
      <w:r>
        <w:rPr>
          <w:rFonts w:ascii="Times New Roman" w:hAnsi="Times New Roman" w:cs="Times New Roman"/>
          <w:sz w:val="24"/>
          <w:szCs w:val="24"/>
        </w:rPr>
        <w:t xml:space="preserve"> </w:t>
      </w:r>
      <w:r w:rsidR="008A0E05">
        <w:rPr>
          <w:rFonts w:ascii="Times New Roman" w:hAnsi="Times New Roman" w:cs="Times New Roman"/>
          <w:noProof/>
          <w:sz w:val="24"/>
          <w:szCs w:val="24"/>
        </w:rPr>
        <w:t xml:space="preserve">Böcher </w:t>
      </w:r>
      <w:r>
        <w:rPr>
          <w:rFonts w:ascii="Times New Roman" w:hAnsi="Times New Roman" w:cs="Times New Roman"/>
          <w:noProof/>
          <w:sz w:val="24"/>
          <w:szCs w:val="24"/>
        </w:rPr>
        <w:t>1988</w:t>
      </w:r>
      <w:r>
        <w:rPr>
          <w:rFonts w:ascii="Times New Roman" w:hAnsi="Times New Roman" w:cs="Times New Roman"/>
          <w:sz w:val="24"/>
          <w:szCs w:val="24"/>
        </w:rPr>
        <w:t>; Figure 1) to provide an additional scale of classification and distinguish between High and Low Arctic zones (</w:t>
      </w:r>
      <w:r w:rsidRPr="005B2004">
        <w:rPr>
          <w:rFonts w:ascii="Times New Roman" w:hAnsi="Times New Roman" w:cs="Times New Roman"/>
          <w:i/>
          <w:sz w:val="24"/>
          <w:szCs w:val="24"/>
        </w:rPr>
        <w:t>sensu</w:t>
      </w:r>
      <w:r>
        <w:rPr>
          <w:rFonts w:ascii="Times New Roman" w:hAnsi="Times New Roman" w:cs="Times New Roman"/>
          <w:sz w:val="24"/>
          <w:szCs w:val="24"/>
        </w:rPr>
        <w:t xml:space="preserve"> CAVM 2003). We digitized information on distribution across faunal districts for 874 species (274 species have no current distribution information) as presented in Böcher et al. (2015). Iceland, Svalbard and Jan Mayen were considered as three separate districts (Figure 1). Where long-term (&gt; 10 years) time series data were available for FECs or groups of species within FECs, we analysed trends over time using simple linear regression after checking for temporal autocorrelation in the R programming environment (version 3.5.1, </w:t>
      </w:r>
      <w:r w:rsidR="008A0E05">
        <w:rPr>
          <w:rFonts w:ascii="Times New Roman" w:hAnsi="Times New Roman" w:cs="Times New Roman"/>
          <w:noProof/>
          <w:sz w:val="24"/>
          <w:szCs w:val="24"/>
        </w:rPr>
        <w:t>R Core Team 2018</w:t>
      </w:r>
      <w:r>
        <w:rPr>
          <w:rFonts w:ascii="Times New Roman" w:hAnsi="Times New Roman" w:cs="Times New Roman"/>
          <w:sz w:val="24"/>
          <w:szCs w:val="24"/>
        </w:rPr>
        <w:t>). Where autocorrelation was detected in a dataset, models were constructed to account for this as noted in each section. Full details of data analysis and our method of assigning species to FEC categories can be found in the supplementary material and the full FEC classification of arthropods is given in Table S1.</w:t>
      </w:r>
      <w:r>
        <w:rPr>
          <w:rFonts w:ascii="Times New Roman" w:hAnsi="Times New Roman" w:cs="Times New Roman"/>
          <w:sz w:val="24"/>
          <w:szCs w:val="24"/>
        </w:rPr>
        <w:br w:type="page"/>
      </w:r>
    </w:p>
    <w:p w:rsidR="000C149F" w:rsidRDefault="000C149F" w:rsidP="008A0E05">
      <w:r w:rsidRPr="006C4C40">
        <w:rPr>
          <w:b/>
        </w:rPr>
        <w:t xml:space="preserve">Table </w:t>
      </w:r>
      <w:r>
        <w:rPr>
          <w:b/>
        </w:rPr>
        <w:t>1</w:t>
      </w:r>
      <w:r w:rsidRPr="006C4C40">
        <w:rPr>
          <w:b/>
        </w:rPr>
        <w:t>:</w:t>
      </w:r>
      <w:r>
        <w:t xml:space="preserve"> The Focal Ecosystem Components (FECs), attributes and parameters to be monitored by the CBMP in relation to terrestrial arthropods (adapted from Christensen et al. 2013). Essential attributes and parameters are indicated in bold. Taxonomic groups considered by this paper are in bold. TK: traditional knowledge.</w:t>
      </w:r>
    </w:p>
    <w:tbl>
      <w:tblPr>
        <w:tblStyle w:val="PlainTable21"/>
        <w:tblW w:w="9351" w:type="dxa"/>
        <w:tblLayout w:type="fixed"/>
        <w:tblLook w:val="04A0" w:firstRow="1" w:lastRow="0" w:firstColumn="1" w:lastColumn="0" w:noHBand="0" w:noVBand="1"/>
      </w:tblPr>
      <w:tblGrid>
        <w:gridCol w:w="1271"/>
        <w:gridCol w:w="1706"/>
        <w:gridCol w:w="2410"/>
        <w:gridCol w:w="2268"/>
        <w:gridCol w:w="1696"/>
      </w:tblGrid>
      <w:tr w:rsidR="000C149F" w:rsidRPr="00250C69" w:rsidTr="008A0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7F7F7F" w:themeColor="text1" w:themeTint="80"/>
              <w:bottom w:val="single" w:sz="12" w:space="0" w:color="7F7F7F" w:themeColor="text1" w:themeTint="80"/>
            </w:tcBorders>
          </w:tcPr>
          <w:p w:rsidR="000C149F" w:rsidRPr="00250C69" w:rsidRDefault="000C149F" w:rsidP="008A0E05">
            <w:pPr>
              <w:rPr>
                <w:rFonts w:eastAsia="MyriadPro-Regular" w:cstheme="minorHAnsi"/>
                <w:sz w:val="14"/>
                <w:szCs w:val="18"/>
              </w:rPr>
            </w:pPr>
            <w:r w:rsidRPr="00250C69">
              <w:rPr>
                <w:rFonts w:eastAsia="MyriadPro-Regular" w:cstheme="minorHAnsi"/>
                <w:sz w:val="14"/>
                <w:szCs w:val="18"/>
              </w:rPr>
              <w:t>FEC</w:t>
            </w:r>
          </w:p>
        </w:tc>
        <w:tc>
          <w:tcPr>
            <w:tcW w:w="1706" w:type="dxa"/>
            <w:tcBorders>
              <w:top w:val="single" w:sz="12" w:space="0" w:color="7F7F7F" w:themeColor="text1" w:themeTint="80"/>
              <w:bottom w:val="single" w:sz="12" w:space="0" w:color="7F7F7F" w:themeColor="text1" w:themeTint="80"/>
            </w:tcBorders>
          </w:tcPr>
          <w:p w:rsidR="000C149F" w:rsidRPr="00250C69" w:rsidRDefault="000C149F" w:rsidP="008A0E05">
            <w:pPr>
              <w:cnfStyle w:val="100000000000" w:firstRow="1"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Attribute</w:t>
            </w:r>
          </w:p>
        </w:tc>
        <w:tc>
          <w:tcPr>
            <w:tcW w:w="2410" w:type="dxa"/>
            <w:tcBorders>
              <w:top w:val="single" w:sz="12" w:space="0" w:color="7F7F7F" w:themeColor="text1" w:themeTint="80"/>
              <w:bottom w:val="single" w:sz="12" w:space="0" w:color="7F7F7F" w:themeColor="text1" w:themeTint="80"/>
            </w:tcBorders>
          </w:tcPr>
          <w:p w:rsidR="000C149F" w:rsidRPr="00250C69" w:rsidRDefault="000C149F" w:rsidP="008A0E05">
            <w:pPr>
              <w:cnfStyle w:val="100000000000" w:firstRow="1"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Parameter</w:t>
            </w:r>
          </w:p>
        </w:tc>
        <w:tc>
          <w:tcPr>
            <w:tcW w:w="2268" w:type="dxa"/>
            <w:tcBorders>
              <w:top w:val="single" w:sz="12" w:space="0" w:color="7F7F7F" w:themeColor="text1" w:themeTint="80"/>
              <w:bottom w:val="single" w:sz="12" w:space="0" w:color="7F7F7F" w:themeColor="text1" w:themeTint="80"/>
            </w:tcBorders>
          </w:tcPr>
          <w:p w:rsidR="000C149F" w:rsidRPr="00250C69" w:rsidRDefault="000C149F" w:rsidP="008A0E05">
            <w:pPr>
              <w:cnfStyle w:val="100000000000" w:firstRow="1" w:lastRow="0" w:firstColumn="0" w:lastColumn="0" w:oddVBand="0" w:evenVBand="0" w:oddHBand="0" w:evenHBand="0" w:firstRowFirstColumn="0" w:firstRowLastColumn="0" w:lastRowFirstColumn="0" w:lastRowLastColumn="0"/>
              <w:rPr>
                <w:rFonts w:eastAsia="MyriadPro-Regular" w:cstheme="minorHAnsi"/>
                <w:sz w:val="14"/>
                <w:szCs w:val="18"/>
              </w:rPr>
            </w:pPr>
            <w:r>
              <w:rPr>
                <w:rFonts w:eastAsia="MyriadPro-Regular" w:cstheme="minorHAnsi"/>
                <w:sz w:val="14"/>
                <w:szCs w:val="18"/>
              </w:rPr>
              <w:t>Key m</w:t>
            </w:r>
            <w:r w:rsidRPr="00250C69">
              <w:rPr>
                <w:rFonts w:eastAsia="MyriadPro-Regular" w:cstheme="minorHAnsi"/>
                <w:sz w:val="14"/>
                <w:szCs w:val="18"/>
              </w:rPr>
              <w:t>ethod</w:t>
            </w:r>
            <w:r>
              <w:rPr>
                <w:rFonts w:eastAsia="MyriadPro-Regular" w:cstheme="minorHAnsi"/>
                <w:sz w:val="14"/>
                <w:szCs w:val="18"/>
              </w:rPr>
              <w:t xml:space="preserve"> suggested by CBMP</w:t>
            </w:r>
          </w:p>
        </w:tc>
        <w:tc>
          <w:tcPr>
            <w:tcW w:w="1696" w:type="dxa"/>
            <w:tcBorders>
              <w:top w:val="single" w:sz="12" w:space="0" w:color="7F7F7F" w:themeColor="text1" w:themeTint="80"/>
              <w:bottom w:val="single" w:sz="12" w:space="0" w:color="7F7F7F" w:themeColor="text1" w:themeTint="80"/>
            </w:tcBorders>
          </w:tcPr>
          <w:p w:rsidR="000C149F" w:rsidRPr="001F5D82" w:rsidRDefault="000C149F" w:rsidP="008A0E05">
            <w:pPr>
              <w:cnfStyle w:val="100000000000" w:firstRow="1" w:lastRow="0" w:firstColumn="0" w:lastColumn="0" w:oddVBand="0" w:evenVBand="0" w:oddHBand="0" w:evenHBand="0" w:firstRowFirstColumn="0" w:firstRowLastColumn="0" w:lastRowFirstColumn="0" w:lastRowLastColumn="0"/>
              <w:rPr>
                <w:rFonts w:eastAsia="MyriadPro-Regular" w:cstheme="minorHAnsi"/>
                <w:sz w:val="14"/>
                <w:szCs w:val="18"/>
              </w:rPr>
            </w:pPr>
            <w:r w:rsidRPr="001F5D82">
              <w:rPr>
                <w:rFonts w:eastAsia="MyriadPro-Regular" w:cstheme="minorHAnsi"/>
                <w:sz w:val="14"/>
                <w:szCs w:val="18"/>
              </w:rPr>
              <w:t>Groups considered by CBMP</w:t>
            </w:r>
          </w:p>
        </w:tc>
      </w:tr>
      <w:tr w:rsidR="000C149F" w:rsidRPr="00250C69" w:rsidTr="008A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7F7F7F" w:themeColor="text1" w:themeTint="80"/>
            </w:tcBorders>
          </w:tcPr>
          <w:p w:rsidR="000C149F" w:rsidRPr="00250C69" w:rsidRDefault="000C149F" w:rsidP="008A0E05">
            <w:pPr>
              <w:spacing w:before="60"/>
              <w:rPr>
                <w:rFonts w:eastAsia="MyriadPro-Regular" w:cstheme="minorHAnsi"/>
                <w:sz w:val="14"/>
                <w:szCs w:val="18"/>
              </w:rPr>
            </w:pPr>
            <w:r w:rsidRPr="00250C69">
              <w:rPr>
                <w:rFonts w:eastAsia="MyriadPro-Regular" w:cstheme="minorHAnsi"/>
                <w:sz w:val="14"/>
                <w:szCs w:val="18"/>
              </w:rPr>
              <w:t>Blood-feeding insects</w:t>
            </w:r>
          </w:p>
        </w:tc>
        <w:tc>
          <w:tcPr>
            <w:tcW w:w="1706" w:type="dxa"/>
            <w:tcBorders>
              <w:top w:val="single" w:sz="12" w:space="0" w:color="7F7F7F" w:themeColor="text1" w:themeTint="80"/>
            </w:tcBorders>
          </w:tcPr>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Diversity</w:t>
            </w:r>
          </w:p>
        </w:tc>
        <w:tc>
          <w:tcPr>
            <w:tcW w:w="2410" w:type="dxa"/>
            <w:tcBorders>
              <w:top w:val="single" w:sz="12" w:space="0" w:color="7F7F7F" w:themeColor="text1" w:themeTint="80"/>
            </w:tcBorders>
          </w:tcPr>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Species richness</w:t>
            </w:r>
          </w:p>
        </w:tc>
        <w:tc>
          <w:tcPr>
            <w:tcW w:w="2268" w:type="dxa"/>
            <w:tcBorders>
              <w:top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Hand collection, sweep netting, aspirator, Malaise traps, CO</w:t>
            </w:r>
            <w:r w:rsidRPr="00250C69">
              <w:rPr>
                <w:rFonts w:eastAsia="MyriadPro-Regular" w:cstheme="minorHAnsi"/>
                <w:sz w:val="14"/>
                <w:szCs w:val="18"/>
                <w:vertAlign w:val="subscript"/>
              </w:rPr>
              <w:t>2</w:t>
            </w:r>
            <w:r w:rsidRPr="00250C69">
              <w:rPr>
                <w:rFonts w:eastAsia="MyriadPro-Regular" w:cstheme="minorHAnsi"/>
                <w:sz w:val="14"/>
                <w:szCs w:val="18"/>
              </w:rPr>
              <w:t xml:space="preserve"> traps, light traps</w:t>
            </w:r>
          </w:p>
        </w:tc>
        <w:tc>
          <w:tcPr>
            <w:tcW w:w="1696" w:type="dxa"/>
            <w:vMerge w:val="restart"/>
            <w:tcBorders>
              <w:top w:val="single" w:sz="12" w:space="0" w:color="7F7F7F" w:themeColor="text1" w:themeTint="80"/>
            </w:tcBorders>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lang w:val="es-ES"/>
              </w:rPr>
            </w:pPr>
            <w:r w:rsidRPr="001F5D82">
              <w:rPr>
                <w:rFonts w:eastAsia="MyriadPro-Regular" w:cstheme="minorHAnsi"/>
                <w:b/>
                <w:sz w:val="14"/>
                <w:szCs w:val="18"/>
                <w:lang w:val="es-ES"/>
              </w:rPr>
              <w:t>Diptera: Simuliidae</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lang w:val="es-ES"/>
              </w:rPr>
            </w:pPr>
            <w:r w:rsidRPr="001F5D82">
              <w:rPr>
                <w:rFonts w:eastAsia="MyriadPro-Regular" w:cstheme="minorHAnsi"/>
                <w:b/>
                <w:sz w:val="14"/>
                <w:szCs w:val="18"/>
                <w:lang w:val="es-ES"/>
              </w:rPr>
              <w:t>Culicidae</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lang w:val="es-ES"/>
              </w:rPr>
            </w:pPr>
            <w:r w:rsidRPr="001F5D82">
              <w:rPr>
                <w:rFonts w:eastAsia="MyriadPro-Regular" w:cstheme="minorHAnsi"/>
                <w:b/>
                <w:sz w:val="14"/>
                <w:szCs w:val="18"/>
                <w:lang w:val="es-ES"/>
              </w:rPr>
              <w:t>Tabanidae</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lang w:val="es-ES"/>
              </w:rPr>
            </w:pPr>
            <w:r w:rsidRPr="001F5D82">
              <w:rPr>
                <w:rFonts w:eastAsia="MyriadPro-Regular" w:cstheme="minorHAnsi"/>
                <w:b/>
                <w:sz w:val="14"/>
                <w:szCs w:val="18"/>
                <w:lang w:val="es-ES"/>
              </w:rPr>
              <w:t>Ceratopogonidae</w:t>
            </w:r>
          </w:p>
        </w:tc>
      </w:tr>
      <w:tr w:rsidR="000C149F" w:rsidRPr="00250C69" w:rsidTr="008A0E05">
        <w:trPr>
          <w:trHeight w:val="690"/>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spacing w:before="240"/>
              <w:rPr>
                <w:rFonts w:eastAsia="MyriadPro-Regular" w:cstheme="minorHAnsi"/>
                <w:sz w:val="14"/>
                <w:szCs w:val="18"/>
                <w:lang w:val="es-ES"/>
              </w:rPr>
            </w:pPr>
          </w:p>
        </w:tc>
        <w:tc>
          <w:tcPr>
            <w:tcW w:w="1706" w:type="dxa"/>
          </w:tcPr>
          <w:p w:rsidR="000C149F" w:rsidRPr="00250C69" w:rsidRDefault="000C149F" w:rsidP="008A0E05">
            <w:pPr>
              <w:spacing w:before="240"/>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Abundance</w:t>
            </w:r>
          </w:p>
        </w:tc>
        <w:tc>
          <w:tcPr>
            <w:tcW w:w="2410" w:type="dxa"/>
          </w:tcPr>
          <w:p w:rsidR="000C149F" w:rsidRPr="00250C69" w:rsidRDefault="000C149F" w:rsidP="008A0E05">
            <w:pPr>
              <w:spacing w:before="240"/>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Relative abundance</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Sweep-net, baited traps, historical collections, TK</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Spatial structure</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Presence/absence</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relative abundance</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Phenology</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Date of emergence, seasonal activity</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relative abundance</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7F7F7F" w:themeColor="text1" w:themeTint="80"/>
            </w:tcBorders>
          </w:tcPr>
          <w:p w:rsidR="000C149F" w:rsidRPr="00250C69" w:rsidRDefault="000C149F" w:rsidP="008A0E05">
            <w:pPr>
              <w:rPr>
                <w:rFonts w:eastAsia="MyriadPro-Regular" w:cstheme="minorHAnsi"/>
                <w:sz w:val="14"/>
                <w:szCs w:val="18"/>
              </w:rPr>
            </w:pPr>
          </w:p>
        </w:tc>
        <w:tc>
          <w:tcPr>
            <w:tcW w:w="1706" w:type="dxa"/>
            <w:tcBorders>
              <w:bottom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Demographics</w:t>
            </w:r>
          </w:p>
        </w:tc>
        <w:tc>
          <w:tcPr>
            <w:tcW w:w="2410" w:type="dxa"/>
            <w:tcBorders>
              <w:bottom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Condition, life stage, sex ratio</w:t>
            </w:r>
          </w:p>
        </w:tc>
        <w:tc>
          <w:tcPr>
            <w:tcW w:w="2268" w:type="dxa"/>
            <w:tcBorders>
              <w:bottom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relative abundance</w:t>
            </w:r>
          </w:p>
        </w:tc>
        <w:tc>
          <w:tcPr>
            <w:tcW w:w="1696" w:type="dxa"/>
            <w:vMerge/>
            <w:tcBorders>
              <w:bottom w:val="single" w:sz="12" w:space="0" w:color="7F7F7F" w:themeColor="text1" w:themeTint="80"/>
            </w:tcBorders>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7F7F7F" w:themeColor="text1" w:themeTint="80"/>
            </w:tcBorders>
          </w:tcPr>
          <w:p w:rsidR="000C149F" w:rsidRPr="00250C69" w:rsidRDefault="000C149F" w:rsidP="008A0E05">
            <w:pPr>
              <w:spacing w:before="60"/>
              <w:rPr>
                <w:rFonts w:eastAsia="MyriadPro-Regular" w:cstheme="minorHAnsi"/>
                <w:sz w:val="14"/>
                <w:szCs w:val="18"/>
              </w:rPr>
            </w:pPr>
            <w:r w:rsidRPr="00250C69">
              <w:rPr>
                <w:rFonts w:eastAsia="MyriadPro-Regular" w:cstheme="minorHAnsi"/>
                <w:sz w:val="14"/>
                <w:szCs w:val="18"/>
              </w:rPr>
              <w:t>Pollinators</w:t>
            </w:r>
          </w:p>
        </w:tc>
        <w:tc>
          <w:tcPr>
            <w:tcW w:w="1706" w:type="dxa"/>
            <w:tcBorders>
              <w:top w:val="single" w:sz="12" w:space="0" w:color="7F7F7F" w:themeColor="text1" w:themeTint="80"/>
              <w:bottom w:val="single" w:sz="4" w:space="0" w:color="7F7F7F" w:themeColor="text1" w:themeTint="80"/>
            </w:tcBorders>
          </w:tcPr>
          <w:p w:rsidR="000C149F" w:rsidRPr="00250C69" w:rsidRDefault="000C149F" w:rsidP="008A0E05">
            <w:pPr>
              <w:spacing w:before="60"/>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Diversity</w:t>
            </w:r>
          </w:p>
        </w:tc>
        <w:tc>
          <w:tcPr>
            <w:tcW w:w="2410" w:type="dxa"/>
            <w:tcBorders>
              <w:top w:val="single" w:sz="12" w:space="0" w:color="7F7F7F" w:themeColor="text1" w:themeTint="80"/>
              <w:bottom w:val="single" w:sz="4" w:space="0" w:color="7F7F7F" w:themeColor="text1" w:themeTint="80"/>
            </w:tcBorders>
          </w:tcPr>
          <w:p w:rsidR="000C149F" w:rsidRPr="00250C69" w:rsidRDefault="000C149F" w:rsidP="008A0E05">
            <w:pPr>
              <w:spacing w:before="60"/>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Species richness</w:t>
            </w:r>
          </w:p>
        </w:tc>
        <w:tc>
          <w:tcPr>
            <w:tcW w:w="2268" w:type="dxa"/>
            <w:tcBorders>
              <w:top w:val="single" w:sz="12" w:space="0" w:color="7F7F7F" w:themeColor="text1" w:themeTint="80"/>
              <w:bottom w:val="single" w:sz="4"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Observation</w:t>
            </w:r>
          </w:p>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Pan traps, Vane traps</w:t>
            </w:r>
          </w:p>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Sweep netting</w:t>
            </w:r>
          </w:p>
        </w:tc>
        <w:tc>
          <w:tcPr>
            <w:tcW w:w="1696" w:type="dxa"/>
            <w:vMerge w:val="restart"/>
            <w:tcBorders>
              <w:top w:val="single" w:sz="12" w:space="0" w:color="7F7F7F" w:themeColor="text1" w:themeTint="80"/>
              <w:bottom w:val="single" w:sz="4" w:space="0" w:color="7F7F7F" w:themeColor="text1" w:themeTint="80"/>
            </w:tcBorders>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lang w:val="es-ES"/>
              </w:rPr>
            </w:pPr>
            <w:r w:rsidRPr="001F5D82">
              <w:rPr>
                <w:rFonts w:eastAsia="MyriadPro-Regular" w:cstheme="minorHAnsi"/>
                <w:b/>
                <w:sz w:val="14"/>
                <w:szCs w:val="18"/>
                <w:lang w:val="es-ES"/>
              </w:rPr>
              <w:t>Diptera</w:t>
            </w:r>
          </w:p>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lang w:val="es-ES"/>
              </w:rPr>
            </w:pPr>
            <w:r w:rsidRPr="001F5D82">
              <w:rPr>
                <w:rFonts w:eastAsia="MyriadPro-Regular" w:cstheme="minorHAnsi"/>
                <w:b/>
                <w:sz w:val="14"/>
                <w:szCs w:val="18"/>
                <w:lang w:val="es-ES"/>
              </w:rPr>
              <w:t>Lepidoptera</w:t>
            </w:r>
          </w:p>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lang w:val="es-ES"/>
              </w:rPr>
            </w:pPr>
            <w:r>
              <w:rPr>
                <w:rFonts w:eastAsia="MyriadPro-Regular" w:cstheme="minorHAnsi"/>
                <w:b/>
                <w:sz w:val="14"/>
                <w:szCs w:val="18"/>
                <w:lang w:val="es-ES"/>
              </w:rPr>
              <w:t xml:space="preserve">Hymenoptera: </w:t>
            </w:r>
            <w:r w:rsidRPr="001F5D82">
              <w:rPr>
                <w:rFonts w:eastAsia="MyriadPro-Regular" w:cstheme="minorHAnsi"/>
                <w:b/>
                <w:sz w:val="14"/>
                <w:szCs w:val="18"/>
                <w:lang w:val="es-ES"/>
              </w:rPr>
              <w:t>Apoidea</w:t>
            </w:r>
            <w:r w:rsidRPr="001F5D82">
              <w:rPr>
                <w:rFonts w:eastAsia="MyriadPro-Regular" w:cstheme="minorHAnsi"/>
                <w:sz w:val="14"/>
                <w:szCs w:val="18"/>
                <w:lang w:val="es-ES"/>
              </w:rPr>
              <w:t>:</w:t>
            </w:r>
          </w:p>
          <w:p w:rsidR="000C149F" w:rsidRPr="001F5D82" w:rsidRDefault="000C149F" w:rsidP="008A0E05">
            <w:pPr>
              <w:ind w:left="184"/>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lang w:val="es-ES"/>
              </w:rPr>
            </w:pPr>
            <w:r w:rsidRPr="001F5D82">
              <w:rPr>
                <w:rFonts w:eastAsia="MyriadPro-Regular" w:cstheme="minorHAnsi"/>
                <w:sz w:val="14"/>
                <w:szCs w:val="18"/>
                <w:lang w:val="es-ES"/>
              </w:rPr>
              <w:t>Megachilidae</w:t>
            </w:r>
          </w:p>
          <w:p w:rsidR="000C149F" w:rsidRPr="001F5D82" w:rsidRDefault="000C149F" w:rsidP="008A0E05">
            <w:pPr>
              <w:ind w:left="184"/>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lang w:val="es-ES"/>
              </w:rPr>
            </w:pPr>
            <w:r w:rsidRPr="001F5D82">
              <w:rPr>
                <w:rFonts w:eastAsia="MyriadPro-Regular" w:cstheme="minorHAnsi"/>
                <w:sz w:val="14"/>
                <w:szCs w:val="18"/>
                <w:lang w:val="es-ES"/>
              </w:rPr>
              <w:t>Colletidae</w:t>
            </w:r>
          </w:p>
          <w:p w:rsidR="000C149F" w:rsidRPr="001F5D82" w:rsidRDefault="000C149F" w:rsidP="008A0E05">
            <w:pPr>
              <w:ind w:left="184"/>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lang w:val="es-ES"/>
              </w:rPr>
            </w:pPr>
            <w:r w:rsidRPr="001F5D82">
              <w:rPr>
                <w:rFonts w:eastAsia="MyriadPro-Regular" w:cstheme="minorHAnsi"/>
                <w:sz w:val="14"/>
                <w:szCs w:val="18"/>
                <w:lang w:val="es-ES"/>
              </w:rPr>
              <w:t>Hallictidae</w:t>
            </w:r>
          </w:p>
          <w:p w:rsidR="000C149F" w:rsidRPr="001F5D82" w:rsidRDefault="000C149F" w:rsidP="008A0E05">
            <w:pPr>
              <w:ind w:left="184"/>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lang w:val="es-ES"/>
              </w:rPr>
            </w:pPr>
            <w:r w:rsidRPr="001F5D82">
              <w:rPr>
                <w:rFonts w:eastAsia="MyriadPro-Regular" w:cstheme="minorHAnsi"/>
                <w:sz w:val="14"/>
                <w:szCs w:val="18"/>
                <w:lang w:val="es-ES"/>
              </w:rPr>
              <w:t>Andrenidae</w:t>
            </w:r>
          </w:p>
          <w:p w:rsidR="000C149F" w:rsidRPr="001F5D82" w:rsidRDefault="000C149F" w:rsidP="008A0E05">
            <w:pPr>
              <w:ind w:left="184"/>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Apidae</w:t>
            </w: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Ecosystem function and processes</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Grains per stigma, % fruit set</w:t>
            </w:r>
          </w:p>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 fruit yield</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Observations, TK</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270"/>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Spatial structure</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Presence/absence</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observation, sweep nets, pan/vane traps</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Abundance</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Relative abundance</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presence/absence</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330"/>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7F7F7F" w:themeColor="text1" w:themeTint="80"/>
            </w:tcBorders>
          </w:tcPr>
          <w:p w:rsidR="000C149F" w:rsidRPr="00250C69" w:rsidRDefault="000C149F" w:rsidP="008A0E05">
            <w:pPr>
              <w:rPr>
                <w:rFonts w:eastAsia="MyriadPro-Regular" w:cstheme="minorHAnsi"/>
                <w:sz w:val="14"/>
                <w:szCs w:val="18"/>
              </w:rPr>
            </w:pPr>
          </w:p>
        </w:tc>
        <w:tc>
          <w:tcPr>
            <w:tcW w:w="1706" w:type="dxa"/>
            <w:tcBorders>
              <w:bottom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Phenology</w:t>
            </w:r>
          </w:p>
        </w:tc>
        <w:tc>
          <w:tcPr>
            <w:tcW w:w="2410" w:type="dxa"/>
            <w:tcBorders>
              <w:bottom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sz w:val="14"/>
                <w:szCs w:val="18"/>
              </w:rPr>
              <w:t>Seasonal activity</w:t>
            </w:r>
          </w:p>
        </w:tc>
        <w:tc>
          <w:tcPr>
            <w:tcW w:w="2268" w:type="dxa"/>
            <w:tcBorders>
              <w:bottom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presence/absence</w:t>
            </w:r>
          </w:p>
        </w:tc>
        <w:tc>
          <w:tcPr>
            <w:tcW w:w="1696" w:type="dxa"/>
            <w:vMerge/>
            <w:tcBorders>
              <w:bottom w:val="single" w:sz="12" w:space="0" w:color="7F7F7F" w:themeColor="text1" w:themeTint="80"/>
            </w:tcBorders>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0C149F" w:rsidRPr="00250C69" w:rsidRDefault="000C149F" w:rsidP="008A0E05">
            <w:pPr>
              <w:spacing w:before="60"/>
              <w:rPr>
                <w:rFonts w:eastAsia="MyriadPro-Regular" w:cstheme="minorHAnsi"/>
                <w:sz w:val="14"/>
                <w:szCs w:val="18"/>
              </w:rPr>
            </w:pPr>
            <w:r w:rsidRPr="00250C69">
              <w:rPr>
                <w:rFonts w:eastAsia="MyriadPro-Regular" w:cstheme="minorHAnsi"/>
                <w:sz w:val="14"/>
                <w:szCs w:val="18"/>
              </w:rPr>
              <w:t xml:space="preserve">Decomposers </w:t>
            </w:r>
          </w:p>
        </w:tc>
        <w:tc>
          <w:tcPr>
            <w:tcW w:w="1706" w:type="dxa"/>
          </w:tcPr>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Diversity</w:t>
            </w:r>
          </w:p>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p>
        </w:tc>
        <w:tc>
          <w:tcPr>
            <w:tcW w:w="2410" w:type="dxa"/>
          </w:tcPr>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Species richness</w:t>
            </w:r>
          </w:p>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Soil and turf cores,</w:t>
            </w:r>
          </w:p>
        </w:tc>
        <w:tc>
          <w:tcPr>
            <w:tcW w:w="1696" w:type="dxa"/>
            <w:vMerge w:val="restart"/>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Collembola</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1F5D82">
              <w:rPr>
                <w:rFonts w:eastAsia="MyriadPro-Regular" w:cstheme="minorHAnsi"/>
                <w:sz w:val="14"/>
                <w:szCs w:val="18"/>
              </w:rPr>
              <w:t>Acari</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1F5D82">
              <w:rPr>
                <w:rFonts w:eastAsia="MyriadPro-Regular" w:cstheme="minorHAnsi"/>
                <w:sz w:val="14"/>
                <w:szCs w:val="18"/>
              </w:rPr>
              <w:t>Enchytraeidae</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1F5D82">
              <w:rPr>
                <w:rFonts w:eastAsia="MyriadPro-Regular" w:cstheme="minorHAnsi"/>
                <w:sz w:val="14"/>
                <w:szCs w:val="18"/>
              </w:rPr>
              <w:t xml:space="preserve">Also species of: </w:t>
            </w:r>
            <w:r w:rsidRPr="001F5D82">
              <w:rPr>
                <w:rFonts w:eastAsia="MyriadPro-Regular" w:cstheme="minorHAnsi"/>
                <w:b/>
                <w:sz w:val="14"/>
                <w:szCs w:val="18"/>
              </w:rPr>
              <w:t>Fungivores</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1F5D82">
              <w:rPr>
                <w:rFonts w:eastAsia="MyriadPro-Regular" w:cstheme="minorHAnsi"/>
                <w:sz w:val="14"/>
                <w:szCs w:val="18"/>
              </w:rPr>
              <w:t>Bacterivores</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Saprophages</w:t>
            </w:r>
          </w:p>
        </w:tc>
      </w:tr>
      <w:tr w:rsidR="000C149F" w:rsidRPr="00250C69" w:rsidTr="008A0E05">
        <w:trPr>
          <w:trHeight w:val="306"/>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 xml:space="preserve">Abundance </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Density</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species richness</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Distribution</w:t>
            </w:r>
          </w:p>
        </w:tc>
        <w:tc>
          <w:tcPr>
            <w:tcW w:w="2410" w:type="dxa"/>
            <w:vMerge w:val="restart"/>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Presence/absence</w:t>
            </w:r>
          </w:p>
        </w:tc>
        <w:tc>
          <w:tcPr>
            <w:tcW w:w="2268" w:type="dxa"/>
            <w:vMerge w:val="restart"/>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species richness</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418"/>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Spatial structure</w:t>
            </w:r>
          </w:p>
        </w:tc>
        <w:tc>
          <w:tcPr>
            <w:tcW w:w="2410" w:type="dxa"/>
            <w:vMerge/>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p>
        </w:tc>
        <w:tc>
          <w:tcPr>
            <w:tcW w:w="2268" w:type="dxa"/>
            <w:vMerge/>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Ecosystem function and processes</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 mass loss</w:t>
            </w:r>
          </w:p>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NPK levels</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Litter bags, native foliage, inorganic nutrient levels</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581"/>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7F7F7F" w:themeColor="text1" w:themeTint="80"/>
            </w:tcBorders>
          </w:tcPr>
          <w:p w:rsidR="000C149F" w:rsidRPr="00250C69" w:rsidRDefault="000C149F" w:rsidP="008A0E05">
            <w:pPr>
              <w:rPr>
                <w:rFonts w:eastAsia="MyriadPro-Regular" w:cstheme="minorHAnsi"/>
                <w:sz w:val="14"/>
                <w:szCs w:val="18"/>
              </w:rPr>
            </w:pPr>
          </w:p>
        </w:tc>
        <w:tc>
          <w:tcPr>
            <w:tcW w:w="1706" w:type="dxa"/>
            <w:tcBorders>
              <w:bottom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Demographics and phenology</w:t>
            </w:r>
          </w:p>
        </w:tc>
        <w:tc>
          <w:tcPr>
            <w:tcW w:w="2410" w:type="dxa"/>
            <w:tcBorders>
              <w:bottom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Phenology, voltinism, population growth rate</w:t>
            </w:r>
          </w:p>
        </w:tc>
        <w:tc>
          <w:tcPr>
            <w:tcW w:w="2268" w:type="dxa"/>
            <w:tcBorders>
              <w:bottom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above</w:t>
            </w:r>
          </w:p>
        </w:tc>
        <w:tc>
          <w:tcPr>
            <w:tcW w:w="1696" w:type="dxa"/>
            <w:vMerge/>
            <w:tcBorders>
              <w:bottom w:val="single" w:sz="12" w:space="0" w:color="7F7F7F" w:themeColor="text1" w:themeTint="80"/>
            </w:tcBorders>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7F7F7F" w:themeColor="text1" w:themeTint="80"/>
            </w:tcBorders>
          </w:tcPr>
          <w:p w:rsidR="000C149F" w:rsidRPr="00250C69" w:rsidRDefault="000C149F" w:rsidP="008A0E05">
            <w:pPr>
              <w:spacing w:before="60"/>
              <w:rPr>
                <w:rFonts w:eastAsia="MyriadPro-Regular" w:cstheme="minorHAnsi"/>
                <w:sz w:val="14"/>
                <w:szCs w:val="18"/>
              </w:rPr>
            </w:pPr>
            <w:r w:rsidRPr="00250C69">
              <w:rPr>
                <w:rFonts w:eastAsia="MyriadPro-Regular" w:cstheme="minorHAnsi"/>
                <w:sz w:val="14"/>
                <w:szCs w:val="18"/>
              </w:rPr>
              <w:t>Herbivores</w:t>
            </w:r>
          </w:p>
        </w:tc>
        <w:tc>
          <w:tcPr>
            <w:tcW w:w="1706" w:type="dxa"/>
            <w:tcBorders>
              <w:top w:val="single" w:sz="12" w:space="0" w:color="7F7F7F" w:themeColor="text1" w:themeTint="80"/>
            </w:tcBorders>
          </w:tcPr>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Diversity</w:t>
            </w:r>
          </w:p>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p>
        </w:tc>
        <w:tc>
          <w:tcPr>
            <w:tcW w:w="2410" w:type="dxa"/>
            <w:tcBorders>
              <w:top w:val="single" w:sz="12" w:space="0" w:color="7F7F7F" w:themeColor="text1" w:themeTint="80"/>
            </w:tcBorders>
          </w:tcPr>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Species richness</w:t>
            </w:r>
          </w:p>
          <w:p w:rsidR="000C149F" w:rsidRPr="00250C69" w:rsidRDefault="000C149F" w:rsidP="008A0E05">
            <w:pPr>
              <w:spacing w:before="60"/>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p>
        </w:tc>
        <w:tc>
          <w:tcPr>
            <w:tcW w:w="2268" w:type="dxa"/>
            <w:tcBorders>
              <w:top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Timed visual surveys, beat sheet samples, sweep nets, local knowledge</w:t>
            </w:r>
          </w:p>
        </w:tc>
        <w:tc>
          <w:tcPr>
            <w:tcW w:w="1696" w:type="dxa"/>
            <w:vMerge w:val="restart"/>
            <w:tcBorders>
              <w:top w:val="single" w:sz="12" w:space="0" w:color="7F7F7F" w:themeColor="text1" w:themeTint="80"/>
            </w:tcBorders>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Lepidoptera</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Hymenoptera</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Hemiptera</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Pr>
                <w:rFonts w:eastAsia="MyriadPro-Regular" w:cstheme="minorHAnsi"/>
                <w:b/>
                <w:sz w:val="14"/>
                <w:szCs w:val="18"/>
                <w:lang w:val="es-ES"/>
              </w:rPr>
              <w:t>Hymenoptera:</w:t>
            </w:r>
            <w:r w:rsidRPr="001F5D82">
              <w:rPr>
                <w:rFonts w:eastAsia="MyriadPro-Regular" w:cstheme="minorHAnsi"/>
                <w:b/>
                <w:sz w:val="14"/>
                <w:szCs w:val="18"/>
              </w:rPr>
              <w:t xml:space="preserve"> Symphyta</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1F5D82">
              <w:rPr>
                <w:rFonts w:eastAsia="MyriadPro-Regular" w:cstheme="minorHAnsi"/>
                <w:b/>
                <w:sz w:val="14"/>
                <w:szCs w:val="18"/>
              </w:rPr>
              <w:t xml:space="preserve">Some Coleoptera </w:t>
            </w:r>
            <w:r>
              <w:rPr>
                <w:rFonts w:eastAsia="MyriadPro-Regular" w:cstheme="minorHAnsi"/>
                <w:b/>
                <w:sz w:val="14"/>
                <w:szCs w:val="18"/>
              </w:rPr>
              <w:t>families</w:t>
            </w:r>
          </w:p>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1F5D82">
              <w:rPr>
                <w:rFonts w:eastAsia="MyriadPro-Regular" w:cstheme="minorHAnsi"/>
                <w:sz w:val="14"/>
                <w:szCs w:val="18"/>
              </w:rPr>
              <w:t>Acari</w:t>
            </w:r>
          </w:p>
        </w:tc>
      </w:tr>
      <w:tr w:rsidR="000C149F" w:rsidRPr="00250C69" w:rsidTr="008A0E05">
        <w:trPr>
          <w:trHeight w:val="378"/>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Spatial structure</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Presence/Absence</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Visual observation</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Ecosystem function and processes</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Plant damage</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presence/absence</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278"/>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Abundance</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Relative abundance</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Collection, sweep nets, beat sheet,</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Health</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Body size, pupal mass</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rel</w:t>
            </w:r>
            <w:r>
              <w:rPr>
                <w:rFonts w:eastAsia="MyriadPro-Regular" w:cstheme="minorHAnsi"/>
                <w:sz w:val="14"/>
                <w:szCs w:val="18"/>
              </w:rPr>
              <w:t>ative</w:t>
            </w:r>
            <w:r w:rsidRPr="00250C69">
              <w:rPr>
                <w:rFonts w:eastAsia="MyriadPro-Regular" w:cstheme="minorHAnsi"/>
                <w:sz w:val="14"/>
                <w:szCs w:val="18"/>
              </w:rPr>
              <w:t xml:space="preserve"> abundance</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Phenology</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Seasonal activity patterns</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rel</w:t>
            </w:r>
            <w:r>
              <w:rPr>
                <w:rFonts w:eastAsia="MyriadPro-Regular" w:cstheme="minorHAnsi"/>
                <w:sz w:val="14"/>
                <w:szCs w:val="18"/>
              </w:rPr>
              <w:t>ative</w:t>
            </w:r>
            <w:r w:rsidRPr="00250C69">
              <w:rPr>
                <w:rFonts w:eastAsia="MyriadPro-Regular" w:cstheme="minorHAnsi"/>
                <w:sz w:val="14"/>
                <w:szCs w:val="18"/>
              </w:rPr>
              <w:t xml:space="preserve"> abundance</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Demographics and temporal cycles</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Population cycle estimates, dynamics</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rel</w:t>
            </w:r>
            <w:r>
              <w:rPr>
                <w:rFonts w:eastAsia="MyriadPro-Regular" w:cstheme="minorHAnsi"/>
                <w:sz w:val="14"/>
                <w:szCs w:val="18"/>
              </w:rPr>
              <w:t>ative</w:t>
            </w:r>
            <w:r w:rsidRPr="00250C69">
              <w:rPr>
                <w:rFonts w:eastAsia="MyriadPro-Regular" w:cstheme="minorHAnsi"/>
                <w:sz w:val="14"/>
                <w:szCs w:val="18"/>
              </w:rPr>
              <w:t xml:space="preserve"> abundance</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372"/>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7F7F7F" w:themeColor="text1" w:themeTint="80"/>
            </w:tcBorders>
          </w:tcPr>
          <w:p w:rsidR="000C149F" w:rsidRPr="00250C69" w:rsidRDefault="000C149F" w:rsidP="008A0E05">
            <w:pPr>
              <w:spacing w:before="60"/>
              <w:rPr>
                <w:rFonts w:eastAsia="MyriadPro-Regular" w:cstheme="minorHAnsi"/>
                <w:sz w:val="14"/>
                <w:szCs w:val="18"/>
              </w:rPr>
            </w:pPr>
            <w:r w:rsidRPr="00250C69">
              <w:rPr>
                <w:rFonts w:eastAsia="MyriadPro-Regular" w:cstheme="minorHAnsi"/>
                <w:sz w:val="14"/>
                <w:szCs w:val="18"/>
              </w:rPr>
              <w:t>Prey for vertebrates</w:t>
            </w:r>
          </w:p>
        </w:tc>
        <w:tc>
          <w:tcPr>
            <w:tcW w:w="1706" w:type="dxa"/>
            <w:tcBorders>
              <w:top w:val="single" w:sz="12" w:space="0" w:color="7F7F7F" w:themeColor="text1" w:themeTint="80"/>
            </w:tcBorders>
          </w:tcPr>
          <w:p w:rsidR="000C149F" w:rsidRPr="00250C69" w:rsidRDefault="000C149F" w:rsidP="008A0E05">
            <w:pPr>
              <w:spacing w:before="60"/>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Abundance</w:t>
            </w:r>
          </w:p>
        </w:tc>
        <w:tc>
          <w:tcPr>
            <w:tcW w:w="2410" w:type="dxa"/>
            <w:tcBorders>
              <w:top w:val="single" w:sz="12" w:space="0" w:color="7F7F7F" w:themeColor="text1" w:themeTint="80"/>
            </w:tcBorders>
          </w:tcPr>
          <w:p w:rsidR="000C149F" w:rsidRPr="00250C69" w:rsidRDefault="000C149F" w:rsidP="008A0E05">
            <w:pPr>
              <w:spacing w:before="60"/>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Number</w:t>
            </w:r>
          </w:p>
        </w:tc>
        <w:tc>
          <w:tcPr>
            <w:tcW w:w="2268" w:type="dxa"/>
            <w:tcBorders>
              <w:top w:val="single" w:sz="12" w:space="0" w:color="7F7F7F" w:themeColor="text1" w:themeTint="80"/>
            </w:tcBorders>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Pan/pitfall traps</w:t>
            </w:r>
          </w:p>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Malaise traps</w:t>
            </w:r>
          </w:p>
        </w:tc>
        <w:tc>
          <w:tcPr>
            <w:tcW w:w="1696" w:type="dxa"/>
            <w:vMerge w:val="restart"/>
            <w:tcBorders>
              <w:top w:val="single" w:sz="12" w:space="0" w:color="7F7F7F" w:themeColor="text1" w:themeTint="80"/>
            </w:tcBorders>
          </w:tcPr>
          <w:p w:rsidR="000C149F"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lang w:val="es-ES"/>
              </w:rPr>
            </w:pPr>
            <w:r>
              <w:rPr>
                <w:rFonts w:eastAsia="MyriadPro-Regular" w:cstheme="minorHAnsi"/>
                <w:b/>
                <w:sz w:val="14"/>
                <w:szCs w:val="18"/>
                <w:lang w:val="es-ES"/>
              </w:rPr>
              <w:t>Araneae:</w:t>
            </w:r>
          </w:p>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lang w:val="es-ES"/>
              </w:rPr>
            </w:pPr>
            <w:r>
              <w:rPr>
                <w:rFonts w:eastAsia="MyriadPro-Regular" w:cstheme="minorHAnsi"/>
                <w:b/>
                <w:sz w:val="14"/>
                <w:szCs w:val="18"/>
                <w:lang w:val="es-ES"/>
              </w:rPr>
              <w:t xml:space="preserve">  Linyphiidae, Lycosidae</w:t>
            </w:r>
          </w:p>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lang w:val="es-ES"/>
              </w:rPr>
            </w:pPr>
            <w:r w:rsidRPr="001F5D82">
              <w:rPr>
                <w:rFonts w:eastAsia="MyriadPro-Regular" w:cstheme="minorHAnsi"/>
                <w:b/>
                <w:sz w:val="14"/>
                <w:szCs w:val="18"/>
                <w:lang w:val="es-ES"/>
              </w:rPr>
              <w:t>Diptera: Tipulidae</w:t>
            </w:r>
          </w:p>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lang w:val="es-ES"/>
              </w:rPr>
            </w:pPr>
            <w:r w:rsidRPr="001F5D82">
              <w:rPr>
                <w:rFonts w:eastAsia="MyriadPro-Regular" w:cstheme="minorHAnsi"/>
                <w:b/>
                <w:sz w:val="14"/>
                <w:szCs w:val="18"/>
                <w:lang w:val="es-ES"/>
              </w:rPr>
              <w:t>Lepidoptera</w:t>
            </w: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lang w:val="es-ES"/>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Productivity</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Biomass</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number</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272"/>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Phenology</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b/>
                <w:sz w:val="14"/>
                <w:szCs w:val="18"/>
              </w:rPr>
            </w:pPr>
            <w:r w:rsidRPr="00250C69">
              <w:rPr>
                <w:rFonts w:eastAsia="MyriadPro-Regular" w:cstheme="minorHAnsi"/>
                <w:b/>
                <w:sz w:val="14"/>
                <w:szCs w:val="18"/>
              </w:rPr>
              <w:t>Seasonal activity</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number</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Abundance</w:t>
            </w:r>
          </w:p>
        </w:tc>
        <w:tc>
          <w:tcPr>
            <w:tcW w:w="2410"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Species specific number</w:t>
            </w:r>
          </w:p>
        </w:tc>
        <w:tc>
          <w:tcPr>
            <w:tcW w:w="2268" w:type="dxa"/>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number, ID to species</w:t>
            </w:r>
          </w:p>
        </w:tc>
        <w:tc>
          <w:tcPr>
            <w:tcW w:w="1696" w:type="dxa"/>
            <w:vMerge/>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r w:rsidR="000C149F" w:rsidRPr="00250C69" w:rsidTr="008A0E05">
        <w:trPr>
          <w:trHeight w:val="272"/>
        </w:trPr>
        <w:tc>
          <w:tcPr>
            <w:cnfStyle w:val="001000000000" w:firstRow="0" w:lastRow="0" w:firstColumn="1" w:lastColumn="0" w:oddVBand="0" w:evenVBand="0" w:oddHBand="0" w:evenHBand="0" w:firstRowFirstColumn="0" w:firstRowLastColumn="0" w:lastRowFirstColumn="0" w:lastRowLastColumn="0"/>
            <w:tcW w:w="1271" w:type="dxa"/>
            <w:vMerge/>
          </w:tcPr>
          <w:p w:rsidR="000C149F" w:rsidRPr="00250C69" w:rsidRDefault="000C149F" w:rsidP="008A0E05">
            <w:pPr>
              <w:rPr>
                <w:rFonts w:eastAsia="MyriadPro-Regular" w:cstheme="minorHAnsi"/>
                <w:sz w:val="14"/>
                <w:szCs w:val="18"/>
              </w:rPr>
            </w:pPr>
          </w:p>
        </w:tc>
        <w:tc>
          <w:tcPr>
            <w:tcW w:w="1706"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Spatial structure</w:t>
            </w:r>
          </w:p>
        </w:tc>
        <w:tc>
          <w:tcPr>
            <w:tcW w:w="2410"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Presence/absence</w:t>
            </w:r>
          </w:p>
        </w:tc>
        <w:tc>
          <w:tcPr>
            <w:tcW w:w="2268" w:type="dxa"/>
          </w:tcPr>
          <w:p w:rsidR="000C149F" w:rsidRPr="00250C69"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number</w:t>
            </w:r>
          </w:p>
        </w:tc>
        <w:tc>
          <w:tcPr>
            <w:tcW w:w="1696" w:type="dxa"/>
            <w:vMerge/>
          </w:tcPr>
          <w:p w:rsidR="000C149F" w:rsidRPr="001F5D82" w:rsidRDefault="000C149F" w:rsidP="008A0E05">
            <w:pPr>
              <w:cnfStyle w:val="000000000000" w:firstRow="0" w:lastRow="0" w:firstColumn="0" w:lastColumn="0" w:oddVBand="0" w:evenVBand="0" w:oddHBand="0" w:evenHBand="0" w:firstRowFirstColumn="0" w:firstRowLastColumn="0" w:lastRowFirstColumn="0" w:lastRowLastColumn="0"/>
              <w:rPr>
                <w:rFonts w:eastAsia="MyriadPro-Regular" w:cstheme="minorHAnsi"/>
                <w:sz w:val="14"/>
                <w:szCs w:val="18"/>
              </w:rPr>
            </w:pPr>
          </w:p>
        </w:tc>
      </w:tr>
      <w:tr w:rsidR="000C149F" w:rsidRPr="00250C69" w:rsidTr="008A0E0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7F7F7F" w:themeColor="text1" w:themeTint="80"/>
            </w:tcBorders>
          </w:tcPr>
          <w:p w:rsidR="000C149F" w:rsidRPr="00250C69" w:rsidRDefault="000C149F" w:rsidP="008A0E05">
            <w:pPr>
              <w:rPr>
                <w:rFonts w:eastAsia="MyriadPro-Regular" w:cstheme="minorHAnsi"/>
                <w:sz w:val="14"/>
                <w:szCs w:val="18"/>
              </w:rPr>
            </w:pPr>
          </w:p>
        </w:tc>
        <w:tc>
          <w:tcPr>
            <w:tcW w:w="1706" w:type="dxa"/>
            <w:tcBorders>
              <w:bottom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Diversity</w:t>
            </w:r>
          </w:p>
        </w:tc>
        <w:tc>
          <w:tcPr>
            <w:tcW w:w="2410" w:type="dxa"/>
            <w:tcBorders>
              <w:bottom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Species richness</w:t>
            </w:r>
          </w:p>
        </w:tc>
        <w:tc>
          <w:tcPr>
            <w:tcW w:w="2268" w:type="dxa"/>
            <w:tcBorders>
              <w:bottom w:val="single" w:sz="12" w:space="0" w:color="7F7F7F" w:themeColor="text1" w:themeTint="80"/>
            </w:tcBorders>
          </w:tcPr>
          <w:p w:rsidR="000C149F" w:rsidRPr="00250C69"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r w:rsidRPr="00250C69">
              <w:rPr>
                <w:rFonts w:eastAsia="MyriadPro-Regular" w:cstheme="minorHAnsi"/>
                <w:sz w:val="14"/>
                <w:szCs w:val="18"/>
              </w:rPr>
              <w:t>as for number</w:t>
            </w:r>
          </w:p>
        </w:tc>
        <w:tc>
          <w:tcPr>
            <w:tcW w:w="1696" w:type="dxa"/>
            <w:vMerge/>
            <w:tcBorders>
              <w:bottom w:val="single" w:sz="12" w:space="0" w:color="7F7F7F" w:themeColor="text1" w:themeTint="80"/>
            </w:tcBorders>
          </w:tcPr>
          <w:p w:rsidR="000C149F" w:rsidRPr="001F5D82" w:rsidRDefault="000C149F" w:rsidP="008A0E05">
            <w:pPr>
              <w:cnfStyle w:val="000000100000" w:firstRow="0" w:lastRow="0" w:firstColumn="0" w:lastColumn="0" w:oddVBand="0" w:evenVBand="0" w:oddHBand="1" w:evenHBand="0" w:firstRowFirstColumn="0" w:firstRowLastColumn="0" w:lastRowFirstColumn="0" w:lastRowLastColumn="0"/>
              <w:rPr>
                <w:rFonts w:eastAsia="MyriadPro-Regular" w:cstheme="minorHAnsi"/>
                <w:sz w:val="14"/>
                <w:szCs w:val="18"/>
              </w:rPr>
            </w:pPr>
          </w:p>
        </w:tc>
      </w:tr>
    </w:tbl>
    <w:p w:rsidR="000C149F" w:rsidRDefault="000C149F" w:rsidP="008A0E05">
      <w:pPr>
        <w:spacing w:line="480" w:lineRule="auto"/>
        <w:rPr>
          <w:rFonts w:ascii="Times New Roman" w:hAnsi="Times New Roman" w:cs="Times New Roman"/>
          <w:sz w:val="24"/>
          <w:szCs w:val="24"/>
        </w:rPr>
      </w:pPr>
    </w:p>
    <w:p w:rsidR="000C149F" w:rsidRPr="00D06236" w:rsidRDefault="000C149F" w:rsidP="008A0E05">
      <w:pPr>
        <w:spacing w:line="480" w:lineRule="auto"/>
        <w:rPr>
          <w:rFonts w:ascii="Times New Roman" w:hAnsi="Times New Roman" w:cs="Times New Roman"/>
          <w:b/>
          <w:sz w:val="24"/>
          <w:szCs w:val="24"/>
        </w:rPr>
      </w:pPr>
      <w:r w:rsidRPr="00D06236">
        <w:rPr>
          <w:rFonts w:ascii="Times New Roman" w:hAnsi="Times New Roman" w:cs="Times New Roman"/>
          <w:b/>
          <w:sz w:val="24"/>
          <w:szCs w:val="24"/>
        </w:rPr>
        <w:t xml:space="preserve">2.1 </w:t>
      </w:r>
      <w:r>
        <w:rPr>
          <w:rFonts w:ascii="Times New Roman" w:hAnsi="Times New Roman" w:cs="Times New Roman"/>
          <w:b/>
          <w:sz w:val="24"/>
          <w:szCs w:val="24"/>
        </w:rPr>
        <w:t xml:space="preserve">General biodiversity patterns  </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Generally, t</w:t>
      </w:r>
      <w:r>
        <w:rPr>
          <w:rFonts w:ascii="Times New Roman" w:hAnsi="Times New Roman" w:cs="Times New Roman"/>
          <w:sz w:val="24"/>
          <w:szCs w:val="24"/>
          <w:lang w:val="en-GB"/>
        </w:rPr>
        <w:t xml:space="preserve">he diversity of arthropods decreases with increasing latitude (Figure 1), supporting patterns shown in previous work </w:t>
      </w:r>
      <w:r>
        <w:rPr>
          <w:rFonts w:ascii="Times New Roman" w:hAnsi="Times New Roman" w:cs="Times New Roman"/>
          <w:noProof/>
          <w:sz w:val="24"/>
          <w:szCs w:val="24"/>
          <w:lang w:val="en-GB"/>
        </w:rPr>
        <w:t>(Danks 1981, Callaghan et al. 2004, Hodkinson et al. 2013)</w:t>
      </w:r>
      <w:r>
        <w:rPr>
          <w:rFonts w:ascii="Times New Roman" w:hAnsi="Times New Roman" w:cs="Times New Roman"/>
          <w:sz w:val="24"/>
          <w:szCs w:val="24"/>
          <w:lang w:val="en-GB"/>
        </w:rPr>
        <w:t xml:space="preserve">, although this varies between different groups </w:t>
      </w:r>
      <w:r>
        <w:rPr>
          <w:rFonts w:ascii="Times New Roman" w:hAnsi="Times New Roman" w:cs="Times New Roman"/>
          <w:noProof/>
          <w:sz w:val="24"/>
          <w:szCs w:val="24"/>
          <w:lang w:val="en-GB"/>
        </w:rPr>
        <w:t>(Böcher et al. 2015)</w:t>
      </w:r>
      <w:r>
        <w:rPr>
          <w:rFonts w:ascii="Times New Roman" w:hAnsi="Times New Roman" w:cs="Times New Roman"/>
          <w:sz w:val="24"/>
          <w:szCs w:val="24"/>
          <w:lang w:val="en-GB"/>
        </w:rPr>
        <w:t>. Among the faunal districts of Greenland, the two most diverse regions, South-West and North-East, include 63.6% of the species found in Greenland, as well as relatively large numbers of species unique to the North Atlantic region (Table 2). These patterns may reflect the size of the districts or the imbalance of sampling history, with efforts concentrated at the Zackenberg research station in the North-East region and in the more populated areas in South-West Greenland, including the research stations near Nuuk and on Disko Island (Figure 1). The differences may also be due to regional colonisation of, and dispersal within, Greenland following retreat from the Last Glacial Maximum when most, if not all, of the arthropod fauna was wiped out (</w:t>
      </w:r>
      <w:r w:rsidRPr="008A0E05">
        <w:rPr>
          <w:rFonts w:ascii="Times New Roman" w:hAnsi="Times New Roman" w:cs="Times New Roman"/>
          <w:sz w:val="24"/>
          <w:szCs w:val="24"/>
          <w:lang w:val="en-GB"/>
        </w:rPr>
        <w:t>e.g.,</w:t>
      </w:r>
      <w:r>
        <w:rPr>
          <w:rFonts w:ascii="Times New Roman" w:hAnsi="Times New Roman" w:cs="Times New Roman"/>
          <w:sz w:val="24"/>
          <w:szCs w:val="24"/>
          <w:lang w:val="en-GB"/>
        </w:rPr>
        <w:t xml:space="preserve"> </w:t>
      </w:r>
      <w:r>
        <w:rPr>
          <w:rFonts w:ascii="Times New Roman" w:hAnsi="Times New Roman" w:cs="Times New Roman"/>
          <w:noProof/>
          <w:sz w:val="24"/>
          <w:szCs w:val="24"/>
          <w:lang w:val="en-GB"/>
        </w:rPr>
        <w:t>Li</w:t>
      </w:r>
      <w:r w:rsidR="008A0E05">
        <w:rPr>
          <w:rFonts w:ascii="Times New Roman" w:hAnsi="Times New Roman" w:cs="Times New Roman"/>
          <w:noProof/>
          <w:sz w:val="24"/>
          <w:szCs w:val="24"/>
          <w:lang w:val="en-GB"/>
        </w:rPr>
        <w:t>ndroth 1957, Böcher et al. 2015</w:t>
      </w:r>
      <w:r>
        <w:rPr>
          <w:rFonts w:ascii="Times New Roman" w:hAnsi="Times New Roman" w:cs="Times New Roman"/>
          <w:sz w:val="24"/>
          <w:szCs w:val="24"/>
          <w:lang w:val="en-GB"/>
        </w:rPr>
        <w:t>).</w:t>
      </w:r>
      <w:r>
        <w:rPr>
          <w:rFonts w:ascii="Times New Roman" w:hAnsi="Times New Roman" w:cs="Times New Roman"/>
          <w:sz w:val="24"/>
          <w:szCs w:val="24"/>
        </w:rPr>
        <w:t xml:space="preserve"> </w:t>
      </w:r>
    </w:p>
    <w:p w:rsidR="000C149F" w:rsidRPr="00F9590E" w:rsidRDefault="000C149F" w:rsidP="008A0E05">
      <w:pPr>
        <w:spacing w:line="480" w:lineRule="auto"/>
        <w:rPr>
          <w:rFonts w:ascii="Times New Roman" w:hAnsi="Times New Roman" w:cs="Times New Roman"/>
          <w:sz w:val="24"/>
          <w:szCs w:val="24"/>
        </w:rPr>
      </w:pPr>
    </w:p>
    <w:p w:rsidR="000C149F" w:rsidRPr="0097511C" w:rsidRDefault="000C149F" w:rsidP="008A0E05">
      <w:pPr>
        <w:spacing w:line="480" w:lineRule="auto"/>
        <w:rPr>
          <w:noProof/>
          <w:lang w:val="en-GB" w:eastAsia="nb-NO"/>
        </w:rPr>
      </w:pPr>
      <w:r>
        <w:rPr>
          <w:rFonts w:ascii="Times New Roman" w:hAnsi="Times New Roman" w:cs="Times New Roman"/>
          <w:sz w:val="24"/>
          <w:szCs w:val="24"/>
          <w:lang w:val="en-GB"/>
        </w:rPr>
        <w:t>The more diverse fauna of Iceland is likely related to the relatively milder conditions, as the land covers a greater area of the Sub</w:t>
      </w:r>
      <w:r w:rsidR="008A0E05">
        <w:rPr>
          <w:rFonts w:ascii="Times New Roman" w:hAnsi="Times New Roman" w:cs="Times New Roman"/>
          <w:sz w:val="24"/>
          <w:szCs w:val="24"/>
          <w:lang w:val="en-GB"/>
        </w:rPr>
        <w:t>-Arctic than southern Greenland. A</w:t>
      </w:r>
      <w:r>
        <w:rPr>
          <w:rFonts w:ascii="Times New Roman" w:hAnsi="Times New Roman" w:cs="Times New Roman"/>
          <w:sz w:val="24"/>
          <w:szCs w:val="24"/>
          <w:lang w:val="en-GB"/>
        </w:rPr>
        <w:t xml:space="preserve">dditional niches are </w:t>
      </w:r>
      <w:r w:rsidR="008A0E05">
        <w:rPr>
          <w:rFonts w:ascii="Times New Roman" w:hAnsi="Times New Roman" w:cs="Times New Roman"/>
          <w:sz w:val="24"/>
          <w:szCs w:val="24"/>
          <w:lang w:val="en-GB"/>
        </w:rPr>
        <w:t xml:space="preserve">also </w:t>
      </w:r>
      <w:r>
        <w:rPr>
          <w:rFonts w:ascii="Times New Roman" w:hAnsi="Times New Roman" w:cs="Times New Roman"/>
          <w:sz w:val="24"/>
          <w:szCs w:val="24"/>
          <w:lang w:val="en-GB"/>
        </w:rPr>
        <w:t xml:space="preserve">provided by geothermal activity </w:t>
      </w:r>
      <w:r>
        <w:rPr>
          <w:rFonts w:ascii="Times New Roman" w:hAnsi="Times New Roman" w:cs="Times New Roman"/>
          <w:noProof/>
          <w:sz w:val="24"/>
          <w:szCs w:val="24"/>
          <w:lang w:val="en-GB"/>
        </w:rPr>
        <w:t>(Govoni et al. 2018)</w:t>
      </w:r>
      <w:r>
        <w:rPr>
          <w:rFonts w:ascii="Times New Roman" w:hAnsi="Times New Roman" w:cs="Times New Roman"/>
          <w:sz w:val="24"/>
          <w:szCs w:val="24"/>
          <w:lang w:val="en-GB"/>
        </w:rPr>
        <w:t xml:space="preserve">, the large pre-settlement forest cover and subsequent history of human disturbance and agriculture </w:t>
      </w:r>
      <w:r>
        <w:rPr>
          <w:rFonts w:ascii="Times New Roman" w:hAnsi="Times New Roman" w:cs="Times New Roman"/>
          <w:noProof/>
          <w:sz w:val="24"/>
          <w:szCs w:val="24"/>
          <w:lang w:val="en-GB"/>
        </w:rPr>
        <w:t>(Arnalds 1987)</w:t>
      </w:r>
      <w:r>
        <w:rPr>
          <w:rFonts w:ascii="Times New Roman" w:hAnsi="Times New Roman" w:cs="Times New Roman"/>
          <w:sz w:val="24"/>
          <w:szCs w:val="24"/>
          <w:lang w:val="en-GB"/>
        </w:rPr>
        <w:t xml:space="preserve">, and the importation of soils and plants </w:t>
      </w:r>
      <w:r>
        <w:rPr>
          <w:rFonts w:ascii="Times New Roman" w:hAnsi="Times New Roman" w:cs="Times New Roman"/>
          <w:noProof/>
          <w:sz w:val="24"/>
          <w:szCs w:val="24"/>
          <w:lang w:val="en-GB"/>
        </w:rPr>
        <w:t>(Halldorsson et al. 2013)</w:t>
      </w:r>
      <w:r>
        <w:rPr>
          <w:rFonts w:ascii="Times New Roman" w:hAnsi="Times New Roman" w:cs="Times New Roman"/>
          <w:sz w:val="24"/>
          <w:szCs w:val="24"/>
          <w:lang w:val="en-GB"/>
        </w:rPr>
        <w:t xml:space="preserve">. Conversely, Svalbard and Jan Mayen have lower arthropod diversity, unsurprisingly given their smaller size and High Arctic location. Both share a number of species with Greenland (Svalbard: 168, Jan Mayen: 48) and Iceland (Svalbard: 126, Jan Mayen: 44), and the glaciation history and colonisation processes of these islands are similarly considered to be important determinants of community diversity </w:t>
      </w:r>
      <w:r>
        <w:rPr>
          <w:rFonts w:ascii="Times New Roman" w:hAnsi="Times New Roman" w:cs="Times New Roman"/>
          <w:noProof/>
          <w:sz w:val="24"/>
          <w:szCs w:val="24"/>
          <w:lang w:val="en-GB"/>
        </w:rPr>
        <w:t>(Ávila-Jiménez and Coulson 2011, Coulson et al. 2014)</w:t>
      </w:r>
      <w:r>
        <w:rPr>
          <w:rFonts w:ascii="Times New Roman" w:hAnsi="Times New Roman" w:cs="Times New Roman"/>
          <w:sz w:val="24"/>
          <w:szCs w:val="24"/>
          <w:lang w:val="en-GB"/>
        </w:rPr>
        <w:t xml:space="preserve">. </w:t>
      </w:r>
    </w:p>
    <w:p w:rsidR="000C149F" w:rsidRDefault="000C149F" w:rsidP="008A0E05">
      <w:pPr>
        <w:spacing w:line="480" w:lineRule="auto"/>
        <w:rPr>
          <w:rFonts w:ascii="Times New Roman" w:hAnsi="Times New Roman" w:cs="Times New Roman"/>
          <w:sz w:val="24"/>
          <w:szCs w:val="24"/>
        </w:rPr>
      </w:pPr>
      <w:r>
        <w:rPr>
          <w:noProof/>
          <w:lang w:val="en-GB" w:eastAsia="en-GB"/>
        </w:rPr>
        <w:drawing>
          <wp:inline distT="0" distB="0" distL="0" distR="0" wp14:anchorId="69A52A65" wp14:editId="2378A27D">
            <wp:extent cx="5759450" cy="57594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atlantic-FEC-Final_v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r w:rsidRPr="00EC44F3">
        <w:rPr>
          <w:noProof/>
          <w:lang w:val="en-GB" w:eastAsia="nb-NO"/>
        </w:rPr>
        <w:t xml:space="preserve"> </w:t>
      </w:r>
    </w:p>
    <w:p w:rsidR="000C149F" w:rsidRDefault="000C149F" w:rsidP="008A0E05">
      <w:pPr>
        <w:spacing w:line="480" w:lineRule="auto"/>
        <w:rPr>
          <w:rFonts w:ascii="Times New Roman" w:hAnsi="Times New Roman" w:cs="Times New Roman"/>
          <w:sz w:val="24"/>
          <w:szCs w:val="24"/>
        </w:rPr>
      </w:pPr>
      <w:r w:rsidRPr="00CB4CEF">
        <w:rPr>
          <w:rFonts w:ascii="Times New Roman" w:hAnsi="Times New Roman" w:cs="Times New Roman"/>
          <w:b/>
          <w:sz w:val="24"/>
          <w:szCs w:val="24"/>
        </w:rPr>
        <w:t>Figure</w:t>
      </w:r>
      <w:r w:rsidRPr="009E69A6">
        <w:rPr>
          <w:rFonts w:ascii="Times New Roman" w:hAnsi="Times New Roman" w:cs="Times New Roman"/>
          <w:b/>
          <w:sz w:val="24"/>
          <w:szCs w:val="24"/>
        </w:rPr>
        <w:t xml:space="preserve"> 1:</w:t>
      </w:r>
      <w:r>
        <w:rPr>
          <w:rFonts w:ascii="Times New Roman" w:hAnsi="Times New Roman" w:cs="Times New Roman"/>
          <w:sz w:val="24"/>
          <w:szCs w:val="24"/>
        </w:rPr>
        <w:t xml:space="preserve"> Map of the species richness of Focal Ecosystem Components (FEC) for the North Atlantic region of the Arctic. The tallest bar is the total species richness for Iceland, and this corresponds to 1453 species. The green lines show the boundaries of Greenland’s “faunal districts” (</w:t>
      </w:r>
      <w:r w:rsidRPr="008572FE">
        <w:rPr>
          <w:rFonts w:ascii="Times New Roman" w:hAnsi="Times New Roman" w:cs="Times New Roman"/>
          <w:i/>
          <w:sz w:val="24"/>
          <w:szCs w:val="24"/>
        </w:rPr>
        <w:t>sensu</w:t>
      </w:r>
      <w:r>
        <w:rPr>
          <w:rFonts w:ascii="Times New Roman" w:hAnsi="Times New Roman" w:cs="Times New Roman"/>
          <w:sz w:val="24"/>
          <w:szCs w:val="24"/>
        </w:rPr>
        <w:t xml:space="preserve"> </w:t>
      </w:r>
      <w:r w:rsidR="008A0E05">
        <w:rPr>
          <w:rFonts w:ascii="Times New Roman" w:hAnsi="Times New Roman" w:cs="Times New Roman"/>
          <w:noProof/>
          <w:sz w:val="24"/>
          <w:szCs w:val="24"/>
        </w:rPr>
        <w:t xml:space="preserve">Böcher </w:t>
      </w:r>
      <w:r>
        <w:rPr>
          <w:rFonts w:ascii="Times New Roman" w:hAnsi="Times New Roman" w:cs="Times New Roman"/>
          <w:noProof/>
          <w:sz w:val="24"/>
          <w:szCs w:val="24"/>
        </w:rPr>
        <w:t>1988</w:t>
      </w:r>
      <w:r>
        <w:rPr>
          <w:rFonts w:ascii="Times New Roman" w:hAnsi="Times New Roman" w:cs="Times New Roman"/>
          <w:sz w:val="24"/>
          <w:szCs w:val="24"/>
        </w:rPr>
        <w:t>), and the red line indicates the boundaries of the Arctic as defined by CAFF. High Arctic, Low Arctic and sub-Arctic regions (</w:t>
      </w:r>
      <w:r w:rsidRPr="00F23D12">
        <w:rPr>
          <w:rFonts w:ascii="Times New Roman" w:hAnsi="Times New Roman" w:cs="Times New Roman"/>
          <w:i/>
          <w:sz w:val="24"/>
          <w:szCs w:val="24"/>
        </w:rPr>
        <w:t>sensu</w:t>
      </w:r>
      <w:r>
        <w:rPr>
          <w:rFonts w:ascii="Times New Roman" w:hAnsi="Times New Roman" w:cs="Times New Roman"/>
          <w:sz w:val="24"/>
          <w:szCs w:val="24"/>
        </w:rPr>
        <w:t xml:space="preserve"> CAVM</w:t>
      </w:r>
      <w:r w:rsidR="008A0E05">
        <w:rPr>
          <w:rFonts w:ascii="Times New Roman" w:hAnsi="Times New Roman" w:cs="Times New Roman"/>
          <w:sz w:val="24"/>
          <w:szCs w:val="24"/>
        </w:rPr>
        <w:t xml:space="preserve"> Team</w:t>
      </w:r>
      <w:r>
        <w:rPr>
          <w:rFonts w:ascii="Times New Roman" w:hAnsi="Times New Roman" w:cs="Times New Roman"/>
          <w:sz w:val="24"/>
          <w:szCs w:val="24"/>
        </w:rPr>
        <w:t xml:space="preserve"> 2003) are also indicated. </w:t>
      </w:r>
    </w:p>
    <w:p w:rsidR="000C149F"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Table 2</w:t>
      </w:r>
      <w:r w:rsidRPr="00C27EE7">
        <w:rPr>
          <w:rFonts w:ascii="Times New Roman" w:hAnsi="Times New Roman" w:cs="Times New Roman"/>
          <w:b/>
          <w:sz w:val="24"/>
          <w:szCs w:val="24"/>
          <w:lang w:val="en-GB"/>
        </w:rPr>
        <w:t>:</w:t>
      </w:r>
      <w:r>
        <w:rPr>
          <w:rFonts w:ascii="Times New Roman" w:hAnsi="Times New Roman" w:cs="Times New Roman"/>
          <w:sz w:val="24"/>
          <w:szCs w:val="24"/>
          <w:lang w:val="en-GB"/>
        </w:rPr>
        <w:t xml:space="preserve"> Total species richness of the five original Focal Ecosystem Components, as well as the two additional components (other = species not categorised in the original FECs; Predators = those of the “other” category that are predators or parasitoids), and overall richness for the “faunal districts” of Greenland, Iceland, Svalbard and Jan Mayen. *Note that the total for Greenland blood-feeding insects includes lice, for which distributional information is absent. </w:t>
      </w:r>
    </w:p>
    <w:tbl>
      <w:tblPr>
        <w:tblW w:w="9356" w:type="dxa"/>
        <w:tblLayout w:type="fixed"/>
        <w:tblCellMar>
          <w:left w:w="0" w:type="dxa"/>
          <w:right w:w="70" w:type="dxa"/>
        </w:tblCellMar>
        <w:tblLook w:val="04A0" w:firstRow="1" w:lastRow="0" w:firstColumn="1" w:lastColumn="0" w:noHBand="0" w:noVBand="1"/>
      </w:tblPr>
      <w:tblGrid>
        <w:gridCol w:w="426"/>
        <w:gridCol w:w="992"/>
        <w:gridCol w:w="850"/>
        <w:gridCol w:w="993"/>
        <w:gridCol w:w="1134"/>
        <w:gridCol w:w="992"/>
        <w:gridCol w:w="992"/>
        <w:gridCol w:w="709"/>
        <w:gridCol w:w="850"/>
        <w:gridCol w:w="567"/>
        <w:gridCol w:w="851"/>
      </w:tblGrid>
      <w:tr w:rsidR="000C149F" w:rsidRPr="008843A8" w:rsidTr="008A0E05">
        <w:trPr>
          <w:trHeight w:val="288"/>
        </w:trPr>
        <w:tc>
          <w:tcPr>
            <w:tcW w:w="426" w:type="dxa"/>
            <w:tcBorders>
              <w:top w:val="single" w:sz="4" w:space="0" w:color="auto"/>
              <w:left w:val="nil"/>
              <w:bottom w:val="single" w:sz="4" w:space="0" w:color="auto"/>
              <w:right w:val="nil"/>
            </w:tcBorders>
            <w:vAlign w:val="bottom"/>
          </w:tcPr>
          <w:p w:rsidR="000C149F" w:rsidRPr="008843A8" w:rsidRDefault="000C149F" w:rsidP="008A0E05">
            <w:pPr>
              <w:spacing w:after="0" w:line="240" w:lineRule="auto"/>
              <w:jc w:val="center"/>
              <w:rPr>
                <w:rFonts w:ascii="Calibri" w:eastAsia="Times New Roman" w:hAnsi="Calibri" w:cs="Calibri"/>
                <w:b/>
                <w:color w:val="000000"/>
                <w:sz w:val="18"/>
                <w:szCs w:val="20"/>
                <w:lang w:val="en-GB" w:eastAsia="nb-NO"/>
              </w:rPr>
            </w:pPr>
          </w:p>
        </w:tc>
        <w:tc>
          <w:tcPr>
            <w:tcW w:w="992" w:type="dxa"/>
            <w:tcBorders>
              <w:top w:val="single" w:sz="4" w:space="0" w:color="auto"/>
              <w:left w:val="nil"/>
              <w:bottom w:val="single" w:sz="4" w:space="0" w:color="auto"/>
              <w:right w:val="nil"/>
            </w:tcBorders>
            <w:shd w:val="clear" w:color="auto" w:fill="auto"/>
            <w:noWrap/>
            <w:vAlign w:val="bottom"/>
            <w:hideMark/>
          </w:tcPr>
          <w:p w:rsidR="000C149F" w:rsidRPr="008843A8" w:rsidRDefault="000C149F" w:rsidP="008A0E05">
            <w:pPr>
              <w:spacing w:after="0" w:line="240" w:lineRule="auto"/>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Region</w:t>
            </w:r>
          </w:p>
        </w:tc>
        <w:tc>
          <w:tcPr>
            <w:tcW w:w="850" w:type="dxa"/>
            <w:tcBorders>
              <w:top w:val="single" w:sz="4" w:space="0" w:color="auto"/>
              <w:left w:val="nil"/>
              <w:bottom w:val="single" w:sz="4" w:space="0" w:color="auto"/>
              <w:right w:val="nil"/>
            </w:tcBorders>
            <w:vAlign w:val="bottom"/>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Blood-feeding insects</w:t>
            </w:r>
          </w:p>
        </w:tc>
        <w:tc>
          <w:tcPr>
            <w:tcW w:w="993" w:type="dxa"/>
            <w:tcBorders>
              <w:top w:val="single" w:sz="4" w:space="0" w:color="auto"/>
              <w:left w:val="nil"/>
              <w:bottom w:val="single" w:sz="4" w:space="0" w:color="auto"/>
              <w:right w:val="nil"/>
            </w:tcBorders>
            <w:vAlign w:val="bottom"/>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Pollinators</w:t>
            </w:r>
          </w:p>
        </w:tc>
        <w:tc>
          <w:tcPr>
            <w:tcW w:w="1134" w:type="dxa"/>
            <w:tcBorders>
              <w:top w:val="single" w:sz="4" w:space="0" w:color="auto"/>
              <w:left w:val="nil"/>
              <w:bottom w:val="single" w:sz="4" w:space="0" w:color="auto"/>
              <w:right w:val="nil"/>
            </w:tcBorders>
            <w:vAlign w:val="bottom"/>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Decomposers</w:t>
            </w:r>
          </w:p>
        </w:tc>
        <w:tc>
          <w:tcPr>
            <w:tcW w:w="992" w:type="dxa"/>
            <w:tcBorders>
              <w:top w:val="single" w:sz="4" w:space="0" w:color="auto"/>
              <w:left w:val="nil"/>
              <w:bottom w:val="single" w:sz="4" w:space="0" w:color="auto"/>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Herbivores</w:t>
            </w:r>
          </w:p>
        </w:tc>
        <w:tc>
          <w:tcPr>
            <w:tcW w:w="992" w:type="dxa"/>
            <w:tcBorders>
              <w:top w:val="single" w:sz="4" w:space="0" w:color="auto"/>
              <w:left w:val="nil"/>
              <w:bottom w:val="single" w:sz="4" w:space="0" w:color="auto"/>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Prey for vertebrates</w:t>
            </w:r>
          </w:p>
        </w:tc>
        <w:tc>
          <w:tcPr>
            <w:tcW w:w="709" w:type="dxa"/>
            <w:tcBorders>
              <w:top w:val="single" w:sz="4" w:space="0" w:color="auto"/>
              <w:left w:val="nil"/>
              <w:bottom w:val="single" w:sz="4" w:space="0" w:color="auto"/>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Other</w:t>
            </w:r>
          </w:p>
        </w:tc>
        <w:tc>
          <w:tcPr>
            <w:tcW w:w="850" w:type="dxa"/>
            <w:tcBorders>
              <w:top w:val="single" w:sz="4" w:space="0" w:color="auto"/>
              <w:left w:val="nil"/>
              <w:bottom w:val="single" w:sz="4" w:space="0" w:color="auto"/>
              <w:right w:val="nil"/>
            </w:tcBorders>
            <w:vAlign w:val="bottom"/>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Predators</w:t>
            </w:r>
          </w:p>
        </w:tc>
        <w:tc>
          <w:tcPr>
            <w:tcW w:w="567" w:type="dxa"/>
            <w:tcBorders>
              <w:top w:val="single" w:sz="4" w:space="0" w:color="auto"/>
              <w:left w:val="nil"/>
              <w:bottom w:val="single" w:sz="4" w:space="0" w:color="auto"/>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Total</w:t>
            </w:r>
          </w:p>
        </w:tc>
        <w:tc>
          <w:tcPr>
            <w:tcW w:w="851" w:type="dxa"/>
            <w:tcBorders>
              <w:top w:val="single" w:sz="4" w:space="0" w:color="auto"/>
              <w:left w:val="nil"/>
              <w:bottom w:val="single" w:sz="4" w:space="0" w:color="auto"/>
            </w:tcBorders>
            <w:vAlign w:val="bottom"/>
          </w:tcPr>
          <w:p w:rsidR="000C149F" w:rsidRPr="008843A8" w:rsidRDefault="000C149F" w:rsidP="008A0E05">
            <w:pPr>
              <w:spacing w:after="0" w:line="240" w:lineRule="auto"/>
              <w:jc w:val="center"/>
              <w:rPr>
                <w:rFonts w:ascii="Calibri" w:eastAsia="Times New Roman" w:hAnsi="Calibri" w:cs="Calibri"/>
                <w:b/>
                <w:color w:val="000000"/>
                <w:sz w:val="18"/>
                <w:szCs w:val="20"/>
                <w:lang w:val="en-GB" w:eastAsia="nb-NO"/>
              </w:rPr>
            </w:pPr>
            <w:r w:rsidRPr="008843A8">
              <w:rPr>
                <w:rFonts w:ascii="Calibri" w:eastAsia="Times New Roman" w:hAnsi="Calibri" w:cs="Calibri"/>
                <w:b/>
                <w:color w:val="000000"/>
                <w:sz w:val="18"/>
                <w:szCs w:val="20"/>
                <w:lang w:val="en-GB" w:eastAsia="nb-NO"/>
              </w:rPr>
              <w:t>No of species unique to region</w:t>
            </w:r>
          </w:p>
        </w:tc>
      </w:tr>
      <w:tr w:rsidR="000C149F" w:rsidRPr="008843A8" w:rsidTr="008A0E05">
        <w:trPr>
          <w:trHeight w:val="288"/>
        </w:trPr>
        <w:tc>
          <w:tcPr>
            <w:tcW w:w="426" w:type="dxa"/>
            <w:vMerge w:val="restart"/>
            <w:tcBorders>
              <w:top w:val="single" w:sz="4" w:space="0" w:color="auto"/>
              <w:left w:val="nil"/>
              <w:right w:val="nil"/>
            </w:tcBorders>
            <w:textDirection w:val="btLr"/>
          </w:tcPr>
          <w:p w:rsidR="000C149F" w:rsidRPr="008843A8" w:rsidRDefault="000C149F" w:rsidP="008A0E05">
            <w:pPr>
              <w:spacing w:after="0" w:line="240" w:lineRule="auto"/>
              <w:ind w:left="113" w:right="113"/>
              <w:jc w:val="center"/>
              <w:rPr>
                <w:rFonts w:ascii="Calibri" w:eastAsia="Times New Roman" w:hAnsi="Calibri" w:cs="Calibri"/>
                <w:b/>
                <w:color w:val="000000"/>
                <w:sz w:val="18"/>
                <w:szCs w:val="20"/>
                <w:lang w:val="nb-NO" w:eastAsia="nb-NO"/>
              </w:rPr>
            </w:pPr>
            <w:r w:rsidRPr="008843A8">
              <w:rPr>
                <w:rFonts w:ascii="Calibri" w:eastAsia="Times New Roman" w:hAnsi="Calibri" w:cs="Calibri"/>
                <w:b/>
                <w:color w:val="000000"/>
                <w:sz w:val="18"/>
                <w:szCs w:val="20"/>
                <w:lang w:val="nb-NO" w:eastAsia="nb-NO"/>
              </w:rPr>
              <w:t>Greenland</w:t>
            </w:r>
          </w:p>
        </w:tc>
        <w:tc>
          <w:tcPr>
            <w:tcW w:w="992" w:type="dxa"/>
            <w:tcBorders>
              <w:top w:val="single" w:sz="4" w:space="0" w:color="auto"/>
              <w:left w:val="nil"/>
              <w:bottom w:val="nil"/>
              <w:right w:val="nil"/>
            </w:tcBorders>
            <w:shd w:val="clear" w:color="auto" w:fill="auto"/>
            <w:noWrap/>
            <w:vAlign w:val="bottom"/>
            <w:hideMark/>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South</w:t>
            </w:r>
          </w:p>
        </w:tc>
        <w:tc>
          <w:tcPr>
            <w:tcW w:w="850" w:type="dxa"/>
            <w:tcBorders>
              <w:top w:val="single" w:sz="4" w:space="0" w:color="auto"/>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8</w:t>
            </w:r>
          </w:p>
        </w:tc>
        <w:tc>
          <w:tcPr>
            <w:tcW w:w="993" w:type="dxa"/>
            <w:tcBorders>
              <w:top w:val="single" w:sz="4" w:space="0" w:color="auto"/>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68</w:t>
            </w:r>
          </w:p>
        </w:tc>
        <w:tc>
          <w:tcPr>
            <w:tcW w:w="1134" w:type="dxa"/>
            <w:tcBorders>
              <w:top w:val="single" w:sz="4" w:space="0" w:color="auto"/>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109</w:t>
            </w:r>
          </w:p>
        </w:tc>
        <w:tc>
          <w:tcPr>
            <w:tcW w:w="992" w:type="dxa"/>
            <w:tcBorders>
              <w:top w:val="single" w:sz="4" w:space="0" w:color="auto"/>
              <w:left w:val="nil"/>
              <w:bottom w:val="nil"/>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110</w:t>
            </w:r>
          </w:p>
        </w:tc>
        <w:tc>
          <w:tcPr>
            <w:tcW w:w="992" w:type="dxa"/>
            <w:tcBorders>
              <w:top w:val="single" w:sz="4" w:space="0" w:color="auto"/>
              <w:left w:val="nil"/>
              <w:bottom w:val="nil"/>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282</w:t>
            </w:r>
          </w:p>
        </w:tc>
        <w:tc>
          <w:tcPr>
            <w:tcW w:w="709" w:type="dxa"/>
            <w:tcBorders>
              <w:top w:val="single" w:sz="4" w:space="0" w:color="auto"/>
              <w:left w:val="nil"/>
              <w:bottom w:val="nil"/>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260</w:t>
            </w:r>
          </w:p>
        </w:tc>
        <w:tc>
          <w:tcPr>
            <w:tcW w:w="850" w:type="dxa"/>
            <w:tcBorders>
              <w:top w:val="single" w:sz="4" w:space="0" w:color="auto"/>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197</w:t>
            </w:r>
          </w:p>
        </w:tc>
        <w:tc>
          <w:tcPr>
            <w:tcW w:w="567" w:type="dxa"/>
            <w:tcBorders>
              <w:top w:val="single" w:sz="4" w:space="0" w:color="auto"/>
              <w:left w:val="nil"/>
              <w:bottom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470</w:t>
            </w:r>
          </w:p>
        </w:tc>
        <w:tc>
          <w:tcPr>
            <w:tcW w:w="851" w:type="dxa"/>
            <w:tcBorders>
              <w:top w:val="single" w:sz="4" w:space="0" w:color="auto"/>
              <w:left w:val="nil"/>
              <w:bottom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50</w:t>
            </w:r>
          </w:p>
        </w:tc>
      </w:tr>
      <w:tr w:rsidR="000C149F" w:rsidRPr="008843A8" w:rsidTr="008A0E05">
        <w:trPr>
          <w:trHeight w:val="288"/>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South West</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13</w:t>
            </w:r>
          </w:p>
        </w:tc>
        <w:tc>
          <w:tcPr>
            <w:tcW w:w="993"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93</w:t>
            </w:r>
          </w:p>
        </w:tc>
        <w:tc>
          <w:tcPr>
            <w:tcW w:w="1134"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168</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124</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384</w:t>
            </w: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314</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234</w:t>
            </w:r>
          </w:p>
        </w:tc>
        <w:tc>
          <w:tcPr>
            <w:tcW w:w="567" w:type="dxa"/>
            <w:tcBorders>
              <w:top w:val="nil"/>
              <w:left w:val="nil"/>
              <w:bottom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610</w:t>
            </w:r>
          </w:p>
        </w:tc>
        <w:tc>
          <w:tcPr>
            <w:tcW w:w="851" w:type="dxa"/>
            <w:tcBorders>
              <w:top w:val="nil"/>
              <w:left w:val="nil"/>
              <w:bottom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93</w:t>
            </w:r>
          </w:p>
        </w:tc>
      </w:tr>
      <w:tr w:rsidR="000C149F" w:rsidRPr="008843A8" w:rsidTr="008A0E05">
        <w:trPr>
          <w:trHeight w:val="288"/>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South East</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7</w:t>
            </w:r>
          </w:p>
        </w:tc>
        <w:tc>
          <w:tcPr>
            <w:tcW w:w="993"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68</w:t>
            </w:r>
          </w:p>
        </w:tc>
        <w:tc>
          <w:tcPr>
            <w:tcW w:w="1134"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56</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58</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150</w:t>
            </w: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103</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85</w:t>
            </w:r>
          </w:p>
        </w:tc>
        <w:tc>
          <w:tcPr>
            <w:tcW w:w="567" w:type="dxa"/>
            <w:tcBorders>
              <w:top w:val="nil"/>
              <w:left w:val="nil"/>
              <w:bottom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218</w:t>
            </w:r>
          </w:p>
        </w:tc>
        <w:tc>
          <w:tcPr>
            <w:tcW w:w="851" w:type="dxa"/>
            <w:tcBorders>
              <w:top w:val="nil"/>
              <w:left w:val="nil"/>
              <w:bottom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w:t>
            </w:r>
          </w:p>
        </w:tc>
      </w:tr>
      <w:tr w:rsidR="000C149F" w:rsidRPr="008843A8" w:rsidTr="008A0E05">
        <w:trPr>
          <w:trHeight w:val="288"/>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North West</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7</w:t>
            </w:r>
          </w:p>
        </w:tc>
        <w:tc>
          <w:tcPr>
            <w:tcW w:w="993"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47</w:t>
            </w:r>
          </w:p>
        </w:tc>
        <w:tc>
          <w:tcPr>
            <w:tcW w:w="1134"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48</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52</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125</w:t>
            </w: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85</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67</w:t>
            </w:r>
          </w:p>
        </w:tc>
        <w:tc>
          <w:tcPr>
            <w:tcW w:w="567" w:type="dxa"/>
            <w:tcBorders>
              <w:top w:val="nil"/>
              <w:left w:val="nil"/>
              <w:bottom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201</w:t>
            </w:r>
          </w:p>
        </w:tc>
        <w:tc>
          <w:tcPr>
            <w:tcW w:w="851" w:type="dxa"/>
            <w:tcBorders>
              <w:top w:val="nil"/>
              <w:left w:val="nil"/>
              <w:bottom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26</w:t>
            </w:r>
          </w:p>
        </w:tc>
      </w:tr>
      <w:tr w:rsidR="000C149F" w:rsidRPr="008843A8" w:rsidTr="008A0E05">
        <w:trPr>
          <w:trHeight w:val="288"/>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North East</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14</w:t>
            </w:r>
          </w:p>
        </w:tc>
        <w:tc>
          <w:tcPr>
            <w:tcW w:w="993"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73</w:t>
            </w:r>
          </w:p>
        </w:tc>
        <w:tc>
          <w:tcPr>
            <w:tcW w:w="1134"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94</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58</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229</w:t>
            </w: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168</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115</w:t>
            </w:r>
          </w:p>
        </w:tc>
        <w:tc>
          <w:tcPr>
            <w:tcW w:w="567" w:type="dxa"/>
            <w:tcBorders>
              <w:top w:val="nil"/>
              <w:left w:val="nil"/>
              <w:bottom w:val="nil"/>
            </w:tcBorders>
            <w:shd w:val="clear" w:color="auto" w:fill="auto"/>
            <w:noWrap/>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345</w:t>
            </w:r>
          </w:p>
        </w:tc>
        <w:tc>
          <w:tcPr>
            <w:tcW w:w="851" w:type="dxa"/>
            <w:tcBorders>
              <w:top w:val="nil"/>
              <w:left w:val="nil"/>
              <w:bottom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40</w:t>
            </w:r>
          </w:p>
        </w:tc>
      </w:tr>
      <w:tr w:rsidR="000C149F" w:rsidRPr="008843A8" w:rsidTr="008A0E05">
        <w:trPr>
          <w:trHeight w:val="288"/>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North</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6</w:t>
            </w:r>
          </w:p>
        </w:tc>
        <w:tc>
          <w:tcPr>
            <w:tcW w:w="993"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35</w:t>
            </w:r>
          </w:p>
        </w:tc>
        <w:tc>
          <w:tcPr>
            <w:tcW w:w="1134"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32</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23</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107</w:t>
            </w: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70</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41</w:t>
            </w:r>
          </w:p>
        </w:tc>
        <w:tc>
          <w:tcPr>
            <w:tcW w:w="567" w:type="dxa"/>
            <w:tcBorders>
              <w:top w:val="nil"/>
              <w:left w:val="nil"/>
              <w:bottom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146</w:t>
            </w:r>
          </w:p>
        </w:tc>
        <w:tc>
          <w:tcPr>
            <w:tcW w:w="851" w:type="dxa"/>
            <w:tcBorders>
              <w:top w:val="nil"/>
              <w:left w:val="nil"/>
              <w:bottom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18</w:t>
            </w:r>
          </w:p>
        </w:tc>
      </w:tr>
      <w:tr w:rsidR="000C149F" w:rsidRPr="008843A8" w:rsidTr="008A0E05">
        <w:trPr>
          <w:trHeight w:val="288"/>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p>
        </w:tc>
        <w:tc>
          <w:tcPr>
            <w:tcW w:w="993"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p>
        </w:tc>
        <w:tc>
          <w:tcPr>
            <w:tcW w:w="1134"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p>
        </w:tc>
        <w:tc>
          <w:tcPr>
            <w:tcW w:w="567"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p>
        </w:tc>
        <w:tc>
          <w:tcPr>
            <w:tcW w:w="851"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p>
        </w:tc>
      </w:tr>
      <w:tr w:rsidR="000C149F" w:rsidRPr="008843A8" w:rsidTr="008A0E05">
        <w:trPr>
          <w:trHeight w:val="500"/>
        </w:trPr>
        <w:tc>
          <w:tcPr>
            <w:tcW w:w="426" w:type="dxa"/>
            <w:vMerge/>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nil"/>
              <w:left w:val="nil"/>
              <w:bottom w:val="single" w:sz="4" w:space="0" w:color="auto"/>
              <w:right w:val="nil"/>
            </w:tcBorders>
            <w:shd w:val="clear" w:color="auto" w:fill="auto"/>
            <w:noWrap/>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Total</w:t>
            </w:r>
          </w:p>
        </w:tc>
        <w:tc>
          <w:tcPr>
            <w:tcW w:w="850" w:type="dxa"/>
            <w:tcBorders>
              <w:top w:val="nil"/>
              <w:left w:val="nil"/>
              <w:bottom w:val="single" w:sz="4" w:space="0" w:color="auto"/>
              <w:right w:val="nil"/>
            </w:tcBorders>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203</w:t>
            </w:r>
            <w:r>
              <w:rPr>
                <w:rFonts w:ascii="Calibri" w:hAnsi="Calibri" w:cs="Calibri"/>
                <w:color w:val="000000"/>
                <w:sz w:val="18"/>
              </w:rPr>
              <w:t>*</w:t>
            </w:r>
          </w:p>
        </w:tc>
        <w:tc>
          <w:tcPr>
            <w:tcW w:w="993" w:type="dxa"/>
            <w:tcBorders>
              <w:top w:val="nil"/>
              <w:left w:val="nil"/>
              <w:bottom w:val="single" w:sz="4" w:space="0" w:color="auto"/>
              <w:right w:val="nil"/>
            </w:tcBorders>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121</w:t>
            </w:r>
          </w:p>
        </w:tc>
        <w:tc>
          <w:tcPr>
            <w:tcW w:w="1134" w:type="dxa"/>
            <w:tcBorders>
              <w:top w:val="nil"/>
              <w:left w:val="nil"/>
              <w:bottom w:val="single" w:sz="4" w:space="0" w:color="auto"/>
              <w:right w:val="nil"/>
            </w:tcBorders>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251</w:t>
            </w:r>
          </w:p>
        </w:tc>
        <w:tc>
          <w:tcPr>
            <w:tcW w:w="992" w:type="dxa"/>
            <w:tcBorders>
              <w:top w:val="nil"/>
              <w:left w:val="nil"/>
              <w:bottom w:val="single" w:sz="4" w:space="0" w:color="auto"/>
              <w:right w:val="nil"/>
            </w:tcBorders>
            <w:shd w:val="clear" w:color="auto" w:fill="auto"/>
            <w:noWrap/>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165</w:t>
            </w:r>
          </w:p>
        </w:tc>
        <w:tc>
          <w:tcPr>
            <w:tcW w:w="992" w:type="dxa"/>
            <w:tcBorders>
              <w:top w:val="nil"/>
              <w:left w:val="nil"/>
              <w:bottom w:val="single" w:sz="4" w:space="0" w:color="auto"/>
              <w:right w:val="nil"/>
            </w:tcBorders>
            <w:shd w:val="clear" w:color="auto" w:fill="auto"/>
            <w:noWrap/>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635</w:t>
            </w:r>
          </w:p>
        </w:tc>
        <w:tc>
          <w:tcPr>
            <w:tcW w:w="709" w:type="dxa"/>
            <w:tcBorders>
              <w:top w:val="nil"/>
              <w:left w:val="nil"/>
              <w:bottom w:val="single" w:sz="4" w:space="0" w:color="auto"/>
              <w:right w:val="nil"/>
            </w:tcBorders>
            <w:shd w:val="clear" w:color="auto" w:fill="auto"/>
            <w:noWrap/>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529</w:t>
            </w:r>
          </w:p>
        </w:tc>
        <w:tc>
          <w:tcPr>
            <w:tcW w:w="850" w:type="dxa"/>
            <w:tcBorders>
              <w:top w:val="nil"/>
              <w:left w:val="nil"/>
              <w:bottom w:val="single" w:sz="4" w:space="0" w:color="auto"/>
              <w:right w:val="nil"/>
            </w:tcBorders>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344</w:t>
            </w:r>
          </w:p>
        </w:tc>
        <w:tc>
          <w:tcPr>
            <w:tcW w:w="567" w:type="dxa"/>
            <w:tcBorders>
              <w:top w:val="nil"/>
              <w:left w:val="nil"/>
              <w:bottom w:val="single" w:sz="4" w:space="0" w:color="auto"/>
            </w:tcBorders>
            <w:shd w:val="clear" w:color="auto" w:fill="auto"/>
            <w:noWrap/>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1148</w:t>
            </w:r>
          </w:p>
        </w:tc>
        <w:tc>
          <w:tcPr>
            <w:tcW w:w="851" w:type="dxa"/>
            <w:tcBorders>
              <w:top w:val="nil"/>
              <w:left w:val="nil"/>
              <w:bottom w:val="single" w:sz="4" w:space="0" w:color="auto"/>
            </w:tcBorders>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758</w:t>
            </w:r>
          </w:p>
        </w:tc>
      </w:tr>
      <w:tr w:rsidR="000C149F" w:rsidRPr="008843A8" w:rsidTr="008A0E05">
        <w:trPr>
          <w:trHeight w:val="288"/>
        </w:trPr>
        <w:tc>
          <w:tcPr>
            <w:tcW w:w="426" w:type="dxa"/>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top w:val="single" w:sz="4" w:space="0" w:color="auto"/>
              <w:left w:val="nil"/>
              <w:right w:val="nil"/>
            </w:tcBorders>
            <w:shd w:val="clear" w:color="auto" w:fill="auto"/>
            <w:noWrap/>
            <w:vAlign w:val="bottom"/>
            <w:hideMark/>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Iceland</w:t>
            </w:r>
          </w:p>
        </w:tc>
        <w:tc>
          <w:tcPr>
            <w:tcW w:w="850" w:type="dxa"/>
            <w:tcBorders>
              <w:top w:val="single" w:sz="4" w:space="0" w:color="auto"/>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eastAsia="Times New Roman" w:hAnsi="Calibri" w:cs="Calibri"/>
                <w:color w:val="000000"/>
                <w:sz w:val="18"/>
                <w:szCs w:val="20"/>
                <w:lang w:val="nb-NO" w:eastAsia="nb-NO"/>
              </w:rPr>
              <w:t>99</w:t>
            </w:r>
          </w:p>
        </w:tc>
        <w:tc>
          <w:tcPr>
            <w:tcW w:w="993" w:type="dxa"/>
            <w:tcBorders>
              <w:top w:val="single" w:sz="4" w:space="0" w:color="auto"/>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eastAsia="Times New Roman" w:hAnsi="Calibri" w:cs="Calibri"/>
                <w:color w:val="000000"/>
                <w:sz w:val="18"/>
                <w:szCs w:val="20"/>
                <w:lang w:val="nb-NO" w:eastAsia="nb-NO"/>
              </w:rPr>
              <w:t>75</w:t>
            </w:r>
          </w:p>
        </w:tc>
        <w:tc>
          <w:tcPr>
            <w:tcW w:w="1134" w:type="dxa"/>
            <w:tcBorders>
              <w:top w:val="single" w:sz="4" w:space="0" w:color="auto"/>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eastAsia="Times New Roman" w:hAnsi="Calibri" w:cs="Calibri"/>
                <w:color w:val="000000"/>
                <w:sz w:val="18"/>
                <w:szCs w:val="20"/>
                <w:lang w:val="nb-NO" w:eastAsia="nb-NO"/>
              </w:rPr>
              <w:t>405</w:t>
            </w:r>
          </w:p>
        </w:tc>
        <w:tc>
          <w:tcPr>
            <w:tcW w:w="992" w:type="dxa"/>
            <w:tcBorders>
              <w:top w:val="single" w:sz="4" w:space="0" w:color="auto"/>
              <w:left w:val="nil"/>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279</w:t>
            </w:r>
          </w:p>
        </w:tc>
        <w:tc>
          <w:tcPr>
            <w:tcW w:w="992" w:type="dxa"/>
            <w:tcBorders>
              <w:top w:val="single" w:sz="4" w:space="0" w:color="auto"/>
              <w:left w:val="nil"/>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725</w:t>
            </w:r>
          </w:p>
        </w:tc>
        <w:tc>
          <w:tcPr>
            <w:tcW w:w="709" w:type="dxa"/>
            <w:tcBorders>
              <w:top w:val="single" w:sz="4" w:space="0" w:color="auto"/>
              <w:left w:val="nil"/>
              <w:righ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619</w:t>
            </w:r>
          </w:p>
        </w:tc>
        <w:tc>
          <w:tcPr>
            <w:tcW w:w="850" w:type="dxa"/>
            <w:tcBorders>
              <w:top w:val="single" w:sz="4" w:space="0" w:color="auto"/>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eastAsia="Times New Roman" w:hAnsi="Calibri" w:cs="Calibri"/>
                <w:color w:val="000000"/>
                <w:sz w:val="18"/>
                <w:szCs w:val="20"/>
                <w:lang w:val="nb-NO" w:eastAsia="nb-NO"/>
              </w:rPr>
              <w:t>506</w:t>
            </w:r>
          </w:p>
        </w:tc>
        <w:tc>
          <w:tcPr>
            <w:tcW w:w="567" w:type="dxa"/>
            <w:tcBorders>
              <w:top w:val="single" w:sz="4" w:space="0" w:color="auto"/>
              <w:left w:val="nil"/>
            </w:tcBorders>
            <w:shd w:val="clear" w:color="auto" w:fill="auto"/>
            <w:noWrap/>
            <w:vAlign w:val="bottom"/>
            <w:hideMark/>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1453</w:t>
            </w:r>
          </w:p>
        </w:tc>
        <w:tc>
          <w:tcPr>
            <w:tcW w:w="851" w:type="dxa"/>
            <w:tcBorders>
              <w:top w:val="single" w:sz="4" w:space="0" w:color="auto"/>
              <w:lef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eastAsia="Times New Roman" w:hAnsi="Calibri" w:cs="Calibri"/>
                <w:color w:val="000000"/>
                <w:sz w:val="18"/>
                <w:szCs w:val="20"/>
                <w:lang w:val="nb-NO" w:eastAsia="nb-NO"/>
              </w:rPr>
              <w:t>1093</w:t>
            </w:r>
          </w:p>
        </w:tc>
      </w:tr>
      <w:tr w:rsidR="000C149F" w:rsidRPr="008843A8" w:rsidTr="008A0E05">
        <w:trPr>
          <w:trHeight w:val="288"/>
        </w:trPr>
        <w:tc>
          <w:tcPr>
            <w:tcW w:w="426" w:type="dxa"/>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left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Svalbard</w:t>
            </w:r>
          </w:p>
        </w:tc>
        <w:tc>
          <w:tcPr>
            <w:tcW w:w="850" w:type="dxa"/>
            <w:tcBorders>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42</w:t>
            </w:r>
          </w:p>
        </w:tc>
        <w:tc>
          <w:tcPr>
            <w:tcW w:w="993" w:type="dxa"/>
            <w:tcBorders>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19</w:t>
            </w:r>
          </w:p>
        </w:tc>
        <w:tc>
          <w:tcPr>
            <w:tcW w:w="1134" w:type="dxa"/>
            <w:tcBorders>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Pr>
                <w:rFonts w:ascii="Calibri" w:hAnsi="Calibri" w:cs="Calibri"/>
                <w:color w:val="000000"/>
                <w:sz w:val="18"/>
              </w:rPr>
              <w:t>144</w:t>
            </w:r>
          </w:p>
        </w:tc>
        <w:tc>
          <w:tcPr>
            <w:tcW w:w="992" w:type="dxa"/>
            <w:tcBorders>
              <w:top w:val="nil"/>
              <w:left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35</w:t>
            </w:r>
          </w:p>
        </w:tc>
        <w:tc>
          <w:tcPr>
            <w:tcW w:w="992" w:type="dxa"/>
            <w:tcBorders>
              <w:top w:val="nil"/>
              <w:left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225</w:t>
            </w:r>
          </w:p>
        </w:tc>
        <w:tc>
          <w:tcPr>
            <w:tcW w:w="709" w:type="dxa"/>
            <w:tcBorders>
              <w:top w:val="nil"/>
              <w:left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169</w:t>
            </w:r>
          </w:p>
        </w:tc>
        <w:tc>
          <w:tcPr>
            <w:tcW w:w="850" w:type="dxa"/>
            <w:tcBorders>
              <w:top w:val="nil"/>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76</w:t>
            </w:r>
          </w:p>
        </w:tc>
        <w:tc>
          <w:tcPr>
            <w:tcW w:w="567" w:type="dxa"/>
            <w:tcBorders>
              <w:top w:val="nil"/>
              <w:left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415</w:t>
            </w:r>
          </w:p>
        </w:tc>
        <w:tc>
          <w:tcPr>
            <w:tcW w:w="851" w:type="dxa"/>
            <w:tcBorders>
              <w:top w:val="nil"/>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210</w:t>
            </w:r>
          </w:p>
        </w:tc>
      </w:tr>
      <w:tr w:rsidR="000C149F" w:rsidRPr="008843A8" w:rsidTr="008A0E05">
        <w:trPr>
          <w:trHeight w:val="288"/>
        </w:trPr>
        <w:tc>
          <w:tcPr>
            <w:tcW w:w="426" w:type="dxa"/>
            <w:tcBorders>
              <w:left w:val="nil"/>
              <w:right w:val="nil"/>
            </w:tcBorders>
            <w:vAlign w:val="bottom"/>
          </w:tcPr>
          <w:p w:rsidR="000C149F" w:rsidRPr="008843A8" w:rsidRDefault="000C149F" w:rsidP="008A0E05">
            <w:pPr>
              <w:spacing w:after="0" w:line="240" w:lineRule="auto"/>
              <w:jc w:val="center"/>
              <w:rPr>
                <w:rFonts w:ascii="Calibri" w:eastAsia="Times New Roman" w:hAnsi="Calibri" w:cs="Calibri"/>
                <w:color w:val="000000"/>
                <w:sz w:val="18"/>
                <w:szCs w:val="20"/>
                <w:lang w:val="nb-NO" w:eastAsia="nb-NO"/>
              </w:rPr>
            </w:pPr>
          </w:p>
        </w:tc>
        <w:tc>
          <w:tcPr>
            <w:tcW w:w="992" w:type="dxa"/>
            <w:tcBorders>
              <w:left w:val="nil"/>
              <w:right w:val="nil"/>
            </w:tcBorders>
            <w:shd w:val="clear" w:color="auto" w:fill="auto"/>
            <w:noWrap/>
            <w:vAlign w:val="bottom"/>
          </w:tcPr>
          <w:p w:rsidR="000C149F" w:rsidRPr="008843A8" w:rsidRDefault="000C149F" w:rsidP="008A0E05">
            <w:pPr>
              <w:spacing w:after="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Jan Mayen</w:t>
            </w:r>
          </w:p>
        </w:tc>
        <w:tc>
          <w:tcPr>
            <w:tcW w:w="850" w:type="dxa"/>
            <w:tcBorders>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16</w:t>
            </w:r>
          </w:p>
        </w:tc>
        <w:tc>
          <w:tcPr>
            <w:tcW w:w="993" w:type="dxa"/>
            <w:tcBorders>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w:t>
            </w:r>
          </w:p>
        </w:tc>
        <w:tc>
          <w:tcPr>
            <w:tcW w:w="1134" w:type="dxa"/>
            <w:tcBorders>
              <w:left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47</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w:t>
            </w:r>
          </w:p>
        </w:tc>
        <w:tc>
          <w:tcPr>
            <w:tcW w:w="992"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22</w:t>
            </w:r>
          </w:p>
        </w:tc>
        <w:tc>
          <w:tcPr>
            <w:tcW w:w="709"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13</w:t>
            </w:r>
          </w:p>
        </w:tc>
        <w:tc>
          <w:tcPr>
            <w:tcW w:w="850"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9</w:t>
            </w:r>
          </w:p>
        </w:tc>
        <w:tc>
          <w:tcPr>
            <w:tcW w:w="567" w:type="dxa"/>
            <w:tcBorders>
              <w:top w:val="nil"/>
              <w:left w:val="nil"/>
              <w:bottom w:val="nil"/>
              <w:right w:val="nil"/>
            </w:tcBorders>
            <w:shd w:val="clear" w:color="auto" w:fill="auto"/>
            <w:noWrap/>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80</w:t>
            </w:r>
          </w:p>
        </w:tc>
        <w:tc>
          <w:tcPr>
            <w:tcW w:w="851" w:type="dxa"/>
            <w:tcBorders>
              <w:top w:val="nil"/>
              <w:left w:val="nil"/>
              <w:bottom w:val="nil"/>
              <w:right w:val="nil"/>
            </w:tcBorders>
            <w:vAlign w:val="bottom"/>
          </w:tcPr>
          <w:p w:rsidR="000C149F" w:rsidRPr="008843A8" w:rsidRDefault="000C149F" w:rsidP="008A0E05">
            <w:pPr>
              <w:spacing w:after="0" w:line="240" w:lineRule="auto"/>
              <w:jc w:val="center"/>
              <w:rPr>
                <w:rFonts w:ascii="Calibri" w:hAnsi="Calibri" w:cs="Calibri"/>
                <w:color w:val="000000"/>
                <w:sz w:val="18"/>
              </w:rPr>
            </w:pPr>
            <w:r w:rsidRPr="008843A8">
              <w:rPr>
                <w:rFonts w:ascii="Calibri" w:hAnsi="Calibri" w:cs="Calibri"/>
                <w:color w:val="000000"/>
                <w:sz w:val="18"/>
              </w:rPr>
              <w:t>19</w:t>
            </w:r>
          </w:p>
        </w:tc>
      </w:tr>
      <w:tr w:rsidR="000C149F" w:rsidRPr="008843A8" w:rsidTr="008A0E05">
        <w:trPr>
          <w:trHeight w:val="288"/>
        </w:trPr>
        <w:tc>
          <w:tcPr>
            <w:tcW w:w="426" w:type="dxa"/>
            <w:tcBorders>
              <w:left w:val="nil"/>
              <w:bottom w:val="single" w:sz="4" w:space="0" w:color="auto"/>
              <w:right w:val="nil"/>
            </w:tcBorders>
            <w:vAlign w:val="bottom"/>
          </w:tcPr>
          <w:p w:rsidR="000C149F" w:rsidRPr="008843A8" w:rsidRDefault="000C149F" w:rsidP="008A0E05">
            <w:pPr>
              <w:spacing w:before="240" w:line="240" w:lineRule="auto"/>
              <w:jc w:val="center"/>
              <w:rPr>
                <w:rFonts w:ascii="Calibri" w:eastAsia="Times New Roman" w:hAnsi="Calibri" w:cs="Calibri"/>
                <w:color w:val="000000"/>
                <w:sz w:val="18"/>
                <w:szCs w:val="20"/>
                <w:lang w:val="nb-NO" w:eastAsia="nb-NO"/>
              </w:rPr>
            </w:pPr>
          </w:p>
        </w:tc>
        <w:tc>
          <w:tcPr>
            <w:tcW w:w="992" w:type="dxa"/>
            <w:tcBorders>
              <w:left w:val="nil"/>
              <w:bottom w:val="single" w:sz="4" w:space="0" w:color="auto"/>
              <w:right w:val="nil"/>
            </w:tcBorders>
            <w:shd w:val="clear" w:color="auto" w:fill="auto"/>
            <w:noWrap/>
            <w:vAlign w:val="bottom"/>
            <w:hideMark/>
          </w:tcPr>
          <w:p w:rsidR="000C149F" w:rsidRPr="008843A8" w:rsidRDefault="000C149F" w:rsidP="008A0E05">
            <w:pPr>
              <w:spacing w:before="240" w:line="240" w:lineRule="auto"/>
              <w:rPr>
                <w:rFonts w:ascii="Calibri" w:eastAsia="Times New Roman" w:hAnsi="Calibri" w:cs="Calibri"/>
                <w:color w:val="000000"/>
                <w:sz w:val="18"/>
                <w:szCs w:val="20"/>
                <w:lang w:val="nb-NO" w:eastAsia="nb-NO"/>
              </w:rPr>
            </w:pPr>
            <w:r w:rsidRPr="008843A8">
              <w:rPr>
                <w:rFonts w:ascii="Calibri" w:eastAsia="Times New Roman" w:hAnsi="Calibri" w:cs="Calibri"/>
                <w:color w:val="000000"/>
                <w:sz w:val="18"/>
                <w:szCs w:val="20"/>
                <w:lang w:val="nb-NO" w:eastAsia="nb-NO"/>
              </w:rPr>
              <w:t>Total for North Atlantic</w:t>
            </w:r>
          </w:p>
        </w:tc>
        <w:tc>
          <w:tcPr>
            <w:tcW w:w="850" w:type="dxa"/>
            <w:tcBorders>
              <w:left w:val="nil"/>
              <w:bottom w:val="single" w:sz="4" w:space="0" w:color="auto"/>
              <w:right w:val="nil"/>
            </w:tcBorders>
            <w:vAlign w:val="bottom"/>
          </w:tcPr>
          <w:p w:rsidR="000C149F" w:rsidRPr="008843A8" w:rsidRDefault="000C149F" w:rsidP="008A0E05">
            <w:pPr>
              <w:spacing w:before="240" w:line="240" w:lineRule="auto"/>
              <w:jc w:val="center"/>
              <w:rPr>
                <w:rFonts w:ascii="Calibri" w:hAnsi="Calibri" w:cs="Calibri"/>
                <w:color w:val="000000"/>
                <w:sz w:val="18"/>
              </w:rPr>
            </w:pPr>
            <w:r w:rsidRPr="008843A8">
              <w:rPr>
                <w:rFonts w:ascii="Calibri" w:hAnsi="Calibri" w:cs="Calibri"/>
                <w:color w:val="000000"/>
                <w:sz w:val="18"/>
              </w:rPr>
              <w:t>275</w:t>
            </w:r>
          </w:p>
        </w:tc>
        <w:tc>
          <w:tcPr>
            <w:tcW w:w="993" w:type="dxa"/>
            <w:tcBorders>
              <w:left w:val="nil"/>
              <w:bottom w:val="single" w:sz="4" w:space="0" w:color="auto"/>
              <w:right w:val="nil"/>
            </w:tcBorders>
            <w:vAlign w:val="bottom"/>
          </w:tcPr>
          <w:p w:rsidR="000C149F" w:rsidRPr="008843A8" w:rsidRDefault="000C149F" w:rsidP="008A0E05">
            <w:pPr>
              <w:spacing w:before="240" w:line="240" w:lineRule="auto"/>
              <w:jc w:val="center"/>
              <w:rPr>
                <w:rFonts w:ascii="Calibri" w:hAnsi="Calibri" w:cs="Calibri"/>
                <w:color w:val="000000"/>
                <w:sz w:val="18"/>
              </w:rPr>
            </w:pPr>
            <w:r w:rsidRPr="008843A8">
              <w:rPr>
                <w:rFonts w:ascii="Calibri" w:hAnsi="Calibri" w:cs="Calibri"/>
                <w:color w:val="000000"/>
                <w:sz w:val="18"/>
              </w:rPr>
              <w:t>169</w:t>
            </w:r>
          </w:p>
        </w:tc>
        <w:tc>
          <w:tcPr>
            <w:tcW w:w="1134" w:type="dxa"/>
            <w:tcBorders>
              <w:left w:val="nil"/>
              <w:bottom w:val="single" w:sz="4" w:space="0" w:color="auto"/>
              <w:right w:val="nil"/>
            </w:tcBorders>
            <w:vAlign w:val="bottom"/>
          </w:tcPr>
          <w:p w:rsidR="000C149F" w:rsidRPr="008843A8" w:rsidRDefault="000C149F" w:rsidP="008A0E05">
            <w:pPr>
              <w:spacing w:before="240" w:line="240" w:lineRule="auto"/>
              <w:jc w:val="center"/>
              <w:rPr>
                <w:rFonts w:ascii="Calibri" w:hAnsi="Calibri" w:cs="Calibri"/>
                <w:color w:val="000000"/>
                <w:sz w:val="18"/>
              </w:rPr>
            </w:pPr>
            <w:r w:rsidRPr="008843A8">
              <w:rPr>
                <w:rFonts w:ascii="Calibri" w:hAnsi="Calibri" w:cs="Calibri"/>
                <w:color w:val="000000"/>
                <w:sz w:val="18"/>
              </w:rPr>
              <w:t>602</w:t>
            </w:r>
          </w:p>
        </w:tc>
        <w:tc>
          <w:tcPr>
            <w:tcW w:w="992" w:type="dxa"/>
            <w:tcBorders>
              <w:top w:val="nil"/>
              <w:left w:val="nil"/>
              <w:bottom w:val="single" w:sz="4" w:space="0" w:color="auto"/>
              <w:right w:val="nil"/>
            </w:tcBorders>
            <w:shd w:val="clear" w:color="auto" w:fill="auto"/>
            <w:noWrap/>
            <w:vAlign w:val="bottom"/>
            <w:hideMark/>
          </w:tcPr>
          <w:p w:rsidR="000C149F" w:rsidRPr="008843A8" w:rsidRDefault="000C149F" w:rsidP="008A0E05">
            <w:pPr>
              <w:spacing w:before="24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410</w:t>
            </w:r>
          </w:p>
        </w:tc>
        <w:tc>
          <w:tcPr>
            <w:tcW w:w="992" w:type="dxa"/>
            <w:tcBorders>
              <w:top w:val="nil"/>
              <w:left w:val="nil"/>
              <w:bottom w:val="single" w:sz="4" w:space="0" w:color="auto"/>
              <w:right w:val="nil"/>
            </w:tcBorders>
            <w:shd w:val="clear" w:color="auto" w:fill="auto"/>
            <w:noWrap/>
            <w:vAlign w:val="bottom"/>
            <w:hideMark/>
          </w:tcPr>
          <w:p w:rsidR="000C149F" w:rsidRPr="008843A8" w:rsidRDefault="000C149F" w:rsidP="008A0E05">
            <w:pPr>
              <w:spacing w:before="24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1369</w:t>
            </w:r>
          </w:p>
        </w:tc>
        <w:tc>
          <w:tcPr>
            <w:tcW w:w="709" w:type="dxa"/>
            <w:tcBorders>
              <w:top w:val="nil"/>
              <w:left w:val="nil"/>
              <w:bottom w:val="single" w:sz="4" w:space="0" w:color="auto"/>
              <w:right w:val="nil"/>
            </w:tcBorders>
            <w:shd w:val="clear" w:color="auto" w:fill="auto"/>
            <w:noWrap/>
            <w:vAlign w:val="bottom"/>
            <w:hideMark/>
          </w:tcPr>
          <w:p w:rsidR="000C149F" w:rsidRPr="008843A8" w:rsidRDefault="000C149F" w:rsidP="008A0E05">
            <w:pPr>
              <w:spacing w:before="24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1105</w:t>
            </w:r>
          </w:p>
        </w:tc>
        <w:tc>
          <w:tcPr>
            <w:tcW w:w="850" w:type="dxa"/>
            <w:tcBorders>
              <w:top w:val="nil"/>
              <w:left w:val="nil"/>
              <w:bottom w:val="single" w:sz="4" w:space="0" w:color="auto"/>
              <w:right w:val="nil"/>
            </w:tcBorders>
            <w:vAlign w:val="bottom"/>
          </w:tcPr>
          <w:p w:rsidR="000C149F" w:rsidRPr="008843A8" w:rsidRDefault="000C149F" w:rsidP="008A0E05">
            <w:pPr>
              <w:spacing w:before="240" w:line="240" w:lineRule="auto"/>
              <w:jc w:val="center"/>
              <w:rPr>
                <w:rFonts w:ascii="Calibri" w:hAnsi="Calibri" w:cs="Calibri"/>
                <w:color w:val="000000"/>
                <w:sz w:val="18"/>
              </w:rPr>
            </w:pPr>
            <w:r w:rsidRPr="008843A8">
              <w:rPr>
                <w:rFonts w:ascii="Calibri" w:hAnsi="Calibri" w:cs="Calibri"/>
                <w:color w:val="000000"/>
                <w:sz w:val="18"/>
              </w:rPr>
              <w:t>822</w:t>
            </w:r>
          </w:p>
        </w:tc>
        <w:tc>
          <w:tcPr>
            <w:tcW w:w="567" w:type="dxa"/>
            <w:tcBorders>
              <w:top w:val="nil"/>
              <w:left w:val="nil"/>
              <w:bottom w:val="single" w:sz="4" w:space="0" w:color="auto"/>
              <w:right w:val="nil"/>
            </w:tcBorders>
            <w:shd w:val="clear" w:color="auto" w:fill="auto"/>
            <w:noWrap/>
            <w:vAlign w:val="bottom"/>
            <w:hideMark/>
          </w:tcPr>
          <w:p w:rsidR="000C149F" w:rsidRPr="008843A8" w:rsidRDefault="000C149F" w:rsidP="008A0E05">
            <w:pPr>
              <w:spacing w:before="240" w:line="240" w:lineRule="auto"/>
              <w:jc w:val="center"/>
              <w:rPr>
                <w:rFonts w:ascii="Calibri" w:eastAsia="Times New Roman" w:hAnsi="Calibri" w:cs="Calibri"/>
                <w:color w:val="000000"/>
                <w:sz w:val="18"/>
                <w:szCs w:val="20"/>
                <w:lang w:val="nb-NO" w:eastAsia="nb-NO"/>
              </w:rPr>
            </w:pPr>
            <w:r w:rsidRPr="008843A8">
              <w:rPr>
                <w:rFonts w:ascii="Calibri" w:hAnsi="Calibri" w:cs="Calibri"/>
                <w:color w:val="000000"/>
                <w:sz w:val="18"/>
              </w:rPr>
              <w:t>2519</w:t>
            </w:r>
          </w:p>
        </w:tc>
        <w:tc>
          <w:tcPr>
            <w:tcW w:w="851" w:type="dxa"/>
            <w:tcBorders>
              <w:top w:val="nil"/>
              <w:left w:val="nil"/>
              <w:bottom w:val="single" w:sz="4" w:space="0" w:color="auto"/>
              <w:right w:val="nil"/>
            </w:tcBorders>
            <w:vAlign w:val="bottom"/>
          </w:tcPr>
          <w:p w:rsidR="000C149F" w:rsidRPr="008843A8" w:rsidRDefault="000C149F" w:rsidP="008A0E05">
            <w:pPr>
              <w:spacing w:before="240" w:line="240" w:lineRule="auto"/>
              <w:jc w:val="center"/>
              <w:rPr>
                <w:rFonts w:ascii="Calibri" w:hAnsi="Calibri" w:cs="Calibri"/>
                <w:color w:val="000000"/>
                <w:sz w:val="18"/>
              </w:rPr>
            </w:pPr>
          </w:p>
        </w:tc>
      </w:tr>
    </w:tbl>
    <w:p w:rsidR="000C149F" w:rsidRDefault="000C149F" w:rsidP="008A0E05">
      <w:pPr>
        <w:spacing w:before="120" w:after="120" w:line="480" w:lineRule="auto"/>
        <w:rPr>
          <w:rFonts w:ascii="Times New Roman" w:hAnsi="Times New Roman" w:cs="Times New Roman"/>
          <w:b/>
          <w:sz w:val="24"/>
          <w:szCs w:val="24"/>
        </w:rPr>
      </w:pPr>
    </w:p>
    <w:p w:rsidR="000C149F" w:rsidRDefault="000C149F" w:rsidP="008A0E05">
      <w:pPr>
        <w:spacing w:line="480" w:lineRule="auto"/>
        <w:rPr>
          <w:rStyle w:val="CommentReference"/>
        </w:rPr>
      </w:pPr>
    </w:p>
    <w:p w:rsidR="000C149F"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b/>
          <w:sz w:val="24"/>
          <w:szCs w:val="24"/>
        </w:rPr>
      </w:pPr>
      <w:r>
        <w:rPr>
          <w:rFonts w:ascii="Times New Roman" w:hAnsi="Times New Roman" w:cs="Times New Roman"/>
          <w:b/>
          <w:sz w:val="24"/>
          <w:szCs w:val="24"/>
        </w:rPr>
        <w:t>2.2 Status and trends of terrestrial arthropod FECs in the North Atlantic region</w:t>
      </w:r>
    </w:p>
    <w:p w:rsidR="000C149F" w:rsidRPr="00EF260A" w:rsidRDefault="000C149F" w:rsidP="008A0E05">
      <w:pPr>
        <w:spacing w:line="480" w:lineRule="auto"/>
        <w:rPr>
          <w:rFonts w:ascii="Times New Roman" w:hAnsi="Times New Roman" w:cs="Times New Roman"/>
          <w:i/>
          <w:sz w:val="24"/>
          <w:szCs w:val="24"/>
        </w:rPr>
      </w:pPr>
      <w:r w:rsidRPr="00EF260A">
        <w:rPr>
          <w:rFonts w:ascii="Times New Roman" w:hAnsi="Times New Roman" w:cs="Times New Roman"/>
          <w:i/>
          <w:sz w:val="24"/>
          <w:szCs w:val="24"/>
        </w:rPr>
        <w:t>Blood-feeding insects</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Arthropods in this FEC (</w:t>
      </w:r>
      <w:r w:rsidRPr="00DA593F">
        <w:rPr>
          <w:rFonts w:ascii="Times New Roman" w:hAnsi="Times New Roman" w:cs="Times New Roman"/>
          <w:sz w:val="24"/>
          <w:szCs w:val="24"/>
        </w:rPr>
        <w:t>Table S</w:t>
      </w:r>
      <w:r>
        <w:rPr>
          <w:rFonts w:ascii="Times New Roman" w:hAnsi="Times New Roman" w:cs="Times New Roman"/>
          <w:sz w:val="24"/>
          <w:szCs w:val="24"/>
        </w:rPr>
        <w:t xml:space="preserve">2) include the most important groups from a socio-ecological perspective: mosquitoes, black flies and lice. For example, harassment of reindeer by biting insects can prevent grazing and rumination </w:t>
      </w:r>
      <w:r>
        <w:rPr>
          <w:rFonts w:ascii="Times New Roman" w:hAnsi="Times New Roman" w:cs="Times New Roman"/>
          <w:noProof/>
          <w:sz w:val="24"/>
          <w:szCs w:val="24"/>
        </w:rPr>
        <w:t>(Witter et al. 2012</w:t>
      </w:r>
      <w:r>
        <w:rPr>
          <w:rFonts w:ascii="Times New Roman" w:hAnsi="Times New Roman" w:cs="Times New Roman"/>
          <w:sz w:val="24"/>
          <w:szCs w:val="24"/>
        </w:rPr>
        <w:t xml:space="preserve">, </w:t>
      </w:r>
      <w:r w:rsidRPr="000424D3">
        <w:rPr>
          <w:rFonts w:ascii="Times New Roman" w:hAnsi="Times New Roman" w:cs="Times New Roman"/>
          <w:sz w:val="24"/>
          <w:szCs w:val="24"/>
          <w:highlight w:val="yellow"/>
        </w:rPr>
        <w:t>Caribou paper, this issue</w:t>
      </w:r>
      <w:r>
        <w:rPr>
          <w:rFonts w:ascii="Times New Roman" w:hAnsi="Times New Roman" w:cs="Times New Roman"/>
          <w:sz w:val="24"/>
          <w:szCs w:val="24"/>
        </w:rPr>
        <w:t xml:space="preserve">), black flies can cause mortality in Arctic peregrine falcons </w:t>
      </w:r>
      <w:r>
        <w:rPr>
          <w:rFonts w:ascii="Times New Roman" w:hAnsi="Times New Roman" w:cs="Times New Roman"/>
          <w:noProof/>
          <w:sz w:val="24"/>
          <w:szCs w:val="24"/>
        </w:rPr>
        <w:t>(Franke et al. 2016)</w:t>
      </w:r>
      <w:r>
        <w:rPr>
          <w:rFonts w:ascii="Times New Roman" w:hAnsi="Times New Roman" w:cs="Times New Roman"/>
          <w:sz w:val="24"/>
          <w:szCs w:val="24"/>
        </w:rPr>
        <w:t xml:space="preserve">, and mosquitoes contribute to adult sea-bird mortality </w:t>
      </w:r>
      <w:r>
        <w:rPr>
          <w:rFonts w:ascii="Times New Roman" w:hAnsi="Times New Roman" w:cs="Times New Roman"/>
          <w:noProof/>
          <w:sz w:val="24"/>
          <w:szCs w:val="24"/>
        </w:rPr>
        <w:t>(Gaston et al. 2002)</w:t>
      </w:r>
      <w:r>
        <w:rPr>
          <w:rFonts w:ascii="Times New Roman" w:hAnsi="Times New Roman" w:cs="Times New Roman"/>
          <w:sz w:val="24"/>
          <w:szCs w:val="24"/>
        </w:rPr>
        <w:t>. Links between this group and other FECs (</w:t>
      </w:r>
      <w:r w:rsidRPr="00293348">
        <w:rPr>
          <w:rFonts w:ascii="Times New Roman" w:hAnsi="Times New Roman" w:cs="Times New Roman"/>
          <w:sz w:val="24"/>
          <w:szCs w:val="24"/>
        </w:rPr>
        <w:t xml:space="preserve">Figure </w:t>
      </w:r>
      <w:r>
        <w:rPr>
          <w:rFonts w:ascii="Times New Roman" w:hAnsi="Times New Roman" w:cs="Times New Roman"/>
          <w:sz w:val="24"/>
          <w:szCs w:val="24"/>
        </w:rPr>
        <w:t xml:space="preserve">2) include some biting flies being prey to vertebrates and invertebrates </w:t>
      </w:r>
      <w:r>
        <w:rPr>
          <w:rFonts w:ascii="Times New Roman" w:hAnsi="Times New Roman" w:cs="Times New Roman"/>
          <w:noProof/>
          <w:sz w:val="24"/>
          <w:szCs w:val="24"/>
        </w:rPr>
        <w:t>(Wirta et al. 2015)</w:t>
      </w:r>
      <w:r>
        <w:rPr>
          <w:rFonts w:ascii="Times New Roman" w:hAnsi="Times New Roman" w:cs="Times New Roman"/>
          <w:sz w:val="24"/>
          <w:szCs w:val="24"/>
        </w:rPr>
        <w:t xml:space="preserve"> and flower pollinators </w:t>
      </w:r>
      <w:r>
        <w:rPr>
          <w:rFonts w:ascii="Times New Roman" w:hAnsi="Times New Roman" w:cs="Times New Roman"/>
          <w:noProof/>
          <w:sz w:val="24"/>
          <w:szCs w:val="24"/>
        </w:rPr>
        <w:t>(Urbanowicz et al. 2017)</w:t>
      </w:r>
      <w:r>
        <w:rPr>
          <w:rFonts w:ascii="Times New Roman" w:hAnsi="Times New Roman" w:cs="Times New Roman"/>
          <w:sz w:val="24"/>
          <w:szCs w:val="24"/>
        </w:rPr>
        <w:t xml:space="preserve">. Blackflies and mosquitoes have aquatic larvae (see Culler et al. 2015), which also links them to freshwater systems. </w:t>
      </w:r>
    </w:p>
    <w:p w:rsidR="000C149F" w:rsidRDefault="000C149F"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rPr>
      </w:pPr>
      <w:r>
        <w:rPr>
          <w:noProof/>
          <w:sz w:val="16"/>
          <w:szCs w:val="16"/>
          <w:lang w:val="en-GB" w:eastAsia="en-GB"/>
        </w:rPr>
        <w:drawing>
          <wp:inline distT="0" distB="0" distL="0" distR="0" wp14:anchorId="3CA689D5" wp14:editId="1E5B39B8">
            <wp:extent cx="3803073" cy="3803073"/>
            <wp:effectExtent l="0" t="0" r="6985"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ord.png"/>
                    <pic:cNvPicPr/>
                  </pic:nvPicPr>
                  <pic:blipFill>
                    <a:blip r:embed="rId9">
                      <a:extLst>
                        <a:ext uri="{28A0092B-C50C-407E-A947-70E740481C1C}">
                          <a14:useLocalDpi xmlns:a14="http://schemas.microsoft.com/office/drawing/2010/main" val="0"/>
                        </a:ext>
                      </a:extLst>
                    </a:blip>
                    <a:stretch>
                      <a:fillRect/>
                    </a:stretch>
                  </pic:blipFill>
                  <pic:spPr>
                    <a:xfrm>
                      <a:off x="0" y="0"/>
                      <a:ext cx="3810181" cy="3810181"/>
                    </a:xfrm>
                    <a:prstGeom prst="rect">
                      <a:avLst/>
                    </a:prstGeom>
                  </pic:spPr>
                </pic:pic>
              </a:graphicData>
            </a:graphic>
          </wp:inline>
        </w:drawing>
      </w:r>
    </w:p>
    <w:p w:rsidR="000C149F" w:rsidRDefault="000C149F" w:rsidP="008A0E05">
      <w:pPr>
        <w:spacing w:line="480" w:lineRule="auto"/>
        <w:rPr>
          <w:rFonts w:ascii="Times New Roman" w:hAnsi="Times New Roman" w:cs="Times New Roman"/>
          <w:sz w:val="24"/>
          <w:szCs w:val="24"/>
        </w:rPr>
      </w:pPr>
      <w:r w:rsidRPr="00DA593F">
        <w:rPr>
          <w:rFonts w:ascii="Times New Roman" w:hAnsi="Times New Roman" w:cs="Times New Roman"/>
          <w:b/>
          <w:sz w:val="24"/>
          <w:szCs w:val="24"/>
        </w:rPr>
        <w:t>Figure</w:t>
      </w:r>
      <w:r>
        <w:rPr>
          <w:rFonts w:ascii="Times New Roman" w:hAnsi="Times New Roman" w:cs="Times New Roman"/>
          <w:b/>
          <w:sz w:val="24"/>
          <w:szCs w:val="24"/>
        </w:rPr>
        <w:t xml:space="preserve"> 2</w:t>
      </w:r>
      <w:r w:rsidRPr="00DA593F">
        <w:rPr>
          <w:rFonts w:ascii="Times New Roman" w:hAnsi="Times New Roman" w:cs="Times New Roman"/>
          <w:b/>
          <w:sz w:val="24"/>
          <w:szCs w:val="24"/>
        </w:rPr>
        <w:t>:</w:t>
      </w:r>
      <w:r>
        <w:rPr>
          <w:rFonts w:ascii="Times New Roman" w:hAnsi="Times New Roman" w:cs="Times New Roman"/>
          <w:sz w:val="24"/>
          <w:szCs w:val="24"/>
        </w:rPr>
        <w:t xml:space="preserve"> The multi-functionality of Arctic arthropods. The chord diagram indicates the number of species in each FEC for the North Atlantic (circular outline) and the overlap between the five CBMP FECs and our recommended “Predators” FEC. Link width is indicative of the number of species presumed to link the various FECs. Note that 34 species found in 3 or more FECs are not depicted, so the total number of species is slightly</w:t>
      </w:r>
      <w:r w:rsidRPr="004E7F88">
        <w:rPr>
          <w:rFonts w:ascii="Times New Roman" w:hAnsi="Times New Roman" w:cs="Times New Roman"/>
          <w:sz w:val="24"/>
          <w:szCs w:val="24"/>
        </w:rPr>
        <w:t xml:space="preserve"> </w:t>
      </w:r>
      <w:r>
        <w:rPr>
          <w:rFonts w:ascii="Times New Roman" w:hAnsi="Times New Roman" w:cs="Times New Roman"/>
          <w:sz w:val="24"/>
          <w:szCs w:val="24"/>
        </w:rPr>
        <w:t xml:space="preserve">inflated. </w:t>
      </w:r>
    </w:p>
    <w:p w:rsidR="000C149F" w:rsidRDefault="000C149F" w:rsidP="008A0E05">
      <w:pPr>
        <w:spacing w:line="480" w:lineRule="auto"/>
        <w:rPr>
          <w:rFonts w:ascii="Times New Roman" w:hAnsi="Times New Roman" w:cs="Times New Roman"/>
          <w:sz w:val="24"/>
          <w:szCs w:val="24"/>
        </w:rPr>
      </w:pPr>
    </w:p>
    <w:p w:rsidR="000C149F" w:rsidRPr="000F6198"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 xml:space="preserve">Distributional and long-term trend information is limited for this group in much of the study region and little is known about the importance of lice in the Arctic </w:t>
      </w:r>
      <w:r>
        <w:rPr>
          <w:rFonts w:ascii="Times New Roman" w:hAnsi="Times New Roman" w:cs="Times New Roman"/>
          <w:noProof/>
          <w:sz w:val="24"/>
          <w:szCs w:val="24"/>
          <w:lang w:val="en-GB"/>
        </w:rPr>
        <w:t>(Mallory et al. 2006)</w:t>
      </w:r>
      <w:r>
        <w:rPr>
          <w:rFonts w:ascii="Times New Roman" w:hAnsi="Times New Roman" w:cs="Times New Roman"/>
          <w:sz w:val="24"/>
          <w:szCs w:val="24"/>
          <w:lang w:val="en-GB"/>
        </w:rPr>
        <w:t>. Therefore, it may be advisable to focus monitoring on indicator species, such as the tick </w:t>
      </w:r>
      <w:r>
        <w:rPr>
          <w:rFonts w:ascii="Times New Roman" w:hAnsi="Times New Roman" w:cs="Times New Roman"/>
          <w:i/>
          <w:iCs/>
          <w:sz w:val="24"/>
          <w:szCs w:val="24"/>
          <w:lang w:val="en-GB"/>
        </w:rPr>
        <w:t>Ixodes uriae</w:t>
      </w:r>
      <w:r>
        <w:rPr>
          <w:rFonts w:ascii="Times New Roman" w:hAnsi="Times New Roman" w:cs="Times New Roman"/>
          <w:sz w:val="24"/>
          <w:szCs w:val="24"/>
          <w:lang w:val="en-GB"/>
        </w:rPr>
        <w:t xml:space="preserve">, which has recently colonised Svalbard </w:t>
      </w:r>
      <w:r>
        <w:rPr>
          <w:rFonts w:ascii="Times New Roman" w:hAnsi="Times New Roman" w:cs="Times New Roman"/>
          <w:noProof/>
          <w:sz w:val="24"/>
          <w:szCs w:val="24"/>
          <w:lang w:val="en-GB"/>
        </w:rPr>
        <w:t>(Coulson et al. 2014)</w:t>
      </w:r>
      <w:r>
        <w:rPr>
          <w:rFonts w:ascii="Times New Roman" w:hAnsi="Times New Roman" w:cs="Times New Roman"/>
          <w:sz w:val="24"/>
          <w:szCs w:val="24"/>
          <w:lang w:val="en-GB"/>
        </w:rPr>
        <w:t xml:space="preserve">, and on surveillance for new species that are disease vectors </w:t>
      </w:r>
      <w:r>
        <w:rPr>
          <w:rFonts w:ascii="Times New Roman" w:hAnsi="Times New Roman" w:cs="Times New Roman"/>
          <w:noProof/>
          <w:sz w:val="24"/>
          <w:szCs w:val="24"/>
          <w:lang w:val="en-GB"/>
        </w:rPr>
        <w:t>(Müllerová et al. 2018)</w:t>
      </w:r>
      <w:r>
        <w:rPr>
          <w:rFonts w:ascii="Times New Roman" w:hAnsi="Times New Roman" w:cs="Times New Roman"/>
          <w:sz w:val="24"/>
          <w:szCs w:val="24"/>
          <w:lang w:val="en-GB"/>
        </w:rPr>
        <w:t xml:space="preserve">. A promising example of this is a </w:t>
      </w:r>
      <w:r>
        <w:rPr>
          <w:rFonts w:ascii="Times New Roman" w:hAnsi="Times New Roman" w:cs="Times New Roman"/>
          <w:sz w:val="24"/>
          <w:szCs w:val="24"/>
        </w:rPr>
        <w:t xml:space="preserve">monitoring initiative </w:t>
      </w:r>
      <w:r>
        <w:rPr>
          <w:rFonts w:ascii="Times New Roman" w:hAnsi="Times New Roman" w:cs="Times New Roman"/>
          <w:sz w:val="24"/>
          <w:szCs w:val="24"/>
          <w:lang w:val="en-GB"/>
        </w:rPr>
        <w:t>in Greenland using CO</w:t>
      </w:r>
      <w:r w:rsidRPr="00A600A5">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traps as part of the VectorNet programme to complete distribution maps of potential European disease vectors, but the programme is in its infancy and requires additional support for expansion. Despite a lack of trend information, h</w:t>
      </w:r>
      <w:r>
        <w:rPr>
          <w:rFonts w:ascii="Times New Roman" w:hAnsi="Times New Roman" w:cs="Times New Roman"/>
          <w:sz w:val="24"/>
          <w:szCs w:val="24"/>
        </w:rPr>
        <w:t xml:space="preserve">ydrologic change will be crucial in determining the trends of biting insects that have an aquatic immature stage. For mosquitoes, warmer water temperatures can enhance immature survival through predator avoidance and faster development </w:t>
      </w:r>
      <w:r>
        <w:rPr>
          <w:rFonts w:ascii="Times New Roman" w:hAnsi="Times New Roman" w:cs="Times New Roman"/>
          <w:noProof/>
          <w:sz w:val="24"/>
          <w:szCs w:val="24"/>
        </w:rPr>
        <w:t>(Culler et al. 2015)</w:t>
      </w:r>
      <w:r>
        <w:rPr>
          <w:rFonts w:ascii="Times New Roman" w:hAnsi="Times New Roman" w:cs="Times New Roman"/>
          <w:sz w:val="24"/>
          <w:szCs w:val="24"/>
        </w:rPr>
        <w:t xml:space="preserve">. Earlier pond melt coupled with faster development would also support a continued trend towards earlier mosquito emergence </w:t>
      </w:r>
      <w:r>
        <w:rPr>
          <w:rFonts w:ascii="Times New Roman" w:hAnsi="Times New Roman" w:cs="Times New Roman"/>
          <w:noProof/>
          <w:sz w:val="24"/>
          <w:szCs w:val="24"/>
        </w:rPr>
        <w:t>(Høye et al. 2007)</w:t>
      </w:r>
      <w:r>
        <w:rPr>
          <w:rFonts w:ascii="Times New Roman" w:hAnsi="Times New Roman" w:cs="Times New Roman"/>
          <w:sz w:val="24"/>
          <w:szCs w:val="24"/>
        </w:rPr>
        <w:t>.</w:t>
      </w:r>
    </w:p>
    <w:p w:rsidR="000C149F" w:rsidRDefault="000C149F" w:rsidP="008A0E05">
      <w:pPr>
        <w:spacing w:line="480" w:lineRule="auto"/>
        <w:rPr>
          <w:rFonts w:ascii="Times New Roman" w:hAnsi="Times New Roman" w:cs="Times New Roman"/>
          <w:b/>
          <w:sz w:val="24"/>
          <w:szCs w:val="24"/>
        </w:rPr>
      </w:pPr>
    </w:p>
    <w:p w:rsidR="000C149F" w:rsidRPr="0018382D" w:rsidRDefault="000C149F" w:rsidP="008A0E05">
      <w:pPr>
        <w:spacing w:line="480" w:lineRule="auto"/>
        <w:rPr>
          <w:rFonts w:ascii="Times New Roman" w:hAnsi="Times New Roman" w:cs="Times New Roman"/>
          <w:i/>
          <w:sz w:val="24"/>
          <w:szCs w:val="24"/>
        </w:rPr>
      </w:pPr>
      <w:r w:rsidRPr="0018382D">
        <w:rPr>
          <w:rFonts w:ascii="Times New Roman" w:hAnsi="Times New Roman" w:cs="Times New Roman"/>
          <w:i/>
          <w:sz w:val="24"/>
          <w:szCs w:val="24"/>
        </w:rPr>
        <w:t>Pollinators</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majority of arthropod species in this FEC (Table S3) also occur in other FECs (Figure 2), demonstrating their extensive links throughout Arctic food webs. For example, lepidopteran larvae are primarily herbivorous and are prey for other species, and the larvae of hoverflies may be predatory or feed on decaying organic matter. The main pollinator species are likely to differ by region within the North Atlantic. For example, </w:t>
      </w:r>
      <w:r w:rsidRPr="0018382D">
        <w:rPr>
          <w:rFonts w:ascii="Times New Roman" w:hAnsi="Times New Roman" w:cs="Times New Roman"/>
          <w:i/>
          <w:sz w:val="24"/>
          <w:szCs w:val="24"/>
        </w:rPr>
        <w:t>Spilogona</w:t>
      </w:r>
      <w:r>
        <w:rPr>
          <w:rFonts w:ascii="Times New Roman" w:hAnsi="Times New Roman" w:cs="Times New Roman"/>
          <w:sz w:val="24"/>
          <w:szCs w:val="24"/>
        </w:rPr>
        <w:t xml:space="preserve"> sp. (Diptera: Muscidae) are key pollinators in NW Greenland </w:t>
      </w:r>
      <w:r>
        <w:rPr>
          <w:rFonts w:ascii="Times New Roman" w:hAnsi="Times New Roman" w:cs="Times New Roman"/>
          <w:noProof/>
          <w:sz w:val="24"/>
          <w:szCs w:val="24"/>
        </w:rPr>
        <w:t>(Tiusanen et al. 2016, Loboda et al. 2018)</w:t>
      </w:r>
      <w:r>
        <w:rPr>
          <w:rFonts w:ascii="Times New Roman" w:hAnsi="Times New Roman" w:cs="Times New Roman"/>
          <w:sz w:val="24"/>
          <w:szCs w:val="24"/>
        </w:rPr>
        <w:t xml:space="preserve"> and Svalbard </w:t>
      </w:r>
      <w:r>
        <w:rPr>
          <w:rFonts w:ascii="Times New Roman" w:hAnsi="Times New Roman" w:cs="Times New Roman"/>
          <w:noProof/>
          <w:sz w:val="24"/>
          <w:szCs w:val="24"/>
        </w:rPr>
        <w:t>(Gillespie et al. 2016)</w:t>
      </w:r>
      <w:r>
        <w:rPr>
          <w:rFonts w:ascii="Times New Roman" w:hAnsi="Times New Roman" w:cs="Times New Roman"/>
          <w:sz w:val="24"/>
          <w:szCs w:val="24"/>
        </w:rPr>
        <w:t xml:space="preserve">, while hoverflies are more important in Iceland and West </w:t>
      </w:r>
      <w:r>
        <w:rPr>
          <w:rFonts w:ascii="Times New Roman" w:hAnsi="Times New Roman" w:cs="Times New Roman"/>
          <w:noProof/>
          <w:sz w:val="24"/>
          <w:szCs w:val="24"/>
        </w:rPr>
        <w:t>(Urbanowicz et al. 2017)</w:t>
      </w:r>
      <w:r>
        <w:rPr>
          <w:rFonts w:ascii="Times New Roman" w:hAnsi="Times New Roman" w:cs="Times New Roman"/>
          <w:sz w:val="24"/>
          <w:szCs w:val="24"/>
        </w:rPr>
        <w:t xml:space="preserve"> and South Greenland (Toke T. Høye pers. obs.). Understanding the important trends in this FEC will require good local knowledge of plant-pollinator interactions. Similarly, if attributes such as pollination rate are essential measurements (Table 1), standardised experimental protocols focussing on key local plants will be required. </w:t>
      </w:r>
    </w:p>
    <w:p w:rsidR="000C149F" w:rsidRDefault="000C149F" w:rsidP="008A0E05">
      <w:pPr>
        <w:spacing w:line="480" w:lineRule="auto"/>
        <w:rPr>
          <w:rFonts w:ascii="Times New Roman" w:hAnsi="Times New Roman" w:cs="Times New Roman"/>
          <w:sz w:val="24"/>
          <w:szCs w:val="24"/>
        </w:rPr>
      </w:pPr>
    </w:p>
    <w:p w:rsidR="000C149F" w:rsidRPr="00FB160C" w:rsidRDefault="000C149F" w:rsidP="008A0E0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most promising long-term datasets for this FEC come from the arthropod samples collected at Zackenberg since 1996. </w:t>
      </w:r>
      <w:r>
        <w:rPr>
          <w:rFonts w:ascii="Times New Roman" w:hAnsi="Times New Roman" w:cs="Times New Roman"/>
          <w:sz w:val="24"/>
          <w:szCs w:val="24"/>
          <w:lang w:val="en-US"/>
        </w:rPr>
        <w:t>Significant declines were detected in seven of the 14 muscid species found in five or more years between 1996 and 2014 (Figure 3), and dramatic (</w:t>
      </w:r>
      <w:r>
        <w:rPr>
          <w:rFonts w:ascii="Times New Roman" w:hAnsi="Times New Roman" w:cs="Times New Roman"/>
          <w:sz w:val="24"/>
          <w:szCs w:val="24"/>
        </w:rPr>
        <w:t>&gt;</w:t>
      </w:r>
      <w:r>
        <w:rPr>
          <w:rFonts w:ascii="Times New Roman" w:hAnsi="Times New Roman" w:cs="Times New Roman"/>
          <w:sz w:val="24"/>
          <w:szCs w:val="24"/>
          <w:lang w:val="en-US"/>
        </w:rPr>
        <w:t xml:space="preserve">80%) decreases in diversity and abundance have been reported in some habitats </w:t>
      </w:r>
      <w:r>
        <w:rPr>
          <w:rFonts w:ascii="Times New Roman" w:hAnsi="Times New Roman" w:cs="Times New Roman"/>
          <w:noProof/>
          <w:sz w:val="24"/>
          <w:szCs w:val="24"/>
          <w:lang w:val="en-US"/>
        </w:rPr>
        <w:t>(Loboda et al. 2018)</w:t>
      </w:r>
      <w:r>
        <w:rPr>
          <w:rFonts w:ascii="Times New Roman" w:hAnsi="Times New Roman" w:cs="Times New Roman"/>
          <w:sz w:val="24"/>
          <w:szCs w:val="24"/>
          <w:lang w:val="en-US"/>
        </w:rPr>
        <w:t xml:space="preserve">. The differences in trends between species of muscid flies may relate to ecological differences among species, but </w:t>
      </w:r>
      <w:r w:rsidRPr="00D23EAC">
        <w:rPr>
          <w:rFonts w:ascii="Times New Roman" w:hAnsi="Times New Roman" w:cs="Times New Roman"/>
          <w:sz w:val="24"/>
          <w:szCs w:val="24"/>
          <w:lang w:val="en-US"/>
        </w:rPr>
        <w:t>classif</w:t>
      </w:r>
      <w:r>
        <w:rPr>
          <w:rFonts w:ascii="Times New Roman" w:hAnsi="Times New Roman" w:cs="Times New Roman"/>
          <w:sz w:val="24"/>
          <w:szCs w:val="24"/>
          <w:lang w:val="en-US"/>
        </w:rPr>
        <w:t>ying</w:t>
      </w:r>
      <w:r w:rsidRPr="00D23EAC">
        <w:rPr>
          <w:rFonts w:ascii="Times New Roman" w:hAnsi="Times New Roman" w:cs="Times New Roman"/>
          <w:sz w:val="24"/>
          <w:szCs w:val="24"/>
          <w:lang w:val="en-US"/>
        </w:rPr>
        <w:t xml:space="preserve"> each species according to </w:t>
      </w:r>
      <w:r>
        <w:rPr>
          <w:rFonts w:ascii="Times New Roman" w:hAnsi="Times New Roman" w:cs="Times New Roman"/>
          <w:sz w:val="24"/>
          <w:szCs w:val="24"/>
          <w:lang w:val="en-US"/>
        </w:rPr>
        <w:t xml:space="preserve">their </w:t>
      </w:r>
      <w:r w:rsidRPr="00D23EAC">
        <w:rPr>
          <w:rFonts w:ascii="Times New Roman" w:hAnsi="Times New Roman" w:cs="Times New Roman"/>
          <w:sz w:val="24"/>
          <w:szCs w:val="24"/>
          <w:lang w:val="en-US"/>
        </w:rPr>
        <w:t>body size and whether the</w:t>
      </w:r>
      <w:r>
        <w:rPr>
          <w:rFonts w:ascii="Times New Roman" w:hAnsi="Times New Roman" w:cs="Times New Roman"/>
          <w:sz w:val="24"/>
          <w:szCs w:val="24"/>
          <w:lang w:val="en-US"/>
        </w:rPr>
        <w:t>y are</w:t>
      </w:r>
      <w:r w:rsidRPr="00D23EAC">
        <w:rPr>
          <w:rFonts w:ascii="Times New Roman" w:hAnsi="Times New Roman" w:cs="Times New Roman"/>
          <w:sz w:val="24"/>
          <w:szCs w:val="24"/>
          <w:lang w:val="en-US"/>
        </w:rPr>
        <w:t xml:space="preserve"> frequent flower visitor</w:t>
      </w:r>
      <w:r>
        <w:rPr>
          <w:rFonts w:ascii="Times New Roman" w:hAnsi="Times New Roman" w:cs="Times New Roman"/>
          <w:sz w:val="24"/>
          <w:szCs w:val="24"/>
          <w:lang w:val="en-US"/>
        </w:rPr>
        <w:t>s</w:t>
      </w:r>
      <w:r w:rsidRPr="00D23EAC">
        <w:rPr>
          <w:rFonts w:ascii="Times New Roman" w:hAnsi="Times New Roman" w:cs="Times New Roman"/>
          <w:sz w:val="24"/>
          <w:szCs w:val="24"/>
          <w:lang w:val="en-US"/>
        </w:rPr>
        <w:t xml:space="preserve"> or not</w:t>
      </w:r>
      <w:r>
        <w:rPr>
          <w:rFonts w:ascii="Times New Roman" w:hAnsi="Times New Roman" w:cs="Times New Roman"/>
          <w:sz w:val="24"/>
          <w:szCs w:val="24"/>
          <w:lang w:val="en-US"/>
        </w:rPr>
        <w:t xml:space="preserve"> did not yield consistent patterns of abundance variation (Figure 3). The significant declines in </w:t>
      </w:r>
      <w:r w:rsidRPr="00F42934">
        <w:rPr>
          <w:rFonts w:ascii="Times New Roman" w:hAnsi="Times New Roman" w:cs="Times New Roman"/>
          <w:i/>
          <w:sz w:val="24"/>
          <w:szCs w:val="24"/>
          <w:lang w:val="en-US"/>
        </w:rPr>
        <w:t>Spilogona</w:t>
      </w:r>
      <w:r w:rsidRPr="00F42934">
        <w:rPr>
          <w:rFonts w:ascii="Times New Roman" w:hAnsi="Times New Roman" w:cs="Times New Roman"/>
          <w:sz w:val="24"/>
          <w:szCs w:val="24"/>
          <w:lang w:val="en-US"/>
        </w:rPr>
        <w:t xml:space="preserve"> </w:t>
      </w:r>
      <w:r>
        <w:rPr>
          <w:rFonts w:ascii="Times New Roman" w:hAnsi="Times New Roman" w:cs="Times New Roman"/>
          <w:sz w:val="24"/>
          <w:szCs w:val="24"/>
          <w:lang w:val="en-US"/>
        </w:rPr>
        <w:t>species may result from reduced soil moisture in warmer years, as t</w:t>
      </w:r>
      <w:r w:rsidRPr="00A92EDC">
        <w:rPr>
          <w:rFonts w:ascii="Times New Roman" w:hAnsi="Times New Roman" w:cs="Times New Roman"/>
          <w:sz w:val="24"/>
          <w:szCs w:val="24"/>
          <w:lang w:val="en-US"/>
        </w:rPr>
        <w:t xml:space="preserve">he larvae of some Arctic </w:t>
      </w:r>
      <w:r w:rsidRPr="00A92EDC">
        <w:rPr>
          <w:rFonts w:ascii="Times New Roman" w:hAnsi="Times New Roman" w:cs="Times New Roman"/>
          <w:i/>
          <w:sz w:val="24"/>
          <w:szCs w:val="24"/>
          <w:lang w:val="en-US"/>
        </w:rPr>
        <w:t>Spilogona</w:t>
      </w:r>
      <w:r w:rsidRPr="00A92EDC">
        <w:rPr>
          <w:rFonts w:ascii="Times New Roman" w:hAnsi="Times New Roman" w:cs="Times New Roman"/>
          <w:sz w:val="24"/>
          <w:szCs w:val="24"/>
          <w:lang w:val="en-US"/>
        </w:rPr>
        <w:t xml:space="preserve"> species are aquatic or semi-aquatic predators of other Diptera larvae </w:t>
      </w:r>
      <w:r>
        <w:rPr>
          <w:rFonts w:ascii="Times New Roman" w:hAnsi="Times New Roman" w:cs="Times New Roman"/>
          <w:noProof/>
          <w:sz w:val="24"/>
          <w:szCs w:val="24"/>
          <w:lang w:val="en-US"/>
        </w:rPr>
        <w:t>(Michelsen 2015)</w:t>
      </w:r>
      <w:r>
        <w:rPr>
          <w:rFonts w:ascii="Times New Roman" w:hAnsi="Times New Roman" w:cs="Times New Roman"/>
          <w:sz w:val="24"/>
          <w:szCs w:val="24"/>
          <w:lang w:val="en-US"/>
        </w:rPr>
        <w:t xml:space="preserve">. Thus, </w:t>
      </w:r>
      <w:r w:rsidRPr="00F42934">
        <w:rPr>
          <w:rFonts w:ascii="Times New Roman" w:hAnsi="Times New Roman" w:cs="Times New Roman"/>
          <w:sz w:val="24"/>
          <w:szCs w:val="24"/>
          <w:lang w:val="en-US"/>
        </w:rPr>
        <w:t>soil moisture may directly affect the</w:t>
      </w:r>
      <w:r>
        <w:rPr>
          <w:rFonts w:ascii="Times New Roman" w:hAnsi="Times New Roman" w:cs="Times New Roman"/>
          <w:sz w:val="24"/>
          <w:szCs w:val="24"/>
          <w:lang w:val="en-US"/>
        </w:rPr>
        <w:t>ir</w:t>
      </w:r>
      <w:r w:rsidRPr="00F42934">
        <w:rPr>
          <w:rFonts w:ascii="Times New Roman" w:hAnsi="Times New Roman" w:cs="Times New Roman"/>
          <w:sz w:val="24"/>
          <w:szCs w:val="24"/>
          <w:lang w:val="en-US"/>
        </w:rPr>
        <w:t xml:space="preserve"> abundance</w:t>
      </w:r>
      <w:r>
        <w:rPr>
          <w:rFonts w:ascii="Times New Roman" w:hAnsi="Times New Roman" w:cs="Times New Roman"/>
          <w:sz w:val="24"/>
          <w:szCs w:val="24"/>
          <w:lang w:val="en-US"/>
        </w:rPr>
        <w:t>. More information about this analysis is provided in the supplementary information.</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717BF76" wp14:editId="0EE70A51">
            <wp:extent cx="5759450" cy="6468745"/>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Muscidae_Zackenberg-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6468745"/>
                    </a:xfrm>
                    <a:prstGeom prst="rect">
                      <a:avLst/>
                    </a:prstGeom>
                  </pic:spPr>
                </pic:pic>
              </a:graphicData>
            </a:graphic>
          </wp:inline>
        </w:drawing>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b/>
          <w:sz w:val="24"/>
          <w:szCs w:val="24"/>
          <w:lang w:val="en-US"/>
        </w:rPr>
        <w:t>Figure 3</w:t>
      </w:r>
      <w:r>
        <w:rPr>
          <w:rFonts w:ascii="Times New Roman" w:hAnsi="Times New Roman" w:cs="Times New Roman"/>
          <w:sz w:val="24"/>
          <w:szCs w:val="24"/>
          <w:lang w:val="en-US"/>
        </w:rPr>
        <w:t xml:space="preserve">: Interannual variation in abundance of 14 muscid fly species caught in pitfall traps at Zackenberg, North East Greenland as part of the Greenland Ecosystem Monitoring programme (Loboda et al. 2018). Panels with red lines indicate </w:t>
      </w:r>
      <w:r w:rsidRPr="00B44F42">
        <w:rPr>
          <w:rFonts w:ascii="Times New Roman" w:hAnsi="Times New Roman" w:cs="Times New Roman"/>
          <w:sz w:val="24"/>
          <w:szCs w:val="24"/>
          <w:lang w:val="en-US"/>
        </w:rPr>
        <w:t>anthophilous</w:t>
      </w:r>
      <w:r>
        <w:rPr>
          <w:rFonts w:ascii="Times New Roman" w:hAnsi="Times New Roman" w:cs="Times New Roman"/>
          <w:sz w:val="24"/>
          <w:szCs w:val="24"/>
          <w:lang w:val="en-US"/>
        </w:rPr>
        <w:t xml:space="preserve"> species (frequent flower visitors) and the size of the fly silhouette indicates body size of the species in three size classes. Significant trends (p&lt;0.05) are indicated by a solid linear regression line. Dashed lines are non-significant. </w:t>
      </w:r>
    </w:p>
    <w:p w:rsidR="000C149F" w:rsidRDefault="000C149F" w:rsidP="008A0E05">
      <w:pPr>
        <w:spacing w:line="480" w:lineRule="auto"/>
        <w:rPr>
          <w:rFonts w:ascii="Times New Roman" w:hAnsi="Times New Roman" w:cs="Times New Roman"/>
          <w:sz w:val="24"/>
          <w:szCs w:val="24"/>
        </w:rPr>
      </w:pPr>
    </w:p>
    <w:p w:rsidR="000C149F" w:rsidRPr="0018382D" w:rsidRDefault="000C149F" w:rsidP="008A0E05">
      <w:pPr>
        <w:spacing w:line="480" w:lineRule="auto"/>
        <w:rPr>
          <w:rFonts w:ascii="Times New Roman" w:hAnsi="Times New Roman" w:cs="Times New Roman"/>
          <w:i/>
          <w:sz w:val="24"/>
          <w:szCs w:val="24"/>
        </w:rPr>
      </w:pPr>
      <w:r w:rsidRPr="0018382D">
        <w:rPr>
          <w:rFonts w:ascii="Times New Roman" w:hAnsi="Times New Roman" w:cs="Times New Roman"/>
          <w:i/>
          <w:sz w:val="24"/>
          <w:szCs w:val="24"/>
        </w:rPr>
        <w:t>Decomposers</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rPr>
        <w:t>This FEC (Table S4) represents the</w:t>
      </w:r>
      <w:r>
        <w:rPr>
          <w:rFonts w:ascii="Times New Roman" w:hAnsi="Times New Roman" w:cs="Times New Roman"/>
          <w:sz w:val="24"/>
          <w:szCs w:val="24"/>
          <w:lang w:val="en-GB"/>
        </w:rPr>
        <w:t xml:space="preserve"> most common feeding mode in Arctic and global food webs </w:t>
      </w:r>
      <w:r>
        <w:rPr>
          <w:rFonts w:ascii="Times New Roman" w:hAnsi="Times New Roman" w:cs="Times New Roman"/>
          <w:noProof/>
          <w:sz w:val="24"/>
          <w:szCs w:val="24"/>
          <w:lang w:val="en-GB"/>
        </w:rPr>
        <w:t>(Böcher et al. 2015, Koltz et al. 2017)</w:t>
      </w:r>
      <w:r>
        <w:rPr>
          <w:rFonts w:ascii="Times New Roman" w:hAnsi="Times New Roman" w:cs="Times New Roman"/>
          <w:sz w:val="24"/>
          <w:szCs w:val="24"/>
          <w:lang w:val="en-GB"/>
        </w:rPr>
        <w:t xml:space="preserve">. A more complete classification </w:t>
      </w:r>
      <w:r>
        <w:rPr>
          <w:rFonts w:ascii="Times New Roman" w:hAnsi="Times New Roman" w:cs="Times New Roman"/>
          <w:sz w:val="24"/>
          <w:szCs w:val="24"/>
        </w:rPr>
        <w:t xml:space="preserve">of Arctic decomposers </w:t>
      </w:r>
      <w:r>
        <w:rPr>
          <w:rFonts w:ascii="Times New Roman" w:hAnsi="Times New Roman" w:cs="Times New Roman"/>
          <w:sz w:val="24"/>
          <w:szCs w:val="24"/>
          <w:lang w:val="en-GB"/>
        </w:rPr>
        <w:t xml:space="preserve">would make this the most species rich of the five FECs. These species are key to nutrient cycling and decomposition </w:t>
      </w:r>
      <w:r>
        <w:rPr>
          <w:rFonts w:ascii="Times New Roman" w:hAnsi="Times New Roman" w:cs="Times New Roman"/>
          <w:noProof/>
          <w:sz w:val="24"/>
          <w:szCs w:val="24"/>
          <w:lang w:val="en-GB"/>
        </w:rPr>
        <w:t>(Ott et al. 2012)</w:t>
      </w:r>
      <w:r>
        <w:rPr>
          <w:rFonts w:ascii="Times New Roman" w:hAnsi="Times New Roman" w:cs="Times New Roman"/>
          <w:sz w:val="24"/>
          <w:szCs w:val="24"/>
          <w:lang w:val="en-GB"/>
        </w:rPr>
        <w:t xml:space="preserve">, indirectly influence plant communities and the animals that rely on them </w:t>
      </w:r>
      <w:r>
        <w:rPr>
          <w:rFonts w:ascii="Times New Roman" w:hAnsi="Times New Roman" w:cs="Times New Roman"/>
          <w:noProof/>
          <w:sz w:val="24"/>
          <w:szCs w:val="24"/>
          <w:lang w:val="en-GB"/>
        </w:rPr>
        <w:t>(Brussaard et al. 2007)</w:t>
      </w:r>
      <w:r>
        <w:rPr>
          <w:rFonts w:ascii="Times New Roman" w:hAnsi="Times New Roman" w:cs="Times New Roman"/>
          <w:sz w:val="24"/>
          <w:szCs w:val="24"/>
          <w:lang w:val="en-GB"/>
        </w:rPr>
        <w:t xml:space="preserve">, and are linked to other FECs as well (Figure 2). However, the importance of decomposer diversity for ecological function is unresolved, partly because we often base our assessment on family level information. We recommend additional baseline work and emphasise the need for significant financial support to monitor this group. In particular, the sheer density and diversity of organisms that will result from the sampling protocols proposed by the CBMP will require a large identification effort, a challenge that will possibly be eased by emerging DNA metabarcoding techniques (Gillespie et al. </w:t>
      </w:r>
      <w:r w:rsidRPr="00D87A92">
        <w:rPr>
          <w:rFonts w:ascii="Times New Roman" w:hAnsi="Times New Roman" w:cs="Times New Roman"/>
          <w:sz w:val="24"/>
          <w:szCs w:val="24"/>
          <w:highlight w:val="yellow"/>
          <w:lang w:val="en-GB"/>
        </w:rPr>
        <w:t>this issue</w:t>
      </w:r>
      <w:r>
        <w:rPr>
          <w:rFonts w:ascii="Times New Roman" w:hAnsi="Times New Roman" w:cs="Times New Roman"/>
          <w:sz w:val="24"/>
          <w:szCs w:val="24"/>
          <w:lang w:val="en-GB"/>
        </w:rPr>
        <w:t>).</w:t>
      </w:r>
    </w:p>
    <w:p w:rsidR="000C149F" w:rsidRDefault="000C149F" w:rsidP="008A0E05">
      <w:pPr>
        <w:spacing w:line="480" w:lineRule="auto"/>
        <w:rPr>
          <w:rFonts w:ascii="Times New Roman" w:hAnsi="Times New Roman" w:cs="Times New Roman"/>
          <w:sz w:val="24"/>
          <w:szCs w:val="24"/>
          <w:lang w:val="en-GB"/>
        </w:rPr>
      </w:pPr>
    </w:p>
    <w:p w:rsidR="000C149F" w:rsidRPr="00DF7D99"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Useful soil fauna trends are available from two collections in Greenland. </w:t>
      </w:r>
      <w:r w:rsidRPr="000C6706">
        <w:rPr>
          <w:rFonts w:ascii="Times New Roman" w:hAnsi="Times New Roman" w:cs="Times New Roman"/>
          <w:sz w:val="24"/>
          <w:szCs w:val="24"/>
          <w:lang w:val="en-GB"/>
        </w:rPr>
        <w:t>C</w:t>
      </w:r>
      <w:r>
        <w:rPr>
          <w:rFonts w:ascii="Times New Roman" w:hAnsi="Times New Roman" w:cs="Times New Roman"/>
          <w:sz w:val="24"/>
          <w:szCs w:val="24"/>
          <w:lang w:val="en-GB"/>
        </w:rPr>
        <w:t>ollembola</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 xml:space="preserve">recorded from soil cores by the Nuuk Basic Climate Change Monitoring Programme at Kobbefjord, Greenland </w:t>
      </w:r>
      <w:r>
        <w:rPr>
          <w:rFonts w:ascii="Times New Roman" w:hAnsi="Times New Roman" w:cs="Times New Roman"/>
          <w:noProof/>
          <w:sz w:val="24"/>
          <w:szCs w:val="24"/>
          <w:lang w:val="en-GB"/>
        </w:rPr>
        <w:t>(Aastrup et al. 20</w:t>
      </w:r>
      <w:r w:rsidR="008A0E05">
        <w:rPr>
          <w:rFonts w:ascii="Times New Roman" w:hAnsi="Times New Roman" w:cs="Times New Roman"/>
          <w:noProof/>
          <w:sz w:val="24"/>
          <w:szCs w:val="24"/>
          <w:lang w:val="en-GB"/>
        </w:rPr>
        <w:t>15</w:t>
      </w:r>
      <w:r>
        <w:rPr>
          <w:rFonts w:ascii="Times New Roman" w:hAnsi="Times New Roman" w:cs="Times New Roman"/>
          <w:sz w:val="24"/>
          <w:szCs w:val="24"/>
          <w:lang w:val="en-GB"/>
        </w:rPr>
        <w:t xml:space="preserve">; Figure 4) show that the abundances have been increasing over the last 10 years, although only significantly for </w:t>
      </w:r>
      <w:r w:rsidRPr="00E05571">
        <w:rPr>
          <w:rFonts w:ascii="Times New Roman" w:hAnsi="Times New Roman" w:cs="Times New Roman"/>
          <w:i/>
          <w:sz w:val="24"/>
          <w:szCs w:val="24"/>
          <w:lang w:val="en-GB"/>
        </w:rPr>
        <w:t>Empetrum</w:t>
      </w:r>
      <w:r>
        <w:rPr>
          <w:rFonts w:ascii="Times New Roman" w:hAnsi="Times New Roman" w:cs="Times New Roman"/>
          <w:sz w:val="24"/>
          <w:szCs w:val="24"/>
          <w:lang w:val="en-GB"/>
        </w:rPr>
        <w:t xml:space="preserve">-dominated communities. Species richness has remained relatively stable in all communities, but diversity (measured by the Shannon-Wiener index, </w:t>
      </w:r>
      <w:r w:rsidRPr="008820DA">
        <w:rPr>
          <w:rFonts w:ascii="Times New Roman" w:hAnsi="Times New Roman" w:cs="Times New Roman"/>
          <w:i/>
          <w:sz w:val="24"/>
          <w:szCs w:val="24"/>
          <w:lang w:val="en-GB"/>
        </w:rPr>
        <w:t>H</w:t>
      </w:r>
      <w:r>
        <w:rPr>
          <w:rFonts w:ascii="Times New Roman" w:hAnsi="Times New Roman" w:cs="Times New Roman"/>
          <w:sz w:val="24"/>
          <w:szCs w:val="24"/>
          <w:lang w:val="en-GB"/>
        </w:rPr>
        <w:t xml:space="preserve">) has decreased significantly for most habitats there. The Zackenberg dataset includes catches from pitfall trapping across entire growing seasons, but shows contrasting patterns to Kobbefjord: recent trends of warmer active seasons and fewer winter freeze-thaw events were associated with lower abundances of Collembola in all habitat types examined (wet fen, mesic heath and arid heath), indicating their sensitivity to climatic variation </w:t>
      </w:r>
      <w:r>
        <w:rPr>
          <w:rFonts w:ascii="Times New Roman" w:hAnsi="Times New Roman" w:cs="Times New Roman"/>
          <w:noProof/>
          <w:sz w:val="24"/>
          <w:szCs w:val="24"/>
          <w:lang w:val="en-GB"/>
        </w:rPr>
        <w:t>(Koltz et al. 2018)</w:t>
      </w:r>
      <w:r>
        <w:rPr>
          <w:rFonts w:ascii="Times New Roman" w:hAnsi="Times New Roman" w:cs="Times New Roman"/>
          <w:sz w:val="24"/>
          <w:szCs w:val="24"/>
          <w:lang w:val="en-GB"/>
        </w:rPr>
        <w:t xml:space="preserve">. These examples demonstrate that sampling for this FEC requires collection in multiple sites with comparable methods and that patterns will be difficult to interpret even for 10 years of data. </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14:anchorId="2625CD88" wp14:editId="69F4178C">
            <wp:extent cx="5394960" cy="4315968"/>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emsmall.tiff"/>
                    <pic:cNvPicPr/>
                  </pic:nvPicPr>
                  <pic:blipFill>
                    <a:blip r:embed="rId11">
                      <a:extLst>
                        <a:ext uri="{28A0092B-C50C-407E-A947-70E740481C1C}">
                          <a14:useLocalDpi xmlns:a14="http://schemas.microsoft.com/office/drawing/2010/main" val="0"/>
                        </a:ext>
                      </a:extLst>
                    </a:blip>
                    <a:stretch>
                      <a:fillRect/>
                    </a:stretch>
                  </pic:blipFill>
                  <pic:spPr>
                    <a:xfrm>
                      <a:off x="0" y="0"/>
                      <a:ext cx="5394960" cy="4315968"/>
                    </a:xfrm>
                    <a:prstGeom prst="rect">
                      <a:avLst/>
                    </a:prstGeom>
                  </pic:spPr>
                </pic:pic>
              </a:graphicData>
            </a:graphic>
          </wp:inline>
        </w:drawing>
      </w:r>
    </w:p>
    <w:p w:rsidR="000C149F" w:rsidRDefault="000C149F" w:rsidP="008A0E05">
      <w:pPr>
        <w:pStyle w:val="CommentText"/>
        <w:spacing w:line="480" w:lineRule="auto"/>
      </w:pPr>
      <w:r>
        <w:rPr>
          <w:rFonts w:ascii="Times New Roman" w:hAnsi="Times New Roman" w:cs="Times New Roman"/>
          <w:b/>
          <w:sz w:val="24"/>
          <w:szCs w:val="24"/>
          <w:lang w:val="en-GB"/>
        </w:rPr>
        <w:t>Figure 4</w:t>
      </w:r>
      <w:r w:rsidRPr="008843A8">
        <w:rPr>
          <w:rFonts w:ascii="Times New Roman" w:hAnsi="Times New Roman" w:cs="Times New Roman"/>
          <w:b/>
          <w:sz w:val="24"/>
          <w:szCs w:val="24"/>
          <w:lang w:val="en-GB"/>
        </w:rPr>
        <w:t>:</w:t>
      </w:r>
      <w:r>
        <w:rPr>
          <w:rFonts w:ascii="Times New Roman" w:hAnsi="Times New Roman" w:cs="Times New Roman"/>
          <w:sz w:val="24"/>
          <w:szCs w:val="24"/>
          <w:lang w:val="en-GB"/>
        </w:rPr>
        <w:t xml:space="preserve"> Collembola</w:t>
      </w:r>
      <w:r w:rsidRPr="003C1F2A">
        <w:rPr>
          <w:rFonts w:ascii="Times New Roman" w:hAnsi="Times New Roman" w:cs="Times New Roman"/>
          <w:sz w:val="24"/>
          <w:szCs w:val="24"/>
          <w:lang w:val="en-GB"/>
        </w:rPr>
        <w:t xml:space="preserve"> population trends in Kobbefjord from 2007 to 2017 in f</w:t>
      </w:r>
      <w:r>
        <w:rPr>
          <w:rFonts w:ascii="Times New Roman" w:hAnsi="Times New Roman" w:cs="Times New Roman"/>
          <w:sz w:val="24"/>
          <w:szCs w:val="24"/>
          <w:lang w:val="en-GB"/>
        </w:rPr>
        <w:t xml:space="preserve">our different plant communities: a-c = </w:t>
      </w:r>
      <w:r w:rsidRPr="00C15BDD">
        <w:rPr>
          <w:rFonts w:ascii="Times New Roman" w:hAnsi="Times New Roman" w:cs="Times New Roman"/>
          <w:i/>
          <w:sz w:val="24"/>
          <w:szCs w:val="24"/>
          <w:lang w:val="en-GB"/>
        </w:rPr>
        <w:t>Empetrum nigrum</w:t>
      </w:r>
      <w:r>
        <w:rPr>
          <w:rFonts w:ascii="Times New Roman" w:hAnsi="Times New Roman" w:cs="Times New Roman"/>
          <w:sz w:val="24"/>
          <w:szCs w:val="24"/>
          <w:lang w:val="en-GB"/>
        </w:rPr>
        <w:t xml:space="preserve">, d-f = </w:t>
      </w:r>
      <w:r w:rsidRPr="00C15BDD">
        <w:rPr>
          <w:rFonts w:ascii="Times New Roman" w:hAnsi="Times New Roman" w:cs="Times New Roman"/>
          <w:i/>
          <w:sz w:val="24"/>
          <w:szCs w:val="24"/>
          <w:lang w:val="en-GB"/>
        </w:rPr>
        <w:t>Salix glauca</w:t>
      </w:r>
      <w:r>
        <w:rPr>
          <w:rFonts w:ascii="Times New Roman" w:hAnsi="Times New Roman" w:cs="Times New Roman"/>
          <w:sz w:val="24"/>
          <w:szCs w:val="24"/>
          <w:lang w:val="en-GB"/>
        </w:rPr>
        <w:t xml:space="preserve">, g-i = </w:t>
      </w:r>
      <w:r w:rsidRPr="00C15BDD">
        <w:rPr>
          <w:rFonts w:ascii="Times New Roman" w:hAnsi="Times New Roman" w:cs="Times New Roman"/>
          <w:i/>
          <w:sz w:val="24"/>
          <w:szCs w:val="24"/>
          <w:lang w:val="en-GB"/>
        </w:rPr>
        <w:t>Silene acaulis</w:t>
      </w:r>
      <w:r>
        <w:rPr>
          <w:rFonts w:ascii="Times New Roman" w:hAnsi="Times New Roman" w:cs="Times New Roman"/>
          <w:sz w:val="24"/>
          <w:szCs w:val="24"/>
          <w:lang w:val="en-GB"/>
        </w:rPr>
        <w:t xml:space="preserve">, j-l = </w:t>
      </w:r>
      <w:r w:rsidRPr="00C15BDD">
        <w:rPr>
          <w:rFonts w:ascii="Times New Roman" w:hAnsi="Times New Roman" w:cs="Times New Roman"/>
          <w:i/>
          <w:sz w:val="24"/>
          <w:szCs w:val="24"/>
          <w:lang w:val="en-GB"/>
        </w:rPr>
        <w:t>Loiseleuria procumbens</w:t>
      </w:r>
      <w:r>
        <w:rPr>
          <w:rFonts w:ascii="Times New Roman" w:hAnsi="Times New Roman" w:cs="Times New Roman"/>
          <w:sz w:val="24"/>
          <w:szCs w:val="24"/>
          <w:lang w:val="en-GB"/>
        </w:rPr>
        <w:t xml:space="preserve">. </w:t>
      </w:r>
      <w:r w:rsidRPr="003C1F2A">
        <w:rPr>
          <w:rFonts w:ascii="Times New Roman" w:hAnsi="Times New Roman" w:cs="Times New Roman"/>
          <w:sz w:val="24"/>
          <w:szCs w:val="24"/>
          <w:lang w:val="en-GB"/>
        </w:rPr>
        <w:t xml:space="preserve"> </w:t>
      </w:r>
      <w:r>
        <w:rPr>
          <w:rFonts w:ascii="Times New Roman" w:hAnsi="Times New Roman" w:cs="Times New Roman"/>
          <w:sz w:val="24"/>
          <w:szCs w:val="24"/>
          <w:lang w:val="en-GB"/>
        </w:rPr>
        <w:t>Left hand panels: m</w:t>
      </w:r>
      <w:r w:rsidRPr="003C1F2A">
        <w:rPr>
          <w:rFonts w:ascii="Times New Roman" w:hAnsi="Times New Roman" w:cs="Times New Roman"/>
          <w:sz w:val="24"/>
          <w:szCs w:val="24"/>
          <w:lang w:val="en-GB"/>
        </w:rPr>
        <w:t>ean populatio</w:t>
      </w:r>
      <w:r>
        <w:rPr>
          <w:rFonts w:ascii="Times New Roman" w:hAnsi="Times New Roman" w:cs="Times New Roman"/>
          <w:sz w:val="24"/>
          <w:szCs w:val="24"/>
          <w:lang w:val="en-GB"/>
        </w:rPr>
        <w:t>n abundance of total Collembola expressed as 10</w:t>
      </w:r>
      <w:r w:rsidRPr="003A3B80">
        <w:rPr>
          <w:rFonts w:ascii="Times New Roman" w:hAnsi="Times New Roman" w:cs="Times New Roman"/>
          <w:sz w:val="24"/>
          <w:szCs w:val="24"/>
          <w:vertAlign w:val="superscript"/>
          <w:lang w:val="en-GB"/>
        </w:rPr>
        <w:t>3</w:t>
      </w:r>
      <w:r w:rsidRPr="003C1F2A">
        <w:rPr>
          <w:rFonts w:ascii="Times New Roman" w:hAnsi="Times New Roman" w:cs="Times New Roman"/>
          <w:sz w:val="24"/>
          <w:szCs w:val="24"/>
          <w:lang w:val="en-GB"/>
        </w:rPr>
        <w:t xml:space="preserve"> individuals</w:t>
      </w:r>
      <w:r>
        <w:rPr>
          <w:rFonts w:ascii="Times New Roman" w:hAnsi="Times New Roman" w:cs="Times New Roman"/>
          <w:sz w:val="24"/>
          <w:szCs w:val="24"/>
          <w:lang w:val="en-GB"/>
        </w:rPr>
        <w:t xml:space="preserve"> per</w:t>
      </w:r>
      <w:r w:rsidRPr="003C1F2A">
        <w:rPr>
          <w:rFonts w:ascii="Times New Roman" w:hAnsi="Times New Roman" w:cs="Times New Roman"/>
          <w:sz w:val="24"/>
          <w:szCs w:val="24"/>
          <w:lang w:val="en-GB"/>
        </w:rPr>
        <w:t xml:space="preserve"> m</w:t>
      </w:r>
      <w:r w:rsidRPr="008057FF">
        <w:rPr>
          <w:rFonts w:ascii="Times New Roman" w:hAnsi="Times New Roman" w:cs="Times New Roman"/>
          <w:sz w:val="24"/>
          <w:szCs w:val="24"/>
          <w:vertAlign w:val="superscript"/>
          <w:lang w:val="en-GB"/>
        </w:rPr>
        <w:t>2</w:t>
      </w:r>
      <w:r w:rsidRPr="003C1F2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centre panels: mean number of species per sample; right hand panels: </w:t>
      </w:r>
      <w:r w:rsidRPr="003C1F2A">
        <w:rPr>
          <w:rFonts w:ascii="Times New Roman" w:hAnsi="Times New Roman" w:cs="Times New Roman"/>
          <w:sz w:val="24"/>
          <w:szCs w:val="24"/>
          <w:lang w:val="en-GB"/>
        </w:rPr>
        <w:t>Shannon-</w:t>
      </w:r>
      <w:r>
        <w:rPr>
          <w:rFonts w:ascii="Times New Roman" w:hAnsi="Times New Roman" w:cs="Times New Roman"/>
          <w:sz w:val="24"/>
          <w:szCs w:val="24"/>
          <w:lang w:val="en-GB"/>
        </w:rPr>
        <w:t>W</w:t>
      </w:r>
      <w:r w:rsidRPr="003C1F2A">
        <w:rPr>
          <w:rFonts w:ascii="Times New Roman" w:hAnsi="Times New Roman" w:cs="Times New Roman"/>
          <w:sz w:val="24"/>
          <w:szCs w:val="24"/>
          <w:lang w:val="en-GB"/>
        </w:rPr>
        <w:t xml:space="preserve">iener diversity </w:t>
      </w:r>
      <w:r>
        <w:rPr>
          <w:rFonts w:ascii="Times New Roman" w:hAnsi="Times New Roman" w:cs="Times New Roman"/>
          <w:sz w:val="24"/>
          <w:szCs w:val="24"/>
          <w:lang w:val="en-GB"/>
        </w:rPr>
        <w:t xml:space="preserve">index </w:t>
      </w:r>
      <w:r w:rsidRPr="003C1F2A">
        <w:rPr>
          <w:rFonts w:ascii="Times New Roman" w:hAnsi="Times New Roman" w:cs="Times New Roman"/>
          <w:sz w:val="24"/>
          <w:szCs w:val="24"/>
          <w:lang w:val="en-GB"/>
        </w:rPr>
        <w:t xml:space="preserve">per sample. </w:t>
      </w:r>
      <w:r>
        <w:rPr>
          <w:rFonts w:ascii="Times New Roman" w:hAnsi="Times New Roman" w:cs="Times New Roman"/>
          <w:sz w:val="24"/>
          <w:szCs w:val="24"/>
          <w:lang w:val="en-GB"/>
        </w:rPr>
        <w:t>Points represent means of all traps over three seasonal trapping sessions and v</w:t>
      </w:r>
      <w:r w:rsidRPr="003C1F2A">
        <w:rPr>
          <w:rFonts w:ascii="Times New Roman" w:hAnsi="Times New Roman" w:cs="Times New Roman"/>
          <w:sz w:val="24"/>
          <w:szCs w:val="24"/>
          <w:lang w:val="en-GB"/>
        </w:rPr>
        <w:t xml:space="preserve">ertical </w:t>
      </w:r>
      <w:r>
        <w:rPr>
          <w:rFonts w:ascii="Times New Roman" w:hAnsi="Times New Roman" w:cs="Times New Roman"/>
          <w:sz w:val="24"/>
          <w:szCs w:val="24"/>
          <w:lang w:val="en-GB"/>
        </w:rPr>
        <w:t>error bars</w:t>
      </w:r>
      <w:r w:rsidRPr="003C1F2A">
        <w:rPr>
          <w:rFonts w:ascii="Times New Roman" w:hAnsi="Times New Roman" w:cs="Times New Roman"/>
          <w:sz w:val="24"/>
          <w:szCs w:val="24"/>
          <w:lang w:val="en-GB"/>
        </w:rPr>
        <w:t xml:space="preserve"> are </w:t>
      </w:r>
      <w:r>
        <w:rPr>
          <w:rFonts w:ascii="Times New Roman" w:hAnsi="Times New Roman" w:cs="Times New Roman"/>
          <w:sz w:val="24"/>
          <w:szCs w:val="24"/>
          <w:lang w:val="en-GB"/>
        </w:rPr>
        <w:t>±1 S.E.  Linear regression was used in all cases and solid lines indicate significant regression lines at the p&lt;0.05 level, dashed lines are non-significant trends</w:t>
      </w:r>
      <w:r w:rsidRPr="003C1F2A">
        <w:rPr>
          <w:rFonts w:ascii="Times New Roman" w:hAnsi="Times New Roman" w:cs="Times New Roman"/>
          <w:sz w:val="24"/>
          <w:szCs w:val="24"/>
          <w:lang w:val="en-GB"/>
        </w:rPr>
        <w:t>.</w:t>
      </w:r>
      <w:r>
        <w:rPr>
          <w:rFonts w:ascii="Times New Roman" w:hAnsi="Times New Roman" w:cs="Times New Roman"/>
          <w:sz w:val="24"/>
          <w:szCs w:val="24"/>
          <w:lang w:val="en-GB"/>
        </w:rPr>
        <w:t xml:space="preserve"> See Table S8 for results summaries. The data are collated from the annual reports of the Nuuk Basic Climate Change Monitoring Programme.</w:t>
      </w:r>
    </w:p>
    <w:p w:rsidR="000C149F" w:rsidRDefault="000C149F" w:rsidP="008A0E05">
      <w:pPr>
        <w:pStyle w:val="CommentText"/>
      </w:pPr>
    </w:p>
    <w:p w:rsidR="000C149F" w:rsidRDefault="000C149F" w:rsidP="008A0E05">
      <w:pPr>
        <w:spacing w:line="480" w:lineRule="auto"/>
        <w:rPr>
          <w:rFonts w:ascii="Times New Roman" w:hAnsi="Times New Roman" w:cs="Times New Roman"/>
          <w:sz w:val="24"/>
          <w:szCs w:val="24"/>
          <w:lang w:val="en-GB"/>
        </w:rPr>
      </w:pPr>
    </w:p>
    <w:p w:rsidR="000C149F" w:rsidRPr="00ED21B7" w:rsidRDefault="000C149F" w:rsidP="008A0E05">
      <w:pPr>
        <w:spacing w:line="480" w:lineRule="auto"/>
        <w:rPr>
          <w:rFonts w:ascii="Times New Roman" w:hAnsi="Times New Roman" w:cs="Times New Roman"/>
          <w:i/>
          <w:sz w:val="24"/>
          <w:szCs w:val="24"/>
          <w:lang w:val="en-GB"/>
        </w:rPr>
      </w:pPr>
      <w:r w:rsidRPr="00ED21B7">
        <w:rPr>
          <w:rFonts w:ascii="Times New Roman" w:hAnsi="Times New Roman" w:cs="Times New Roman"/>
          <w:i/>
          <w:sz w:val="24"/>
          <w:szCs w:val="24"/>
          <w:lang w:val="en-GB"/>
        </w:rPr>
        <w:t>Herbivores</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This FEC (Table S5), represents an important trophic level as these species are tightly linked to the vegetation communities. The close associations between herbivores and their food plants could make them important indicators of environmental change in the Arctic </w:t>
      </w:r>
      <w:r>
        <w:rPr>
          <w:rFonts w:ascii="Times New Roman" w:hAnsi="Times New Roman" w:cs="Times New Roman"/>
          <w:noProof/>
          <w:sz w:val="24"/>
          <w:szCs w:val="24"/>
          <w:lang w:val="en-GB"/>
        </w:rPr>
        <w:t>(Hodkinson et al. 2013)</w:t>
      </w:r>
      <w:r>
        <w:rPr>
          <w:rFonts w:ascii="Times New Roman" w:hAnsi="Times New Roman" w:cs="Times New Roman"/>
          <w:sz w:val="24"/>
          <w:szCs w:val="24"/>
          <w:lang w:val="en-GB"/>
        </w:rPr>
        <w:t xml:space="preserve">. While the amount of primary production consumed by Arctic arthropod herbivores is estimated at no more than 2% </w:t>
      </w:r>
      <w:r>
        <w:rPr>
          <w:rFonts w:ascii="Times New Roman" w:hAnsi="Times New Roman" w:cs="Times New Roman"/>
          <w:noProof/>
          <w:sz w:val="24"/>
          <w:szCs w:val="24"/>
          <w:lang w:val="en-GB"/>
        </w:rPr>
        <w:t>(Danks 1981, Barrio et al. 2017)</w:t>
      </w:r>
      <w:r>
        <w:rPr>
          <w:rFonts w:ascii="Times New Roman" w:hAnsi="Times New Roman" w:cs="Times New Roman"/>
          <w:sz w:val="24"/>
          <w:szCs w:val="24"/>
          <w:lang w:val="en-GB"/>
        </w:rPr>
        <w:t xml:space="preserve">, herbivore abundance and the frequency and extent of herbivore outbreaks is expected to increase with a warming climate due in part to northward expansions of some species </w:t>
      </w:r>
      <w:r>
        <w:rPr>
          <w:rFonts w:ascii="Times New Roman" w:hAnsi="Times New Roman" w:cs="Times New Roman"/>
          <w:noProof/>
          <w:sz w:val="24"/>
          <w:szCs w:val="24"/>
          <w:lang w:val="en-GB"/>
        </w:rPr>
        <w:t>(Jepsen et al. 2011, Halldorsson et al. 2013)</w:t>
      </w:r>
      <w:r>
        <w:rPr>
          <w:rFonts w:ascii="Times New Roman" w:hAnsi="Times New Roman" w:cs="Times New Roman"/>
          <w:sz w:val="24"/>
          <w:szCs w:val="24"/>
          <w:lang w:val="en-GB"/>
        </w:rPr>
        <w:t xml:space="preserve">. Measuring the diversity, abundance and distribution of this FEC (Table 1) will require intensive sampling each season, and we recommend that monitoring focus on key outbreak species, new arrivals of species and other key indicator species (species that provide early and/or representative indications of environmental change, see section 3). In addition, simple standardized protocols measuring levels of background herbivory should be used to detect future changes in a key ecosystem process </w:t>
      </w:r>
      <w:r>
        <w:rPr>
          <w:rFonts w:ascii="Times New Roman" w:hAnsi="Times New Roman" w:cs="Times New Roman"/>
          <w:noProof/>
          <w:sz w:val="24"/>
          <w:szCs w:val="24"/>
          <w:lang w:val="en-GB"/>
        </w:rPr>
        <w:t>(Barrio et al. 2017)</w:t>
      </w:r>
      <w:r>
        <w:rPr>
          <w:rFonts w:ascii="Times New Roman" w:hAnsi="Times New Roman" w:cs="Times New Roman"/>
          <w:sz w:val="24"/>
          <w:szCs w:val="24"/>
          <w:lang w:val="en-GB"/>
        </w:rPr>
        <w:t xml:space="preserve">. </w:t>
      </w:r>
    </w:p>
    <w:p w:rsidR="000C149F" w:rsidRDefault="000C149F" w:rsidP="008A0E05">
      <w:pPr>
        <w:spacing w:line="480" w:lineRule="auto"/>
        <w:rPr>
          <w:rFonts w:ascii="Times New Roman" w:hAnsi="Times New Roman" w:cs="Times New Roman"/>
          <w:sz w:val="24"/>
          <w:szCs w:val="24"/>
          <w:lang w:val="en-GB"/>
        </w:rPr>
      </w:pPr>
    </w:p>
    <w:p w:rsidR="000C149F" w:rsidRDefault="000C149F" w:rsidP="008A0E05">
      <w:pPr>
        <w:spacing w:after="0" w:line="480" w:lineRule="auto"/>
        <w:rPr>
          <w:rFonts w:ascii="Times New Roman" w:hAnsi="Times New Roman" w:cs="Times New Roman"/>
          <w:sz w:val="24"/>
          <w:szCs w:val="24"/>
        </w:rPr>
      </w:pPr>
      <w:r>
        <w:rPr>
          <w:rFonts w:ascii="Times New Roman" w:hAnsi="Times New Roman" w:cs="Times New Roman"/>
          <w:sz w:val="24"/>
          <w:szCs w:val="24"/>
          <w:lang w:val="en-GB"/>
        </w:rPr>
        <w:t>There are no long-term datasets that include all species in this FEC, but some groups are well represented. For example, i</w:t>
      </w:r>
      <w:r>
        <w:rPr>
          <w:rFonts w:ascii="Times New Roman" w:hAnsi="Times New Roman" w:cs="Times New Roman"/>
          <w:sz w:val="24"/>
          <w:szCs w:val="24"/>
          <w:lang w:val="en-US"/>
        </w:rPr>
        <w:t>n Iceland, m</w:t>
      </w:r>
      <w:r w:rsidRPr="00A54B65">
        <w:rPr>
          <w:rFonts w:ascii="Times New Roman" w:hAnsi="Times New Roman" w:cs="Times New Roman"/>
          <w:sz w:val="24"/>
          <w:szCs w:val="24"/>
        </w:rPr>
        <w:t xml:space="preserve">oth monitoring was established in 1995 </w:t>
      </w:r>
      <w:r>
        <w:rPr>
          <w:rFonts w:ascii="Times New Roman" w:hAnsi="Times New Roman" w:cs="Times New Roman"/>
          <w:sz w:val="24"/>
          <w:szCs w:val="24"/>
        </w:rPr>
        <w:t>as part of</w:t>
      </w:r>
      <w:r w:rsidRPr="00A54B65">
        <w:rPr>
          <w:rFonts w:ascii="Times New Roman" w:hAnsi="Times New Roman" w:cs="Times New Roman"/>
          <w:sz w:val="24"/>
          <w:szCs w:val="24"/>
        </w:rPr>
        <w:t xml:space="preserve"> </w:t>
      </w:r>
      <w:r>
        <w:rPr>
          <w:rFonts w:ascii="Times New Roman" w:hAnsi="Times New Roman" w:cs="Times New Roman"/>
          <w:sz w:val="24"/>
          <w:szCs w:val="24"/>
        </w:rPr>
        <w:t>the</w:t>
      </w:r>
      <w:r w:rsidRPr="00A54B65">
        <w:rPr>
          <w:rFonts w:ascii="Times New Roman" w:hAnsi="Times New Roman" w:cs="Times New Roman"/>
          <w:sz w:val="24"/>
          <w:szCs w:val="24"/>
        </w:rPr>
        <w:t xml:space="preserve"> Nordi</w:t>
      </w:r>
      <w:r>
        <w:rPr>
          <w:rFonts w:ascii="Times New Roman" w:hAnsi="Times New Roman" w:cs="Times New Roman"/>
          <w:sz w:val="24"/>
          <w:szCs w:val="24"/>
        </w:rPr>
        <w:t xml:space="preserve">c Moth Monitoring Scheme. Preliminary data from the six longest running </w:t>
      </w:r>
      <w:r w:rsidRPr="00A54B65">
        <w:rPr>
          <w:rFonts w:ascii="Times New Roman" w:hAnsi="Times New Roman" w:cs="Times New Roman"/>
          <w:sz w:val="24"/>
          <w:szCs w:val="24"/>
        </w:rPr>
        <w:t>trap</w:t>
      </w:r>
      <w:r>
        <w:rPr>
          <w:rFonts w:ascii="Times New Roman" w:hAnsi="Times New Roman" w:cs="Times New Roman"/>
          <w:sz w:val="24"/>
          <w:szCs w:val="24"/>
        </w:rPr>
        <w:t xml:space="preserve"> </w:t>
      </w:r>
      <w:r w:rsidRPr="00A54B65">
        <w:rPr>
          <w:rFonts w:ascii="Times New Roman" w:hAnsi="Times New Roman" w:cs="Times New Roman"/>
          <w:sz w:val="24"/>
          <w:szCs w:val="24"/>
        </w:rPr>
        <w:t xml:space="preserve">sites </w:t>
      </w:r>
      <w:r>
        <w:rPr>
          <w:rFonts w:ascii="Times New Roman" w:hAnsi="Times New Roman" w:cs="Times New Roman"/>
          <w:sz w:val="24"/>
          <w:szCs w:val="24"/>
        </w:rPr>
        <w:t xml:space="preserve">show </w:t>
      </w:r>
      <w:r w:rsidRPr="00A54B65">
        <w:rPr>
          <w:rFonts w:ascii="Times New Roman" w:hAnsi="Times New Roman" w:cs="Times New Roman"/>
          <w:sz w:val="24"/>
          <w:szCs w:val="24"/>
        </w:rPr>
        <w:t>significant positive trend</w:t>
      </w:r>
      <w:r>
        <w:rPr>
          <w:rFonts w:ascii="Times New Roman" w:hAnsi="Times New Roman" w:cs="Times New Roman"/>
          <w:sz w:val="24"/>
          <w:szCs w:val="24"/>
        </w:rPr>
        <w:t xml:space="preserve">s </w:t>
      </w:r>
      <w:r w:rsidRPr="00A54B65">
        <w:rPr>
          <w:rFonts w:ascii="Times New Roman" w:hAnsi="Times New Roman" w:cs="Times New Roman"/>
          <w:sz w:val="24"/>
          <w:szCs w:val="24"/>
        </w:rPr>
        <w:t>in species richness a</w:t>
      </w:r>
      <w:r>
        <w:rPr>
          <w:rFonts w:ascii="Times New Roman" w:hAnsi="Times New Roman" w:cs="Times New Roman"/>
          <w:sz w:val="24"/>
          <w:szCs w:val="24"/>
        </w:rPr>
        <w:t>t two locations, but negative or non-significant trends in abundance (</w:t>
      </w:r>
      <w:r w:rsidRPr="00512C1D">
        <w:rPr>
          <w:rFonts w:ascii="Times New Roman" w:hAnsi="Times New Roman" w:cs="Times New Roman"/>
          <w:sz w:val="24"/>
          <w:szCs w:val="24"/>
        </w:rPr>
        <w:t>Figure</w:t>
      </w:r>
      <w:r>
        <w:rPr>
          <w:rFonts w:ascii="Times New Roman" w:hAnsi="Times New Roman" w:cs="Times New Roman"/>
          <w:sz w:val="24"/>
          <w:szCs w:val="24"/>
        </w:rPr>
        <w:t xml:space="preserve"> 5</w:t>
      </w:r>
      <w:r w:rsidRPr="00A54B65">
        <w:rPr>
          <w:rFonts w:ascii="Times New Roman" w:hAnsi="Times New Roman" w:cs="Times New Roman"/>
          <w:sz w:val="24"/>
          <w:szCs w:val="24"/>
        </w:rPr>
        <w:t>)</w:t>
      </w:r>
      <w:r>
        <w:rPr>
          <w:rFonts w:ascii="Times New Roman" w:hAnsi="Times New Roman" w:cs="Times New Roman"/>
          <w:sz w:val="24"/>
          <w:szCs w:val="24"/>
        </w:rPr>
        <w:t xml:space="preserve">. The data highlight a degree of spatial and inter-annual variation that is typical for many groups of arthropods, making generalisation difficult and highlighting the need for longer term data. The Zackenberg dataset also suggests there are habitat-specific trends but high variability among Lepidoptera species (see supplementary material). Reductions in body size have also been observed among some butterfly and moth species from High Arctic Greenland </w:t>
      </w:r>
      <w:r>
        <w:rPr>
          <w:rFonts w:ascii="Times New Roman" w:hAnsi="Times New Roman" w:cs="Times New Roman"/>
          <w:noProof/>
          <w:sz w:val="24"/>
          <w:szCs w:val="24"/>
        </w:rPr>
        <w:t>(Bowden et al. 2015a)</w:t>
      </w:r>
      <w:r>
        <w:rPr>
          <w:rFonts w:ascii="Times New Roman" w:hAnsi="Times New Roman" w:cs="Times New Roman"/>
          <w:sz w:val="24"/>
          <w:szCs w:val="24"/>
        </w:rPr>
        <w:t xml:space="preserve">, which could be a result of species expending more energy under warmer conditions </w:t>
      </w:r>
      <w:r>
        <w:rPr>
          <w:rFonts w:ascii="Times New Roman" w:hAnsi="Times New Roman" w:cs="Times New Roman"/>
          <w:noProof/>
          <w:sz w:val="24"/>
          <w:szCs w:val="24"/>
        </w:rPr>
        <w:t>(Barrio et al. 2016)</w:t>
      </w:r>
      <w:r>
        <w:rPr>
          <w:rFonts w:ascii="Times New Roman" w:hAnsi="Times New Roman" w:cs="Times New Roman"/>
          <w:sz w:val="24"/>
          <w:szCs w:val="24"/>
        </w:rPr>
        <w:t xml:space="preserve">. Body size is strongly related to reproductive success in insects, and changes could have large implications for population dynamics.  </w:t>
      </w:r>
    </w:p>
    <w:p w:rsidR="000C149F" w:rsidRDefault="000C149F" w:rsidP="008A0E05">
      <w:pPr>
        <w:spacing w:after="0" w:line="480" w:lineRule="auto"/>
        <w:rPr>
          <w:rFonts w:ascii="Times New Roman" w:hAnsi="Times New Roman" w:cs="Times New Roman"/>
          <w:sz w:val="24"/>
          <w:szCs w:val="24"/>
        </w:rPr>
      </w:pPr>
    </w:p>
    <w:p w:rsidR="000C149F" w:rsidRPr="00C73840" w:rsidRDefault="000C149F" w:rsidP="008A0E05">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0ABFF12" wp14:editId="0E03CFCB">
            <wp:extent cx="5394960" cy="539496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hsmall.tiff"/>
                    <pic:cNvPicPr/>
                  </pic:nvPicPr>
                  <pic:blipFill>
                    <a:blip r:embed="rId12">
                      <a:extLst>
                        <a:ext uri="{28A0092B-C50C-407E-A947-70E740481C1C}">
                          <a14:useLocalDpi xmlns:a14="http://schemas.microsoft.com/office/drawing/2010/main" val="0"/>
                        </a:ext>
                      </a:extLst>
                    </a:blip>
                    <a:stretch>
                      <a:fillRect/>
                    </a:stretch>
                  </pic:blipFill>
                  <pic:spPr>
                    <a:xfrm>
                      <a:off x="0" y="0"/>
                      <a:ext cx="5394960" cy="5394960"/>
                    </a:xfrm>
                    <a:prstGeom prst="rect">
                      <a:avLst/>
                    </a:prstGeom>
                  </pic:spPr>
                </pic:pic>
              </a:graphicData>
            </a:graphic>
          </wp:inline>
        </w:drawing>
      </w:r>
    </w:p>
    <w:p w:rsidR="000C149F" w:rsidRPr="00A54B65" w:rsidRDefault="000C149F" w:rsidP="008A0E05">
      <w:pPr>
        <w:spacing w:after="0" w:line="480" w:lineRule="auto"/>
        <w:rPr>
          <w:rFonts w:ascii="Times New Roman" w:hAnsi="Times New Roman" w:cs="Times New Roman"/>
          <w:sz w:val="24"/>
          <w:szCs w:val="24"/>
        </w:rPr>
      </w:pPr>
    </w:p>
    <w:p w:rsidR="000C149F" w:rsidRDefault="000C149F" w:rsidP="008A0E05">
      <w:pPr>
        <w:spacing w:after="0" w:line="480" w:lineRule="auto"/>
        <w:rPr>
          <w:rFonts w:ascii="Times New Roman" w:hAnsi="Times New Roman" w:cs="Times New Roman"/>
          <w:sz w:val="24"/>
          <w:szCs w:val="24"/>
        </w:rPr>
      </w:pPr>
      <w:r>
        <w:rPr>
          <w:rFonts w:ascii="Times New Roman" w:hAnsi="Times New Roman" w:cs="Times New Roman"/>
          <w:b/>
          <w:sz w:val="24"/>
          <w:szCs w:val="24"/>
        </w:rPr>
        <w:t>Figure 5</w:t>
      </w:r>
      <w:r w:rsidRPr="00A54B65">
        <w:rPr>
          <w:rFonts w:ascii="Times New Roman" w:hAnsi="Times New Roman" w:cs="Times New Roman"/>
          <w:sz w:val="24"/>
          <w:szCs w:val="24"/>
        </w:rPr>
        <w:t>. Species richness</w:t>
      </w:r>
      <w:r>
        <w:rPr>
          <w:rFonts w:ascii="Times New Roman" w:hAnsi="Times New Roman" w:cs="Times New Roman"/>
          <w:sz w:val="24"/>
          <w:szCs w:val="24"/>
        </w:rPr>
        <w:t xml:space="preserve"> and total abundances</w:t>
      </w:r>
      <w:r w:rsidRPr="00A54B65">
        <w:rPr>
          <w:rFonts w:ascii="Times New Roman" w:hAnsi="Times New Roman" w:cs="Times New Roman"/>
          <w:sz w:val="24"/>
          <w:szCs w:val="24"/>
        </w:rPr>
        <w:t xml:space="preserve"> for </w:t>
      </w:r>
      <w:r>
        <w:rPr>
          <w:rFonts w:ascii="Times New Roman" w:hAnsi="Times New Roman" w:cs="Times New Roman"/>
          <w:sz w:val="24"/>
          <w:szCs w:val="24"/>
        </w:rPr>
        <w:t>six</w:t>
      </w:r>
      <w:r w:rsidRPr="00A54B65">
        <w:rPr>
          <w:rFonts w:ascii="Times New Roman" w:hAnsi="Times New Roman" w:cs="Times New Roman"/>
          <w:sz w:val="24"/>
          <w:szCs w:val="24"/>
        </w:rPr>
        <w:t xml:space="preserve"> locations in the </w:t>
      </w:r>
      <w:r>
        <w:rPr>
          <w:rFonts w:ascii="Times New Roman" w:hAnsi="Times New Roman" w:cs="Times New Roman"/>
          <w:sz w:val="24"/>
          <w:szCs w:val="24"/>
        </w:rPr>
        <w:t>M</w:t>
      </w:r>
      <w:r w:rsidRPr="00A54B65">
        <w:rPr>
          <w:rFonts w:ascii="Times New Roman" w:hAnsi="Times New Roman" w:cs="Times New Roman"/>
          <w:sz w:val="24"/>
          <w:szCs w:val="24"/>
        </w:rPr>
        <w:t xml:space="preserve">oth </w:t>
      </w:r>
      <w:r>
        <w:rPr>
          <w:rFonts w:ascii="Times New Roman" w:hAnsi="Times New Roman" w:cs="Times New Roman"/>
          <w:sz w:val="24"/>
          <w:szCs w:val="24"/>
        </w:rPr>
        <w:t>M</w:t>
      </w:r>
      <w:r w:rsidRPr="00A54B65">
        <w:rPr>
          <w:rFonts w:ascii="Times New Roman" w:hAnsi="Times New Roman" w:cs="Times New Roman"/>
          <w:sz w:val="24"/>
          <w:szCs w:val="24"/>
        </w:rPr>
        <w:t xml:space="preserve">onitoring </w:t>
      </w:r>
      <w:r>
        <w:rPr>
          <w:rFonts w:ascii="Times New Roman" w:hAnsi="Times New Roman" w:cs="Times New Roman"/>
          <w:sz w:val="24"/>
          <w:szCs w:val="24"/>
        </w:rPr>
        <w:t>S</w:t>
      </w:r>
      <w:r w:rsidRPr="00A54B65">
        <w:rPr>
          <w:rFonts w:ascii="Times New Roman" w:hAnsi="Times New Roman" w:cs="Times New Roman"/>
          <w:sz w:val="24"/>
          <w:szCs w:val="24"/>
        </w:rPr>
        <w:t>cheme in Iceland</w:t>
      </w:r>
      <w:r>
        <w:rPr>
          <w:rFonts w:ascii="Times New Roman" w:hAnsi="Times New Roman" w:cs="Times New Roman"/>
          <w:sz w:val="24"/>
          <w:szCs w:val="24"/>
        </w:rPr>
        <w:t xml:space="preserve"> (see Figure S1 for site locations)</w:t>
      </w:r>
      <w:r w:rsidRPr="00A54B65">
        <w:rPr>
          <w:rFonts w:ascii="Times New Roman" w:hAnsi="Times New Roman" w:cs="Times New Roman"/>
          <w:sz w:val="24"/>
          <w:szCs w:val="24"/>
        </w:rPr>
        <w:t>.</w:t>
      </w:r>
      <w:r>
        <w:rPr>
          <w:rFonts w:ascii="Times New Roman" w:hAnsi="Times New Roman" w:cs="Times New Roman"/>
          <w:sz w:val="24"/>
          <w:szCs w:val="24"/>
        </w:rPr>
        <w:t xml:space="preserve"> </w:t>
      </w:r>
      <w:r w:rsidRPr="00A54B65">
        <w:rPr>
          <w:rFonts w:ascii="Times New Roman" w:hAnsi="Times New Roman" w:cs="Times New Roman"/>
          <w:sz w:val="24"/>
          <w:szCs w:val="24"/>
        </w:rPr>
        <w:t xml:space="preserve">The </w:t>
      </w:r>
      <w:r>
        <w:rPr>
          <w:rFonts w:ascii="Times New Roman" w:hAnsi="Times New Roman" w:cs="Times New Roman"/>
          <w:sz w:val="24"/>
          <w:szCs w:val="24"/>
        </w:rPr>
        <w:t>solid straight lines represent significant (at the</w:t>
      </w:r>
      <w:r w:rsidRPr="00A54B65">
        <w:rPr>
          <w:rFonts w:ascii="Times New Roman" w:hAnsi="Times New Roman" w:cs="Times New Roman"/>
          <w:sz w:val="24"/>
          <w:szCs w:val="24"/>
        </w:rPr>
        <w:t xml:space="preserve"> P&lt;0</w:t>
      </w:r>
      <w:r>
        <w:rPr>
          <w:rFonts w:ascii="Times New Roman" w:hAnsi="Times New Roman" w:cs="Times New Roman"/>
          <w:sz w:val="24"/>
          <w:szCs w:val="24"/>
        </w:rPr>
        <w:t>.05 level) linear regression lines</w:t>
      </w:r>
      <w:r w:rsidRPr="00A54B65">
        <w:rPr>
          <w:rFonts w:ascii="Times New Roman" w:hAnsi="Times New Roman" w:cs="Times New Roman"/>
          <w:sz w:val="24"/>
          <w:szCs w:val="24"/>
        </w:rPr>
        <w:t xml:space="preserve">. </w:t>
      </w:r>
      <w:r>
        <w:rPr>
          <w:rFonts w:ascii="Times New Roman" w:hAnsi="Times New Roman" w:cs="Times New Roman"/>
          <w:sz w:val="24"/>
          <w:szCs w:val="24"/>
        </w:rPr>
        <w:t xml:space="preserve">Dashed lines indicate non-significant regression lines. All data are analysed with linear regression, except for Rauðafell abundance and Tumastaðir A species richness, which were analysed with generalised least squares regression, with an AR1 correlation structure to account for autocorrelation. See Table S9 for full results summaries. Data are property of </w:t>
      </w:r>
      <w:r w:rsidRPr="0026588B">
        <w:rPr>
          <w:rFonts w:ascii="Times New Roman" w:hAnsi="Times New Roman" w:cs="Times New Roman"/>
          <w:sz w:val="24"/>
          <w:szCs w:val="24"/>
        </w:rPr>
        <w:t>The Icelandic Institute of Natural History</w:t>
      </w:r>
      <w:r>
        <w:rPr>
          <w:rFonts w:ascii="Times New Roman" w:hAnsi="Times New Roman" w:cs="Times New Roman"/>
          <w:sz w:val="24"/>
          <w:szCs w:val="24"/>
        </w:rPr>
        <w:t xml:space="preserve"> and full analyses are not yet available. </w:t>
      </w:r>
    </w:p>
    <w:p w:rsidR="000C149F" w:rsidRPr="00ED21B7" w:rsidRDefault="000C149F" w:rsidP="008A0E05">
      <w:pPr>
        <w:spacing w:line="480" w:lineRule="auto"/>
        <w:rPr>
          <w:rFonts w:ascii="Times New Roman" w:hAnsi="Times New Roman" w:cs="Times New Roman"/>
          <w:i/>
          <w:sz w:val="24"/>
          <w:szCs w:val="24"/>
        </w:rPr>
      </w:pPr>
      <w:r w:rsidRPr="00ED21B7">
        <w:rPr>
          <w:rFonts w:ascii="Times New Roman" w:hAnsi="Times New Roman" w:cs="Times New Roman"/>
          <w:i/>
          <w:sz w:val="24"/>
          <w:szCs w:val="24"/>
        </w:rPr>
        <w:t>Prey for vertebrates</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lang w:val="en-GB"/>
        </w:rPr>
        <w:t xml:space="preserve">This </w:t>
      </w:r>
      <w:r>
        <w:rPr>
          <w:rFonts w:ascii="Times New Roman" w:hAnsi="Times New Roman" w:cs="Times New Roman"/>
          <w:sz w:val="24"/>
          <w:szCs w:val="24"/>
        </w:rPr>
        <w:t xml:space="preserve">FEC (Table S6) was selected for the CBMP because it is a vital link between trophic levels. Many species of birds and some mammals rely on arthropods at their summer feeding grounds, and there are numerous links between this and other FECs (Figure 2). As a result of these links, the CBMP considers abundance and phenology to be the most important attributes. Phenology is particularly important from a climate change perspective due to the short activity season for surface arthropods and their differing responses to environmental cues, which increase the potential for phenological mismatch </w:t>
      </w:r>
      <w:r>
        <w:rPr>
          <w:rFonts w:ascii="Times New Roman" w:hAnsi="Times New Roman" w:cs="Times New Roman"/>
          <w:noProof/>
          <w:sz w:val="24"/>
          <w:szCs w:val="24"/>
        </w:rPr>
        <w:t>(Reneerkens et al. 2016)</w:t>
      </w:r>
      <w:r>
        <w:rPr>
          <w:rFonts w:ascii="Times New Roman" w:hAnsi="Times New Roman" w:cs="Times New Roman"/>
          <w:sz w:val="24"/>
          <w:szCs w:val="24"/>
        </w:rPr>
        <w:t xml:space="preserve">. Despite the importance of this group as a resource for higher trophic levels, it remains the least well developed among all of the FECs due to limited data about which arthropod species actually form important parts of vertebrate diets </w:t>
      </w:r>
      <w:r>
        <w:rPr>
          <w:rFonts w:ascii="Times New Roman" w:hAnsi="Times New Roman" w:cs="Times New Roman"/>
          <w:noProof/>
          <w:sz w:val="24"/>
          <w:szCs w:val="24"/>
        </w:rPr>
        <w:t>(but see Wirta et al. 2015, Schmidt et al. 2017)</w:t>
      </w:r>
      <w:r>
        <w:rPr>
          <w:rFonts w:ascii="Times New Roman" w:hAnsi="Times New Roman" w:cs="Times New Roman"/>
          <w:sz w:val="24"/>
          <w:szCs w:val="24"/>
        </w:rPr>
        <w:t xml:space="preserve">. Likewise, there is a paucity of long-term studies that include both vertebrates and invertebrates and identify arthropods to the species level. </w:t>
      </w:r>
    </w:p>
    <w:p w:rsidR="008A0E05" w:rsidRDefault="008A0E05" w:rsidP="008A0E05">
      <w:pPr>
        <w:spacing w:line="480" w:lineRule="auto"/>
        <w:rPr>
          <w:rFonts w:ascii="Times New Roman" w:hAnsi="Times New Roman" w:cs="Times New Roman"/>
          <w:sz w:val="24"/>
          <w:szCs w:val="24"/>
        </w:rPr>
      </w:pP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 xml:space="preserve">Using the best long-term data currently available from the North Atlantic region, we took a first look at how this FEC might be changing over the last 20 years. We designated arthropod families from Zackenberg as potential members of this FEC group using information from two recent studies on arthropod diets of Arctic birds (the dominant vertebrate </w:t>
      </w:r>
      <w:r w:rsidRPr="00BB62E3">
        <w:rPr>
          <w:rFonts w:ascii="Times New Roman" w:hAnsi="Times New Roman" w:cs="Times New Roman"/>
          <w:sz w:val="24"/>
          <w:szCs w:val="24"/>
        </w:rPr>
        <w:t xml:space="preserve">insectivores; </w:t>
      </w:r>
      <w:r w:rsidRPr="00BB62E3">
        <w:rPr>
          <w:rFonts w:ascii="Times New Roman" w:hAnsi="Times New Roman" w:cs="Times New Roman"/>
          <w:noProof/>
          <w:sz w:val="24"/>
          <w:szCs w:val="24"/>
        </w:rPr>
        <w:t>Bolduc</w:t>
      </w:r>
      <w:r>
        <w:rPr>
          <w:rFonts w:ascii="Times New Roman" w:hAnsi="Times New Roman" w:cs="Times New Roman"/>
          <w:noProof/>
          <w:sz w:val="24"/>
          <w:szCs w:val="24"/>
        </w:rPr>
        <w:t xml:space="preserve"> et al. 2013, Wirta et al. 2015; </w:t>
      </w:r>
      <w:r>
        <w:rPr>
          <w:rFonts w:ascii="Times New Roman" w:hAnsi="Times New Roman" w:cs="Times New Roman"/>
          <w:sz w:val="24"/>
          <w:szCs w:val="24"/>
        </w:rPr>
        <w:t>Table S10</w:t>
      </w:r>
      <w:r>
        <w:rPr>
          <w:rFonts w:ascii="Times New Roman" w:hAnsi="Times New Roman" w:cs="Times New Roman"/>
          <w:noProof/>
          <w:sz w:val="24"/>
          <w:szCs w:val="24"/>
        </w:rPr>
        <w:t xml:space="preserve">) and then assessed trends in their total summertime abundance </w:t>
      </w:r>
      <w:r w:rsidRPr="00BB62E3">
        <w:rPr>
          <w:rFonts w:ascii="Times New Roman" w:hAnsi="Times New Roman" w:cs="Times New Roman"/>
          <w:noProof/>
          <w:sz w:val="24"/>
          <w:szCs w:val="24"/>
        </w:rPr>
        <w:t xml:space="preserve">(see </w:t>
      </w:r>
      <w:r>
        <w:rPr>
          <w:rFonts w:ascii="Times New Roman" w:hAnsi="Times New Roman" w:cs="Times New Roman"/>
          <w:sz w:val="24"/>
          <w:szCs w:val="24"/>
        </w:rPr>
        <w:t>supplementary material</w:t>
      </w:r>
      <w:r>
        <w:rPr>
          <w:rFonts w:ascii="Times New Roman" w:hAnsi="Times New Roman" w:cs="Times New Roman"/>
          <w:noProof/>
          <w:sz w:val="24"/>
          <w:szCs w:val="24"/>
        </w:rPr>
        <w:t xml:space="preserve"> for analysis methods</w:t>
      </w:r>
      <w:r w:rsidRPr="00BB62E3">
        <w:rPr>
          <w:rFonts w:ascii="Times New Roman" w:hAnsi="Times New Roman" w:cs="Times New Roman"/>
          <w:noProof/>
          <w:sz w:val="24"/>
          <w:szCs w:val="24"/>
        </w:rPr>
        <w:t>).</w:t>
      </w:r>
      <w:r>
        <w:rPr>
          <w:rFonts w:ascii="Times New Roman" w:hAnsi="Times New Roman" w:cs="Times New Roman"/>
          <w:noProof/>
          <w:sz w:val="24"/>
          <w:szCs w:val="24"/>
        </w:rPr>
        <w:t xml:space="preserve"> Between 1996 and 2016, </w:t>
      </w:r>
      <w:r>
        <w:rPr>
          <w:rFonts w:ascii="Times New Roman" w:hAnsi="Times New Roman" w:cs="Times New Roman"/>
          <w:sz w:val="24"/>
          <w:szCs w:val="24"/>
        </w:rPr>
        <w:t>there were significant declines in the total abundance of potential vertebrate prey (</w:t>
      </w:r>
      <w:r w:rsidRPr="004B6573">
        <w:rPr>
          <w:rFonts w:ascii="Times New Roman" w:hAnsi="Times New Roman" w:cs="Times New Roman"/>
          <w:i/>
          <w:sz w:val="24"/>
          <w:szCs w:val="24"/>
        </w:rPr>
        <w:t>P</w:t>
      </w:r>
      <w:r>
        <w:rPr>
          <w:rFonts w:ascii="Times New Roman" w:hAnsi="Times New Roman" w:cs="Times New Roman"/>
          <w:sz w:val="24"/>
          <w:szCs w:val="24"/>
        </w:rPr>
        <w:t xml:space="preserve"> &lt; 0.001; </w:t>
      </w:r>
      <w:r w:rsidRPr="00C465EA">
        <w:rPr>
          <w:rFonts w:ascii="Times New Roman" w:hAnsi="Times New Roman" w:cs="Times New Roman"/>
          <w:sz w:val="24"/>
          <w:szCs w:val="24"/>
        </w:rPr>
        <w:t xml:space="preserve">Fig. </w:t>
      </w:r>
      <w:r>
        <w:rPr>
          <w:rFonts w:ascii="Times New Roman" w:hAnsi="Times New Roman" w:cs="Times New Roman"/>
          <w:sz w:val="24"/>
          <w:szCs w:val="24"/>
        </w:rPr>
        <w:t>6</w:t>
      </w:r>
      <w:r w:rsidRPr="00786B50">
        <w:rPr>
          <w:rFonts w:ascii="Times New Roman" w:hAnsi="Times New Roman" w:cs="Times New Roman"/>
          <w:sz w:val="24"/>
          <w:szCs w:val="24"/>
        </w:rPr>
        <w:t>,</w:t>
      </w:r>
      <w:r w:rsidRPr="00C465EA">
        <w:rPr>
          <w:rFonts w:ascii="Times New Roman" w:hAnsi="Times New Roman" w:cs="Times New Roman"/>
          <w:sz w:val="24"/>
          <w:szCs w:val="24"/>
        </w:rPr>
        <w:t xml:space="preserve"> Table S</w:t>
      </w:r>
      <w:r>
        <w:rPr>
          <w:rFonts w:ascii="Times New Roman" w:hAnsi="Times New Roman" w:cs="Times New Roman"/>
          <w:sz w:val="24"/>
          <w:szCs w:val="24"/>
        </w:rPr>
        <w:t>11</w:t>
      </w:r>
      <w:r w:rsidRPr="00644C2C">
        <w:rPr>
          <w:rFonts w:ascii="Times New Roman" w:hAnsi="Times New Roman" w:cs="Times New Roman"/>
          <w:sz w:val="24"/>
          <w:szCs w:val="24"/>
        </w:rPr>
        <w:t>)</w:t>
      </w:r>
      <w:r>
        <w:rPr>
          <w:rFonts w:ascii="Times New Roman" w:hAnsi="Times New Roman" w:cs="Times New Roman"/>
          <w:sz w:val="24"/>
          <w:szCs w:val="24"/>
        </w:rPr>
        <w:t xml:space="preserve"> across all habitat types (i.e., heath and fen), with the strongest declines in the drier heath sites. S</w:t>
      </w:r>
      <w:r w:rsidRPr="00C465EA">
        <w:rPr>
          <w:rFonts w:ascii="Times New Roman" w:hAnsi="Times New Roman" w:cs="Times New Roman"/>
          <w:sz w:val="24"/>
          <w:szCs w:val="24"/>
        </w:rPr>
        <w:t xml:space="preserve">imilar analyses </w:t>
      </w:r>
      <w:r>
        <w:rPr>
          <w:rFonts w:ascii="Times New Roman" w:hAnsi="Times New Roman" w:cs="Times New Roman"/>
          <w:sz w:val="24"/>
          <w:szCs w:val="24"/>
        </w:rPr>
        <w:t>at the order level for those arthropod families represented within this FEC group (</w:t>
      </w:r>
      <w:r w:rsidRPr="00C465EA">
        <w:rPr>
          <w:rFonts w:ascii="Times New Roman" w:hAnsi="Times New Roman" w:cs="Times New Roman"/>
          <w:sz w:val="24"/>
          <w:szCs w:val="24"/>
        </w:rPr>
        <w:t>Araneae, Diptera, Hymenoptera, Lepidoptera</w:t>
      </w:r>
      <w:r>
        <w:rPr>
          <w:rFonts w:ascii="Times New Roman" w:hAnsi="Times New Roman" w:cs="Times New Roman"/>
          <w:sz w:val="24"/>
          <w:szCs w:val="24"/>
        </w:rPr>
        <w:t xml:space="preserve">; Table S10) showed that </w:t>
      </w:r>
      <w:r w:rsidRPr="00C465EA">
        <w:rPr>
          <w:rFonts w:ascii="Times New Roman" w:hAnsi="Times New Roman" w:cs="Times New Roman"/>
          <w:sz w:val="24"/>
          <w:szCs w:val="24"/>
        </w:rPr>
        <w:t>pattern</w:t>
      </w:r>
      <w:r>
        <w:rPr>
          <w:rFonts w:ascii="Times New Roman" w:hAnsi="Times New Roman" w:cs="Times New Roman"/>
          <w:sz w:val="24"/>
          <w:szCs w:val="24"/>
        </w:rPr>
        <w:t>s</w:t>
      </w:r>
      <w:r w:rsidRPr="00C465EA">
        <w:rPr>
          <w:rFonts w:ascii="Times New Roman" w:hAnsi="Times New Roman" w:cs="Times New Roman"/>
          <w:sz w:val="24"/>
          <w:szCs w:val="24"/>
        </w:rPr>
        <w:t xml:space="preserve"> of decreasing abundances </w:t>
      </w:r>
      <w:r>
        <w:rPr>
          <w:rFonts w:ascii="Times New Roman" w:hAnsi="Times New Roman" w:cs="Times New Roman"/>
          <w:sz w:val="24"/>
          <w:szCs w:val="24"/>
        </w:rPr>
        <w:t>were</w:t>
      </w:r>
      <w:r w:rsidRPr="00C465EA">
        <w:rPr>
          <w:rFonts w:ascii="Times New Roman" w:hAnsi="Times New Roman" w:cs="Times New Roman"/>
          <w:sz w:val="24"/>
          <w:szCs w:val="24"/>
        </w:rPr>
        <w:t xml:space="preserve"> consistent across </w:t>
      </w:r>
      <w:r>
        <w:rPr>
          <w:rFonts w:ascii="Times New Roman" w:hAnsi="Times New Roman" w:cs="Times New Roman"/>
          <w:sz w:val="24"/>
          <w:szCs w:val="24"/>
        </w:rPr>
        <w:t>orders but often habitat-specific</w:t>
      </w:r>
      <w:r w:rsidRPr="00C465EA">
        <w:rPr>
          <w:rFonts w:ascii="Times New Roman" w:hAnsi="Times New Roman" w:cs="Times New Roman"/>
          <w:sz w:val="24"/>
          <w:szCs w:val="24"/>
        </w:rPr>
        <w:t xml:space="preserve"> (</w:t>
      </w:r>
      <w:r>
        <w:rPr>
          <w:rFonts w:ascii="Times New Roman" w:hAnsi="Times New Roman" w:cs="Times New Roman"/>
          <w:sz w:val="24"/>
          <w:szCs w:val="24"/>
        </w:rPr>
        <w:t>Table S11</w:t>
      </w:r>
      <w:r w:rsidRPr="00C465EA">
        <w:rPr>
          <w:rFonts w:ascii="Times New Roman" w:hAnsi="Times New Roman" w:cs="Times New Roman"/>
          <w:sz w:val="24"/>
          <w:szCs w:val="24"/>
        </w:rPr>
        <w:t>).</w:t>
      </w:r>
      <w:r>
        <w:rPr>
          <w:rFonts w:ascii="Times New Roman" w:hAnsi="Times New Roman" w:cs="Times New Roman"/>
          <w:sz w:val="24"/>
          <w:szCs w:val="24"/>
        </w:rPr>
        <w:t xml:space="preserve"> Variation in arthropod responses according to soil moisture have been documented at Zackenberg (e.g., </w:t>
      </w:r>
      <w:r>
        <w:rPr>
          <w:rFonts w:ascii="Times New Roman" w:hAnsi="Times New Roman" w:cs="Times New Roman"/>
          <w:noProof/>
          <w:sz w:val="24"/>
          <w:szCs w:val="24"/>
        </w:rPr>
        <w:t>Bowden et al. 2015b, Bowden et al. 2018, Koltz et al. 2018)</w:t>
      </w:r>
      <w:r>
        <w:rPr>
          <w:rFonts w:ascii="Times New Roman" w:hAnsi="Times New Roman" w:cs="Times New Roman"/>
          <w:sz w:val="24"/>
          <w:szCs w:val="24"/>
        </w:rPr>
        <w:t>; findings from a related study also indicate that arthropod abundances are lower in years with earlier timing of snowmelt and that this response is likely due to reduced soil moisture (</w:t>
      </w:r>
      <w:r w:rsidRPr="00CC194E">
        <w:rPr>
          <w:rFonts w:ascii="Times New Roman" w:hAnsi="Times New Roman" w:cs="Times New Roman"/>
          <w:noProof/>
          <w:sz w:val="24"/>
          <w:szCs w:val="24"/>
        </w:rPr>
        <w:t>Mortensen et al. 2016</w:t>
      </w:r>
      <w:r w:rsidRPr="00CD1061">
        <w:rPr>
          <w:rFonts w:ascii="Times New Roman" w:hAnsi="Times New Roman" w:cs="Times New Roman"/>
          <w:sz w:val="24"/>
          <w:szCs w:val="24"/>
        </w:rPr>
        <w:t>).</w:t>
      </w:r>
      <w:r>
        <w:rPr>
          <w:rFonts w:ascii="Times New Roman" w:hAnsi="Times New Roman" w:cs="Times New Roman"/>
          <w:sz w:val="24"/>
          <w:szCs w:val="24"/>
        </w:rPr>
        <w:t xml:space="preserve">  Lower abundances of available arthropod prey could have important consequences for the phenology and breeding success of local vertebrates (e.g.,</w:t>
      </w:r>
      <w:r w:rsidR="008A0E05">
        <w:rPr>
          <w:rFonts w:ascii="Times New Roman" w:hAnsi="Times New Roman" w:cs="Times New Roman"/>
          <w:noProof/>
          <w:sz w:val="24"/>
          <w:szCs w:val="24"/>
        </w:rPr>
        <w:t xml:space="preserve"> </w:t>
      </w:r>
      <w:r>
        <w:rPr>
          <w:rFonts w:ascii="Times New Roman" w:hAnsi="Times New Roman" w:cs="Times New Roman"/>
          <w:noProof/>
          <w:sz w:val="24"/>
          <w:szCs w:val="24"/>
        </w:rPr>
        <w:t>Reneerkens et al. 2016)</w:t>
      </w:r>
      <w:r>
        <w:rPr>
          <w:rFonts w:ascii="Times New Roman" w:hAnsi="Times New Roman" w:cs="Times New Roman"/>
          <w:sz w:val="24"/>
          <w:szCs w:val="24"/>
        </w:rPr>
        <w:t>. However, the reliability of these data is limited without more specific information regarding vertebrate diets and species-level arthropod data. Given the importance of this FEC, these preliminary findings highlight the need for better long-term data on multi-trophic interactions.</w:t>
      </w:r>
    </w:p>
    <w:p w:rsidR="000C149F" w:rsidRPr="00200DF3" w:rsidRDefault="000C149F" w:rsidP="008A0E05">
      <w:pPr>
        <w:pStyle w:val="CommentText"/>
        <w:rPr>
          <w:lang w:val="en-US"/>
        </w:rPr>
      </w:pP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0DB48BB" wp14:editId="7E1DE654">
            <wp:extent cx="5759450" cy="181673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ysmall.tiff"/>
                    <pic:cNvPicPr/>
                  </pic:nvPicPr>
                  <pic:blipFill>
                    <a:blip r:embed="rId13">
                      <a:extLst>
                        <a:ext uri="{28A0092B-C50C-407E-A947-70E740481C1C}">
                          <a14:useLocalDpi xmlns:a14="http://schemas.microsoft.com/office/drawing/2010/main" val="0"/>
                        </a:ext>
                      </a:extLst>
                    </a:blip>
                    <a:stretch>
                      <a:fillRect/>
                    </a:stretch>
                  </pic:blipFill>
                  <pic:spPr>
                    <a:xfrm>
                      <a:off x="0" y="0"/>
                      <a:ext cx="5759450" cy="1816735"/>
                    </a:xfrm>
                    <a:prstGeom prst="rect">
                      <a:avLst/>
                    </a:prstGeom>
                  </pic:spPr>
                </pic:pic>
              </a:graphicData>
            </a:graphic>
          </wp:inline>
        </w:drawing>
      </w:r>
    </w:p>
    <w:p w:rsidR="000C149F" w:rsidRDefault="000C149F" w:rsidP="008A0E05">
      <w:pPr>
        <w:spacing w:line="480" w:lineRule="auto"/>
        <w:rPr>
          <w:rFonts w:ascii="Times New Roman" w:hAnsi="Times New Roman" w:cs="Times New Roman"/>
          <w:sz w:val="24"/>
          <w:szCs w:val="24"/>
        </w:rPr>
      </w:pPr>
      <w:r w:rsidRPr="00DA36F3">
        <w:rPr>
          <w:rFonts w:ascii="Times New Roman" w:hAnsi="Times New Roman" w:cs="Times New Roman"/>
          <w:b/>
          <w:sz w:val="24"/>
          <w:szCs w:val="24"/>
        </w:rPr>
        <w:t xml:space="preserve">Figure </w:t>
      </w:r>
      <w:r>
        <w:rPr>
          <w:rFonts w:ascii="Times New Roman" w:hAnsi="Times New Roman" w:cs="Times New Roman"/>
          <w:b/>
          <w:sz w:val="24"/>
          <w:szCs w:val="24"/>
        </w:rPr>
        <w:t>6</w:t>
      </w:r>
      <w:r>
        <w:rPr>
          <w:rFonts w:ascii="Times New Roman" w:hAnsi="Times New Roman" w:cs="Times New Roman"/>
          <w:sz w:val="24"/>
          <w:szCs w:val="24"/>
        </w:rPr>
        <w:t xml:space="preserve">: Temporal trends of arthropod abundance at Zackenberg for three habitat types. The data are grouped together as the FEC “prey for vertebrates” and separated by order. Solid lines indicate significant regression lines at the p&lt;0.05 level after accounting for temporal autocorrelation. </w:t>
      </w:r>
      <w:r w:rsidRPr="00512C1D">
        <w:rPr>
          <w:rFonts w:ascii="Times New Roman" w:hAnsi="Times New Roman" w:cs="Times New Roman"/>
          <w:sz w:val="24"/>
          <w:szCs w:val="24"/>
        </w:rPr>
        <w:t xml:space="preserve">Figures </w:t>
      </w:r>
      <w:r>
        <w:rPr>
          <w:rFonts w:ascii="Times New Roman" w:hAnsi="Times New Roman" w:cs="Times New Roman"/>
          <w:sz w:val="24"/>
          <w:szCs w:val="24"/>
        </w:rPr>
        <w:t>prepared from data available at</w:t>
      </w:r>
      <w:r w:rsidRPr="00512C1D">
        <w:rPr>
          <w:rFonts w:ascii="Times New Roman" w:hAnsi="Times New Roman" w:cs="Times New Roman"/>
          <w:sz w:val="24"/>
          <w:szCs w:val="24"/>
        </w:rPr>
        <w:t xml:space="preserve"> http://data.g-e-m.dk/</w:t>
      </w:r>
    </w:p>
    <w:p w:rsidR="000C149F" w:rsidRPr="0038393A"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0C149F" w:rsidRPr="00312D09" w:rsidRDefault="000C149F" w:rsidP="008A0E05">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3. </w:t>
      </w:r>
      <w:r w:rsidRPr="00312D09">
        <w:rPr>
          <w:rFonts w:ascii="Times New Roman" w:hAnsi="Times New Roman" w:cs="Times New Roman"/>
          <w:b/>
          <w:sz w:val="24"/>
          <w:szCs w:val="24"/>
          <w:lang w:val="en-GB"/>
        </w:rPr>
        <w:t>Reflections on the FEC categories</w:t>
      </w: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This overview of available datasets represents an important first step in a peer review process of the FEC categories developed by the CBMP for terrestrial arthropods. Classifying species to FECs was a challenging process, particularly where there was uncertainty about individual species biology. Similarly, combining large groups of species together (e.g., in the “prey for vertebrates” FEC) seemed imprecise given the lack of natural history data on many of the species included, although we acknowledge the relevance of estimating prey availability for insectivorous birds. Furthermore, we believe there is an important functional group missing from the current CBMP FECs: predators and parasitoids (Figure 2). As an intermediate trophic level of Arctic food webs, </w:t>
      </w:r>
      <w:r w:rsidRPr="00786B50">
        <w:rPr>
          <w:rFonts w:ascii="Times New Roman" w:hAnsi="Times New Roman" w:cs="Times New Roman"/>
          <w:sz w:val="24"/>
          <w:szCs w:val="24"/>
          <w:lang w:val="en-GB"/>
        </w:rPr>
        <w:t>this group is critical for community dynamics and is likely to be more responsive to changes in lower trophic levels than their vertebrate predators</w:t>
      </w:r>
      <w:r>
        <w:rPr>
          <w:rFonts w:ascii="Times New Roman" w:hAnsi="Times New Roman" w:cs="Times New Roman"/>
          <w:sz w:val="24"/>
          <w:szCs w:val="24"/>
          <w:lang w:val="en-GB"/>
        </w:rPr>
        <w:t xml:space="preserve">. Predatory arthropods make up a large proportion of the prey for vertebrates FEC (Table S7), and we have good knowledge of predator behaviour of arthropods compared to vertebrate prey selectivity. Thus, a predator FEC could be a more appropriate functional group for many of these species.    </w:t>
      </w:r>
    </w:p>
    <w:p w:rsidR="000C149F" w:rsidRDefault="000C149F" w:rsidP="008A0E05">
      <w:pPr>
        <w:spacing w:line="480" w:lineRule="auto"/>
        <w:rPr>
          <w:rFonts w:ascii="Times New Roman" w:hAnsi="Times New Roman" w:cs="Times New Roman"/>
          <w:sz w:val="24"/>
          <w:szCs w:val="24"/>
          <w:lang w:val="en-GB"/>
        </w:rPr>
      </w:pP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lang w:val="en-GB"/>
        </w:rPr>
        <w:t xml:space="preserve">We stress that the classification issues we encountered occur mainly for arthropod biodiversity, rather than the CBMP as a whole. Other terrestrial Arctic FECs (mammals, birds, vegetation) involve fewer species, ecological roles, and have a greater availability of data. It should also be noted that the FEC species richness values in Fig. 1 represent the maximum potential diversity accumulated over many years of sampling. Despite the diversity of trapping techniques planned (Table 1), sampling is unlikely to capture all known species in any given year. </w:t>
      </w:r>
      <w:r w:rsidRPr="00F056DD">
        <w:rPr>
          <w:rFonts w:ascii="Times New Roman" w:hAnsi="Times New Roman" w:cs="Times New Roman"/>
          <w:sz w:val="24"/>
          <w:szCs w:val="24"/>
          <w:lang w:val="en-GB"/>
        </w:rPr>
        <w:t>Nevertheless, it is clear from this summary of biodiversity that</w:t>
      </w:r>
      <w:r>
        <w:rPr>
          <w:rFonts w:ascii="Times New Roman" w:hAnsi="Times New Roman" w:cs="Times New Roman"/>
          <w:sz w:val="24"/>
          <w:szCs w:val="24"/>
          <w:lang w:val="en-GB"/>
        </w:rPr>
        <w:t xml:space="preserve"> the FEC lists created here should also be refined as they are expanded to other regions</w:t>
      </w:r>
      <w:r w:rsidRPr="00DA03AC">
        <w:rPr>
          <w:rFonts w:ascii="Times New Roman" w:hAnsi="Times New Roman" w:cs="Times New Roman"/>
          <w:sz w:val="24"/>
          <w:szCs w:val="24"/>
          <w:lang w:val="en-GB"/>
        </w:rPr>
        <w:t xml:space="preserve"> </w:t>
      </w:r>
      <w:r>
        <w:rPr>
          <w:rFonts w:ascii="Times New Roman" w:hAnsi="Times New Roman" w:cs="Times New Roman"/>
          <w:sz w:val="24"/>
          <w:szCs w:val="24"/>
          <w:lang w:val="en-GB"/>
        </w:rPr>
        <w:t>and research continues to provide insights on species’ functional roles. In the meantime, monitoring of the diversity and abundance of arthropod species and of their ecological functions (i.e., decomposition, pollination, herbivory) continue to be the most important objectives of the CBMP.</w:t>
      </w:r>
    </w:p>
    <w:p w:rsidR="000C149F" w:rsidRPr="00C561DC" w:rsidRDefault="000C149F" w:rsidP="008A0E05">
      <w:pPr>
        <w:spacing w:after="0" w:line="480" w:lineRule="auto"/>
        <w:rPr>
          <w:rFonts w:ascii="Times New Roman" w:hAnsi="Times New Roman" w:cs="Times New Roman"/>
          <w:b/>
          <w:sz w:val="24"/>
          <w:szCs w:val="24"/>
        </w:rPr>
      </w:pPr>
    </w:p>
    <w:p w:rsidR="000C149F" w:rsidRPr="00F056DD" w:rsidRDefault="000C149F" w:rsidP="008A0E05">
      <w:pPr>
        <w:pStyle w:val="ListParagraph"/>
        <w:numPr>
          <w:ilvl w:val="0"/>
          <w:numId w:val="21"/>
        </w:numPr>
        <w:spacing w:after="0" w:line="480" w:lineRule="auto"/>
        <w:rPr>
          <w:rFonts w:ascii="Times New Roman" w:hAnsi="Times New Roman" w:cs="Times New Roman"/>
          <w:b/>
          <w:sz w:val="24"/>
          <w:szCs w:val="24"/>
        </w:rPr>
      </w:pPr>
      <w:r w:rsidRPr="00F056DD">
        <w:rPr>
          <w:rFonts w:ascii="Times New Roman" w:hAnsi="Times New Roman" w:cs="Times New Roman"/>
          <w:b/>
          <w:sz w:val="24"/>
          <w:szCs w:val="24"/>
        </w:rPr>
        <w:t>Knowledge gaps and recommendations</w:t>
      </w:r>
    </w:p>
    <w:p w:rsidR="000C149F" w:rsidRDefault="000C149F" w:rsidP="008A0E0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Some of the monitoring efforts highlighted here offer state-of-the-art insights into Arctic biodiversity trends, but they also demonstrate the level of work required to fill outstanding knowledge gaps (Hodkinson et al. </w:t>
      </w:r>
      <w:r>
        <w:rPr>
          <w:rFonts w:ascii="Times New Roman" w:hAnsi="Times New Roman" w:cs="Times New Roman"/>
          <w:noProof/>
          <w:sz w:val="24"/>
          <w:szCs w:val="24"/>
        </w:rPr>
        <w:t>2013)</w:t>
      </w:r>
      <w:r>
        <w:rPr>
          <w:rFonts w:ascii="Times New Roman" w:hAnsi="Times New Roman" w:cs="Times New Roman"/>
          <w:sz w:val="24"/>
          <w:szCs w:val="24"/>
        </w:rPr>
        <w:t xml:space="preserve">. For example, we have been unable to report on the vast majority of FEC attributes and parameters for much of the Arctic and, where evidence is available, the signals in the data are subject to high levels of spatial and temporal variability. Nevertheless, some of the simultaneous declining trends reported here support evidence of large decreases in arthropod biomass in other regions of the world </w:t>
      </w:r>
      <w:r>
        <w:rPr>
          <w:rFonts w:ascii="Times New Roman" w:hAnsi="Times New Roman" w:cs="Times New Roman"/>
          <w:noProof/>
          <w:sz w:val="24"/>
          <w:szCs w:val="24"/>
        </w:rPr>
        <w:t>(Hallmann et al. 2017, Lister and Garcia 2018)</w:t>
      </w:r>
      <w:r>
        <w:rPr>
          <w:rFonts w:ascii="Times New Roman" w:hAnsi="Times New Roman" w:cs="Times New Roman"/>
          <w:sz w:val="24"/>
          <w:szCs w:val="24"/>
        </w:rPr>
        <w:t xml:space="preserve">. These worrying trends highlight the need to build a greater knowledge base of Arctic food webs and ecosystems, and to monitor a greater range of functional groups and their ecosystem services. </w:t>
      </w:r>
    </w:p>
    <w:p w:rsidR="000C149F" w:rsidRDefault="000C149F" w:rsidP="008A0E05">
      <w:pPr>
        <w:spacing w:after="0" w:line="480" w:lineRule="auto"/>
        <w:rPr>
          <w:rFonts w:ascii="Times New Roman" w:hAnsi="Times New Roman" w:cs="Times New Roman"/>
          <w:sz w:val="24"/>
          <w:szCs w:val="24"/>
        </w:rPr>
      </w:pPr>
    </w:p>
    <w:p w:rsidR="000C149F" w:rsidRDefault="000C149F" w:rsidP="008A0E05">
      <w:pPr>
        <w:spacing w:after="0" w:line="480" w:lineRule="auto"/>
        <w:rPr>
          <w:rFonts w:ascii="Times New Roman" w:hAnsi="Times New Roman" w:cs="Times New Roman"/>
          <w:sz w:val="24"/>
          <w:szCs w:val="24"/>
        </w:rPr>
      </w:pPr>
      <w:r>
        <w:rPr>
          <w:rFonts w:ascii="Times New Roman" w:hAnsi="Times New Roman" w:cs="Times New Roman"/>
          <w:sz w:val="24"/>
          <w:szCs w:val="24"/>
        </w:rPr>
        <w:t>To provide a more complete synthesis of Arctic biodiversity status and trends, three basic future needs for arthropod monitoring are: 1) a more substantial effort with wider international collaboration to collate available data, and 2) extensive baseline data collection at CBMP monitoring stations. Further, given their importance to ecosystem function, their diversity and our relative dearth of knowledge compared to plants and vertebrates, 3) terrestrial arthropods must be given higher priority within long-term research plans, with more state-wide commitments to arthropod monitoring programmes. This was the first recommendation of</w:t>
      </w:r>
      <w:r w:rsidRPr="00F23277">
        <w:rPr>
          <w:rFonts w:ascii="Times New Roman" w:hAnsi="Times New Roman" w:cs="Times New Roman"/>
          <w:sz w:val="24"/>
          <w:szCs w:val="24"/>
        </w:rPr>
        <w:t xml:space="preserve"> </w:t>
      </w:r>
      <w:r>
        <w:rPr>
          <w:rFonts w:ascii="Times New Roman" w:hAnsi="Times New Roman" w:cs="Times New Roman"/>
          <w:sz w:val="24"/>
          <w:szCs w:val="24"/>
        </w:rPr>
        <w:t xml:space="preserve">Hodkinson et al. (2013), but we go further by suggesting that this should include the training and appointment of specialised staff to enhance standardisation, international cooperation and sharing of data. </w:t>
      </w:r>
    </w:p>
    <w:p w:rsidR="000C149F" w:rsidRDefault="000C149F" w:rsidP="008A0E05">
      <w:pPr>
        <w:spacing w:after="0" w:line="480" w:lineRule="auto"/>
        <w:rPr>
          <w:rFonts w:ascii="Times New Roman" w:hAnsi="Times New Roman" w:cs="Times New Roman"/>
          <w:sz w:val="24"/>
          <w:szCs w:val="24"/>
          <w:lang w:val="en-GB"/>
        </w:rPr>
      </w:pPr>
    </w:p>
    <w:p w:rsidR="000C149F" w:rsidRDefault="000C149F" w:rsidP="008A0E05">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sampling activities of the CBMP will provide excellent opportunities to monitor the abundance and phenology of more easily identifiable groups, such as spiders, beetles, syrphid flies, bees and butterflies, and key indicator species in addition to FECs </w:t>
      </w:r>
      <w:r>
        <w:rPr>
          <w:rFonts w:ascii="Times New Roman" w:hAnsi="Times New Roman" w:cs="Times New Roman"/>
          <w:noProof/>
          <w:sz w:val="24"/>
          <w:szCs w:val="24"/>
          <w:lang w:val="en-GB"/>
        </w:rPr>
        <w:t>(Danks 1992, Hodkinson et al. 2013)</w:t>
      </w:r>
      <w:r>
        <w:rPr>
          <w:rFonts w:ascii="Times New Roman" w:hAnsi="Times New Roman" w:cs="Times New Roman"/>
          <w:sz w:val="24"/>
          <w:szCs w:val="24"/>
          <w:lang w:val="en-GB"/>
        </w:rPr>
        <w:t>. These are likely to return immediate and indicative results, particularly in the initial stages of the programme before sufficient data are collected and samples processed to detect trends in other groups. Some candidate key indicator species were suggested by Hodkinson et al. (2013) and may differ between regions, but they are likely to include species that fulfil one or more of the following characteristics:</w:t>
      </w:r>
    </w:p>
    <w:p w:rsidR="000C149F" w:rsidRDefault="000C149F" w:rsidP="008A0E05">
      <w:pPr>
        <w:pStyle w:val="ListParagraph"/>
        <w:numPr>
          <w:ilvl w:val="0"/>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species that are well studied taxonomically and ecologically and have existing baseline data,</w:t>
      </w:r>
    </w:p>
    <w:p w:rsidR="000C149F" w:rsidRDefault="000C149F" w:rsidP="008A0E05">
      <w:pPr>
        <w:pStyle w:val="ListParagraph"/>
        <w:numPr>
          <w:ilvl w:val="0"/>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species that </w:t>
      </w:r>
      <w:r w:rsidRPr="004B3E73">
        <w:rPr>
          <w:rFonts w:ascii="Times New Roman" w:hAnsi="Times New Roman" w:cs="Times New Roman"/>
          <w:sz w:val="24"/>
          <w:szCs w:val="24"/>
          <w:lang w:val="en-GB"/>
        </w:rPr>
        <w:t>indicate local or regional changes in environmental conditions</w:t>
      </w:r>
      <w:r>
        <w:rPr>
          <w:rFonts w:ascii="Times New Roman" w:hAnsi="Times New Roman" w:cs="Times New Roman"/>
          <w:sz w:val="24"/>
          <w:szCs w:val="24"/>
          <w:lang w:val="en-GB"/>
        </w:rPr>
        <w:t xml:space="preserve"> through rapid changes in physiology, size, abundance, distribution or phenology,</w:t>
      </w:r>
    </w:p>
    <w:p w:rsidR="000C149F" w:rsidRDefault="000C149F" w:rsidP="008A0E05">
      <w:pPr>
        <w:pStyle w:val="ListParagraph"/>
        <w:numPr>
          <w:ilvl w:val="0"/>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species </w:t>
      </w:r>
      <w:r w:rsidRPr="004B3E73">
        <w:rPr>
          <w:rFonts w:ascii="Times New Roman" w:hAnsi="Times New Roman" w:cs="Times New Roman"/>
          <w:sz w:val="24"/>
          <w:szCs w:val="24"/>
          <w:lang w:val="en-GB"/>
        </w:rPr>
        <w:t xml:space="preserve">likely </w:t>
      </w:r>
      <w:r>
        <w:rPr>
          <w:rFonts w:ascii="Times New Roman" w:hAnsi="Times New Roman" w:cs="Times New Roman"/>
          <w:sz w:val="24"/>
          <w:szCs w:val="24"/>
          <w:lang w:val="en-GB"/>
        </w:rPr>
        <w:t xml:space="preserve">to </w:t>
      </w:r>
      <w:r w:rsidRPr="004B3E73">
        <w:rPr>
          <w:rFonts w:ascii="Times New Roman" w:hAnsi="Times New Roman" w:cs="Times New Roman"/>
          <w:sz w:val="24"/>
          <w:szCs w:val="24"/>
          <w:lang w:val="en-GB"/>
        </w:rPr>
        <w:t>expand distribution</w:t>
      </w:r>
      <w:r>
        <w:rPr>
          <w:rFonts w:ascii="Times New Roman" w:hAnsi="Times New Roman" w:cs="Times New Roman"/>
          <w:sz w:val="24"/>
          <w:szCs w:val="24"/>
          <w:lang w:val="en-GB"/>
        </w:rPr>
        <w:t>s</w:t>
      </w:r>
      <w:r w:rsidRPr="004B3E73">
        <w:rPr>
          <w:rFonts w:ascii="Times New Roman" w:hAnsi="Times New Roman" w:cs="Times New Roman"/>
          <w:sz w:val="24"/>
          <w:szCs w:val="24"/>
          <w:lang w:val="en-GB"/>
        </w:rPr>
        <w:t xml:space="preserve"> northwards from their current northern limits </w:t>
      </w:r>
      <w:r>
        <w:rPr>
          <w:rFonts w:ascii="Times New Roman" w:hAnsi="Times New Roman" w:cs="Times New Roman"/>
          <w:sz w:val="24"/>
          <w:szCs w:val="24"/>
          <w:lang w:val="en-GB"/>
        </w:rPr>
        <w:t>south of</w:t>
      </w:r>
      <w:r w:rsidRPr="004B3E73">
        <w:rPr>
          <w:rFonts w:ascii="Times New Roman" w:hAnsi="Times New Roman" w:cs="Times New Roman"/>
          <w:sz w:val="24"/>
          <w:szCs w:val="24"/>
          <w:lang w:val="en-GB"/>
        </w:rPr>
        <w:t xml:space="preserve"> the Arctic </w:t>
      </w:r>
      <w:r>
        <w:rPr>
          <w:rFonts w:ascii="Times New Roman" w:hAnsi="Times New Roman" w:cs="Times New Roman"/>
          <w:sz w:val="24"/>
          <w:szCs w:val="24"/>
          <w:lang w:val="en-GB"/>
        </w:rPr>
        <w:t>C</w:t>
      </w:r>
      <w:r w:rsidRPr="004B3E73">
        <w:rPr>
          <w:rFonts w:ascii="Times New Roman" w:hAnsi="Times New Roman" w:cs="Times New Roman"/>
          <w:sz w:val="24"/>
          <w:szCs w:val="24"/>
          <w:lang w:val="en-GB"/>
        </w:rPr>
        <w:t xml:space="preserve">ircle </w:t>
      </w:r>
      <w:r>
        <w:rPr>
          <w:rFonts w:ascii="Times New Roman" w:hAnsi="Times New Roman" w:cs="Times New Roman"/>
          <w:sz w:val="24"/>
          <w:szCs w:val="24"/>
          <w:lang w:val="en-GB"/>
        </w:rPr>
        <w:t>,</w:t>
      </w:r>
    </w:p>
    <w:p w:rsidR="000C149F" w:rsidRDefault="000C149F" w:rsidP="008A0E05">
      <w:pPr>
        <w:pStyle w:val="ListParagraph"/>
        <w:numPr>
          <w:ilvl w:val="0"/>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species </w:t>
      </w:r>
      <w:r w:rsidRPr="004B3E73">
        <w:rPr>
          <w:rFonts w:ascii="Times New Roman" w:hAnsi="Times New Roman" w:cs="Times New Roman"/>
          <w:sz w:val="24"/>
          <w:szCs w:val="24"/>
          <w:lang w:val="en-GB"/>
        </w:rPr>
        <w:t xml:space="preserve">vulnerable to climate change </w:t>
      </w:r>
      <w:r>
        <w:rPr>
          <w:rFonts w:ascii="Times New Roman" w:hAnsi="Times New Roman" w:cs="Times New Roman"/>
          <w:sz w:val="24"/>
          <w:szCs w:val="24"/>
          <w:lang w:val="en-GB"/>
        </w:rPr>
        <w:t>due to one or more of the following:</w:t>
      </w:r>
    </w:p>
    <w:p w:rsidR="000C149F" w:rsidRDefault="000C149F" w:rsidP="008A0E05">
      <w:pPr>
        <w:pStyle w:val="ListParagraph"/>
        <w:numPr>
          <w:ilvl w:val="1"/>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small patchy populations</w:t>
      </w:r>
    </w:p>
    <w:p w:rsidR="000C149F" w:rsidRDefault="000C149F" w:rsidP="008A0E05">
      <w:pPr>
        <w:pStyle w:val="ListParagraph"/>
        <w:numPr>
          <w:ilvl w:val="1"/>
          <w:numId w:val="15"/>
        </w:numPr>
        <w:spacing w:line="480" w:lineRule="auto"/>
        <w:rPr>
          <w:rFonts w:ascii="Times New Roman" w:hAnsi="Times New Roman" w:cs="Times New Roman"/>
          <w:sz w:val="24"/>
          <w:szCs w:val="24"/>
          <w:lang w:val="en-GB"/>
        </w:rPr>
      </w:pPr>
      <w:r w:rsidRPr="004B3E73">
        <w:rPr>
          <w:rFonts w:ascii="Times New Roman" w:hAnsi="Times New Roman" w:cs="Times New Roman"/>
          <w:sz w:val="24"/>
          <w:szCs w:val="24"/>
          <w:lang w:val="en-GB"/>
        </w:rPr>
        <w:t>southern limits at high latitudes</w:t>
      </w:r>
    </w:p>
    <w:p w:rsidR="000C149F" w:rsidRDefault="000C149F" w:rsidP="008A0E05">
      <w:pPr>
        <w:pStyle w:val="ListParagraph"/>
        <w:numPr>
          <w:ilvl w:val="1"/>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narrow diet, habitat or weather/seasonal requirements (specialists)</w:t>
      </w:r>
    </w:p>
    <w:p w:rsidR="000C149F" w:rsidRDefault="000C149F" w:rsidP="008A0E05">
      <w:pPr>
        <w:pStyle w:val="ListParagraph"/>
        <w:numPr>
          <w:ilvl w:val="1"/>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cold-adaptation</w:t>
      </w:r>
    </w:p>
    <w:p w:rsidR="000C149F" w:rsidRDefault="000C149F" w:rsidP="008A0E05">
      <w:pPr>
        <w:pStyle w:val="ListParagraph"/>
        <w:numPr>
          <w:ilvl w:val="1"/>
          <w:numId w:val="15"/>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endemism</w:t>
      </w:r>
    </w:p>
    <w:p w:rsidR="000C149F" w:rsidRDefault="000C149F" w:rsidP="008A0E0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An additional knowledge and monitoring gap lies in the availability of finer scale abiotic parameters. The difficulty in coupling changes in variables such as temperature to arthropods and plants is partly due to a lack of monitoring data on biologically-relevant microhabitat scales (e.g., soil and surface </w:t>
      </w:r>
      <w:r w:rsidRPr="00786B50">
        <w:rPr>
          <w:rFonts w:ascii="Times New Roman" w:hAnsi="Times New Roman" w:cs="Times New Roman"/>
          <w:sz w:val="24"/>
          <w:szCs w:val="24"/>
        </w:rPr>
        <w:t>temperatures</w:t>
      </w:r>
      <w:r>
        <w:rPr>
          <w:rFonts w:ascii="Times New Roman" w:hAnsi="Times New Roman" w:cs="Times New Roman"/>
          <w:sz w:val="24"/>
          <w:szCs w:val="24"/>
        </w:rPr>
        <w:t xml:space="preserve">; </w:t>
      </w:r>
      <w:r>
        <w:rPr>
          <w:rFonts w:ascii="Times New Roman" w:hAnsi="Times New Roman" w:cs="Times New Roman"/>
          <w:noProof/>
          <w:sz w:val="24"/>
          <w:szCs w:val="24"/>
        </w:rPr>
        <w:t>Convey et al. 2018)</w:t>
      </w:r>
      <w:r>
        <w:rPr>
          <w:rFonts w:ascii="Times New Roman" w:hAnsi="Times New Roman" w:cs="Times New Roman"/>
          <w:sz w:val="24"/>
          <w:szCs w:val="24"/>
        </w:rPr>
        <w:t xml:space="preserve">. The CBMP will include the monitoring of site-level abiotic factors such as climate data, snow depth and soil temperature </w:t>
      </w:r>
      <w:r>
        <w:rPr>
          <w:rFonts w:ascii="Times New Roman" w:hAnsi="Times New Roman" w:cs="Times New Roman"/>
          <w:noProof/>
          <w:sz w:val="24"/>
          <w:szCs w:val="24"/>
        </w:rPr>
        <w:t>(Christensen et al. 2013)</w:t>
      </w:r>
      <w:r>
        <w:rPr>
          <w:rFonts w:ascii="Times New Roman" w:hAnsi="Times New Roman" w:cs="Times New Roman"/>
          <w:sz w:val="24"/>
          <w:szCs w:val="24"/>
        </w:rPr>
        <w:t xml:space="preserve">, but we recommend that soil and surface temperature data are also logged at each trapping position.  </w:t>
      </w:r>
    </w:p>
    <w:p w:rsidR="000C149F" w:rsidRDefault="000C149F" w:rsidP="008A0E05">
      <w:pPr>
        <w:spacing w:after="0" w:line="480" w:lineRule="auto"/>
        <w:rPr>
          <w:rFonts w:ascii="Times New Roman" w:hAnsi="Times New Roman" w:cs="Times New Roman"/>
          <w:sz w:val="24"/>
          <w:szCs w:val="24"/>
        </w:rPr>
      </w:pPr>
    </w:p>
    <w:p w:rsidR="000C149F" w:rsidRDefault="000C149F" w:rsidP="008A0E0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Monitoring on the scale proposed by the CBMP will result in a huge collection of trap samples. This represents an exciting resource to Arctic researchers, but also a daunting prospect for taxonomists and museum curators. Maintaining up-to-date monitoring requires extensive taxonomic skills and personnel availability. However, taxonomists are in short supply, and while recent advances in DNA barcoding techniques may eventually reduce costs and speed up sample assessment </w:t>
      </w:r>
      <w:r>
        <w:rPr>
          <w:rFonts w:ascii="Times New Roman" w:hAnsi="Times New Roman" w:cs="Times New Roman"/>
          <w:noProof/>
          <w:sz w:val="24"/>
          <w:szCs w:val="24"/>
        </w:rPr>
        <w:t>(Porter and Hajibabaei 2018)</w:t>
      </w:r>
      <w:r>
        <w:rPr>
          <w:rFonts w:ascii="Times New Roman" w:hAnsi="Times New Roman" w:cs="Times New Roman"/>
          <w:sz w:val="24"/>
          <w:szCs w:val="24"/>
        </w:rPr>
        <w:t>, substantial and sustainable funding is required to support continued identifications. Monitoring efforts</w:t>
      </w:r>
      <w:r w:rsidRPr="005622C9">
        <w:rPr>
          <w:rFonts w:ascii="Times New Roman" w:hAnsi="Times New Roman" w:cs="Times New Roman"/>
          <w:sz w:val="24"/>
          <w:szCs w:val="24"/>
        </w:rPr>
        <w:t xml:space="preserve"> should </w:t>
      </w:r>
      <w:r>
        <w:rPr>
          <w:rFonts w:ascii="Times New Roman" w:hAnsi="Times New Roman" w:cs="Times New Roman"/>
          <w:sz w:val="24"/>
          <w:szCs w:val="24"/>
        </w:rPr>
        <w:t xml:space="preserve">also </w:t>
      </w:r>
      <w:r w:rsidRPr="005622C9">
        <w:rPr>
          <w:rFonts w:ascii="Times New Roman" w:hAnsi="Times New Roman" w:cs="Times New Roman"/>
          <w:sz w:val="24"/>
          <w:szCs w:val="24"/>
        </w:rPr>
        <w:t xml:space="preserve">include the build up of </w:t>
      </w:r>
      <w:r>
        <w:rPr>
          <w:rFonts w:ascii="Times New Roman" w:hAnsi="Times New Roman" w:cs="Times New Roman"/>
          <w:sz w:val="24"/>
          <w:szCs w:val="24"/>
        </w:rPr>
        <w:t xml:space="preserve">appropriately curated </w:t>
      </w:r>
      <w:r w:rsidRPr="005622C9">
        <w:rPr>
          <w:rFonts w:ascii="Times New Roman" w:hAnsi="Times New Roman" w:cs="Times New Roman"/>
          <w:sz w:val="24"/>
          <w:szCs w:val="24"/>
        </w:rPr>
        <w:t xml:space="preserve">reference collections for </w:t>
      </w:r>
      <w:r>
        <w:rPr>
          <w:rFonts w:ascii="Times New Roman" w:hAnsi="Times New Roman" w:cs="Times New Roman"/>
          <w:sz w:val="24"/>
          <w:szCs w:val="24"/>
        </w:rPr>
        <w:t xml:space="preserve">DNA </w:t>
      </w:r>
      <w:r w:rsidRPr="005622C9">
        <w:rPr>
          <w:rFonts w:ascii="Times New Roman" w:hAnsi="Times New Roman" w:cs="Times New Roman"/>
          <w:sz w:val="24"/>
          <w:szCs w:val="24"/>
        </w:rPr>
        <w:t>barcoding</w:t>
      </w:r>
      <w:r>
        <w:rPr>
          <w:rFonts w:ascii="Times New Roman" w:hAnsi="Times New Roman" w:cs="Times New Roman"/>
          <w:sz w:val="24"/>
          <w:szCs w:val="24"/>
        </w:rPr>
        <w:t>.</w:t>
      </w:r>
    </w:p>
    <w:p w:rsidR="000C149F" w:rsidRPr="00F55146" w:rsidRDefault="000C149F" w:rsidP="008A0E05">
      <w:pPr>
        <w:spacing w:line="480" w:lineRule="auto"/>
        <w:rPr>
          <w:rFonts w:ascii="Times New Roman" w:hAnsi="Times New Roman" w:cs="Times New Roman"/>
          <w:sz w:val="24"/>
          <w:szCs w:val="24"/>
        </w:rPr>
      </w:pPr>
    </w:p>
    <w:p w:rsidR="000C149F" w:rsidRPr="006961D1" w:rsidRDefault="000C149F" w:rsidP="008A0E05">
      <w:pPr>
        <w:pStyle w:val="ListParagraph"/>
        <w:numPr>
          <w:ilvl w:val="0"/>
          <w:numId w:val="21"/>
        </w:numPr>
        <w:spacing w:after="0" w:line="480" w:lineRule="auto"/>
        <w:rPr>
          <w:rFonts w:ascii="Times New Roman" w:hAnsi="Times New Roman" w:cs="Times New Roman"/>
          <w:b/>
          <w:sz w:val="24"/>
          <w:szCs w:val="24"/>
        </w:rPr>
      </w:pPr>
      <w:r w:rsidRPr="006961D1">
        <w:rPr>
          <w:rFonts w:ascii="Times New Roman" w:hAnsi="Times New Roman" w:cs="Times New Roman"/>
          <w:b/>
          <w:sz w:val="24"/>
          <w:szCs w:val="24"/>
        </w:rPr>
        <w:t>Conclusion</w:t>
      </w:r>
      <w:r>
        <w:rPr>
          <w:rFonts w:ascii="Times New Roman" w:hAnsi="Times New Roman" w:cs="Times New Roman"/>
          <w:b/>
          <w:sz w:val="24"/>
          <w:szCs w:val="24"/>
        </w:rPr>
        <w:t xml:space="preserve">s </w:t>
      </w:r>
    </w:p>
    <w:p w:rsidR="000C149F" w:rsidRDefault="000C149F" w:rsidP="008A0E05">
      <w:pPr>
        <w:spacing w:line="480" w:lineRule="auto"/>
        <w:rPr>
          <w:rFonts w:ascii="Times New Roman" w:hAnsi="Times New Roman" w:cs="Times New Roman"/>
          <w:sz w:val="24"/>
          <w:szCs w:val="24"/>
        </w:rPr>
      </w:pPr>
      <w:r>
        <w:rPr>
          <w:rFonts w:ascii="Times New Roman" w:hAnsi="Times New Roman" w:cs="Times New Roman"/>
          <w:sz w:val="24"/>
          <w:szCs w:val="24"/>
        </w:rPr>
        <w:t>In this review, we have highlighted the major limitations facing Arctic terrestrial arthropod science. Arthropod researchers seek to understand a hugely diverse and multi-functional group of organisms, with a fraction of the support given for plants, vertebrates and abiotic measurements. The CBMP holds great potential in correcting that imbalance, but we emphasize that plans to monitor arthropods as groups of functionally important taxa will need regular refinement. We have found the proposed arthropod FECs to be unusual, overlapping and challenging to apply even to species inventories of relatively low-diversity “Arctic” islands. Although our synthesis of available data suggests worrisome declines in several of these arthropod FECs, our classifications are incomplete as a result of these issues, and thus we are not able to fully describe the status of the terrestrial arthropod FECs. We believe that extensive expert supervision of the initial stages of this arm of the terrestrial CBMP will be vital to its success.</w:t>
      </w:r>
    </w:p>
    <w:p w:rsidR="000C149F" w:rsidRPr="008759E3" w:rsidRDefault="000C149F" w:rsidP="008A0E05">
      <w:pPr>
        <w:spacing w:before="240" w:line="480" w:lineRule="auto"/>
        <w:rPr>
          <w:rFonts w:ascii="Times New Roman" w:hAnsi="Times New Roman" w:cs="Times New Roman"/>
          <w:sz w:val="24"/>
          <w:szCs w:val="24"/>
        </w:rPr>
      </w:pPr>
    </w:p>
    <w:p w:rsidR="000C149F" w:rsidRPr="00F62056" w:rsidRDefault="000C149F" w:rsidP="008A0E05">
      <w:pPr>
        <w:spacing w:line="480" w:lineRule="auto"/>
        <w:rPr>
          <w:rFonts w:ascii="Times New Roman" w:hAnsi="Times New Roman" w:cs="Times New Roman"/>
          <w:b/>
          <w:sz w:val="24"/>
          <w:szCs w:val="24"/>
        </w:rPr>
      </w:pPr>
      <w:r w:rsidRPr="00F62056">
        <w:rPr>
          <w:rFonts w:ascii="Times New Roman" w:hAnsi="Times New Roman" w:cs="Times New Roman"/>
          <w:b/>
          <w:sz w:val="24"/>
          <w:szCs w:val="24"/>
        </w:rPr>
        <w:t>References</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Aastrup, P., J. Nymand, K. Raundrup, M. Olsen, T. L. Lauridsen, P. H. Krogh, N. M. Schmidt, L. Illeris, </w:t>
      </w:r>
      <w:r w:rsidR="00562E8A" w:rsidRPr="00562E8A">
        <w:rPr>
          <w:rFonts w:ascii="Times New Roman" w:hAnsi="Times New Roman" w:cs="Times New Roman"/>
          <w:sz w:val="24"/>
          <w:szCs w:val="24"/>
          <w:lang w:val="nb-NO"/>
        </w:rPr>
        <w:t>et al</w:t>
      </w:r>
      <w:r w:rsidRPr="00562E8A">
        <w:rPr>
          <w:rFonts w:ascii="Times New Roman" w:hAnsi="Times New Roman" w:cs="Times New Roman"/>
          <w:sz w:val="24"/>
          <w:szCs w:val="24"/>
          <w:lang w:val="nb-NO"/>
        </w:rPr>
        <w:t xml:space="preserve">. 2015. </w:t>
      </w:r>
      <w:r w:rsidRPr="00562E8A">
        <w:rPr>
          <w:rFonts w:ascii="Times New Roman" w:hAnsi="Times New Roman" w:cs="Times New Roman"/>
          <w:sz w:val="24"/>
          <w:szCs w:val="24"/>
        </w:rPr>
        <w:t>Conceptual design and sampling procedures of the biological programme of NuukBasic., Aarhus University.</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Arnalds, A. 1987. Ecosystem Disturbance in Iceland. Arctic and Alpine Research </w:t>
      </w:r>
      <w:r w:rsidRPr="00562E8A">
        <w:rPr>
          <w:rFonts w:ascii="Times New Roman" w:hAnsi="Times New Roman" w:cs="Times New Roman"/>
          <w:b/>
          <w:sz w:val="24"/>
          <w:szCs w:val="24"/>
        </w:rPr>
        <w:t>19</w:t>
      </w:r>
      <w:r w:rsidRPr="00562E8A">
        <w:rPr>
          <w:rFonts w:ascii="Times New Roman" w:hAnsi="Times New Roman" w:cs="Times New Roman"/>
          <w:sz w:val="24"/>
          <w:szCs w:val="24"/>
        </w:rPr>
        <w:t>:508-513.</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Ávila-Jiménez, M. L., and S. J. Coulson. 2011. A Holarctic Biogeographical Analysis of the Collembola (Arthropoda, Hexapoda) Unravels Recent Post-Glacial Colonization Patterns. Insects </w:t>
      </w:r>
      <w:r w:rsidRPr="00562E8A">
        <w:rPr>
          <w:rFonts w:ascii="Times New Roman" w:hAnsi="Times New Roman" w:cs="Times New Roman"/>
          <w:b/>
          <w:sz w:val="24"/>
          <w:szCs w:val="24"/>
        </w:rPr>
        <w:t>2</w:t>
      </w:r>
      <w:r w:rsidRPr="00562E8A">
        <w:rPr>
          <w:rFonts w:ascii="Times New Roman" w:hAnsi="Times New Roman" w:cs="Times New Roman"/>
          <w:sz w:val="24"/>
          <w:szCs w:val="24"/>
        </w:rPr>
        <w:t>:273.</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Barrio, I. C., C. G. Bueno, and D. S. Hik. 2016. Warming the tundra: reciprocal responses of invertebrate herbivores and plants. Oikos </w:t>
      </w:r>
      <w:r w:rsidRPr="00562E8A">
        <w:rPr>
          <w:rFonts w:ascii="Times New Roman" w:hAnsi="Times New Roman" w:cs="Times New Roman"/>
          <w:b/>
          <w:sz w:val="24"/>
          <w:szCs w:val="24"/>
        </w:rPr>
        <w:t>125</w:t>
      </w:r>
      <w:r w:rsidRPr="00562E8A">
        <w:rPr>
          <w:rFonts w:ascii="Times New Roman" w:hAnsi="Times New Roman" w:cs="Times New Roman"/>
          <w:sz w:val="24"/>
          <w:szCs w:val="24"/>
        </w:rPr>
        <w:t>:20-28.</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Barrio, I. C., E. Lindén, M. Te Beest, J. Olofsson, A. Rocha, E. M. Soininen, J. M. Alatalo, T. Andersson, </w:t>
      </w:r>
      <w:r w:rsidR="00562E8A">
        <w:rPr>
          <w:rFonts w:ascii="Times New Roman" w:hAnsi="Times New Roman" w:cs="Times New Roman"/>
          <w:sz w:val="24"/>
          <w:szCs w:val="24"/>
        </w:rPr>
        <w:t>et al</w:t>
      </w:r>
      <w:r w:rsidRPr="00562E8A">
        <w:rPr>
          <w:rFonts w:ascii="Times New Roman" w:hAnsi="Times New Roman" w:cs="Times New Roman"/>
          <w:sz w:val="24"/>
          <w:szCs w:val="24"/>
        </w:rPr>
        <w:t xml:space="preserve">. 2017. Background invertebrate herbivory on dwarf birch (Betula glandulosa-nana complex) increases with temperature and precipitation across the tundra biome. Polar Biology </w:t>
      </w:r>
      <w:r w:rsidRPr="00562E8A">
        <w:rPr>
          <w:rFonts w:ascii="Times New Roman" w:hAnsi="Times New Roman" w:cs="Times New Roman"/>
          <w:b/>
          <w:sz w:val="24"/>
          <w:szCs w:val="24"/>
        </w:rPr>
        <w:t>40</w:t>
      </w:r>
      <w:r w:rsidRPr="00562E8A">
        <w:rPr>
          <w:rFonts w:ascii="Times New Roman" w:hAnsi="Times New Roman" w:cs="Times New Roman"/>
          <w:sz w:val="24"/>
          <w:szCs w:val="24"/>
        </w:rPr>
        <w:t>:2265-2278.</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Böcher, J. 1988. The Coleoptera of Greenland. – Meddelelser om Grønland. Bioscience </w:t>
      </w:r>
      <w:r w:rsidRPr="00562E8A">
        <w:rPr>
          <w:rFonts w:ascii="Times New Roman" w:hAnsi="Times New Roman" w:cs="Times New Roman"/>
          <w:b/>
          <w:sz w:val="24"/>
          <w:szCs w:val="24"/>
        </w:rPr>
        <w:t>26</w:t>
      </w:r>
      <w:r w:rsidRPr="00562E8A">
        <w:rPr>
          <w:rFonts w:ascii="Times New Roman" w:hAnsi="Times New Roman" w:cs="Times New Roman"/>
          <w:sz w:val="24"/>
          <w:szCs w:val="24"/>
        </w:rPr>
        <w:t>:100 pp.</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lang w:val="nb-NO"/>
        </w:rPr>
      </w:pPr>
      <w:r w:rsidRPr="00562E8A">
        <w:rPr>
          <w:rFonts w:ascii="Times New Roman" w:hAnsi="Times New Roman" w:cs="Times New Roman"/>
          <w:sz w:val="24"/>
          <w:szCs w:val="24"/>
        </w:rPr>
        <w:t xml:space="preserve">Böcher, J., N. P. Kristensen, T. Pape, and L. Vilhelmsen, editors. 2015. The Greenland Entomofauna: An Identification Manual of Insects, Spiders and Their Allies. </w:t>
      </w:r>
      <w:r w:rsidRPr="00562E8A">
        <w:rPr>
          <w:rFonts w:ascii="Times New Roman" w:hAnsi="Times New Roman" w:cs="Times New Roman"/>
          <w:sz w:val="24"/>
          <w:szCs w:val="24"/>
          <w:lang w:val="nb-NO"/>
        </w:rPr>
        <w:t>Koninklijke Brill nv, Leiden, The Netherlands.</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Bowden, J. J., A. Eskildsen, R. R. Hansen, K. Olsen, C. M. Kurle, and T. T. Hoye. 2015a. </w:t>
      </w:r>
      <w:r w:rsidRPr="00562E8A">
        <w:rPr>
          <w:rFonts w:ascii="Times New Roman" w:hAnsi="Times New Roman" w:cs="Times New Roman"/>
          <w:sz w:val="24"/>
          <w:szCs w:val="24"/>
        </w:rPr>
        <w:t xml:space="preserve">High-Arctic butterflies become smaller with rising temperatures. Biology Letters </w:t>
      </w:r>
      <w:r w:rsidRPr="00562E8A">
        <w:rPr>
          <w:rFonts w:ascii="Times New Roman" w:hAnsi="Times New Roman" w:cs="Times New Roman"/>
          <w:b/>
          <w:sz w:val="24"/>
          <w:szCs w:val="24"/>
        </w:rPr>
        <w:t>11</w:t>
      </w:r>
      <w:r w:rsidRPr="00562E8A">
        <w:rPr>
          <w:rFonts w:ascii="Times New Roman" w:hAnsi="Times New Roman" w:cs="Times New Roman"/>
          <w:sz w:val="24"/>
          <w:szCs w:val="24"/>
        </w:rPr>
        <w:t>.</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Bowden, J. J., O. L. P. Hansen, K. Olsen, N. M. Schmidt, and T. T. Høye. 2018. </w:t>
      </w:r>
      <w:r w:rsidRPr="00562E8A">
        <w:rPr>
          <w:rFonts w:ascii="Times New Roman" w:hAnsi="Times New Roman" w:cs="Times New Roman"/>
          <w:sz w:val="24"/>
          <w:szCs w:val="24"/>
        </w:rPr>
        <w:t>Drivers of inter-annual variation and long-term change in High-Arctic spider species abundances. Polar Biology.</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Bowden, J. J., R. R. Hansen, K. Olsen, and T. T. Hoye. 2015b. Habitat-specific effects of climate change on a low-mobility Arctic spider species. Polar Biology </w:t>
      </w:r>
      <w:r w:rsidRPr="00562E8A">
        <w:rPr>
          <w:rFonts w:ascii="Times New Roman" w:hAnsi="Times New Roman" w:cs="Times New Roman"/>
          <w:b/>
          <w:sz w:val="24"/>
          <w:szCs w:val="24"/>
        </w:rPr>
        <w:t>38</w:t>
      </w:r>
      <w:r w:rsidRPr="00562E8A">
        <w:rPr>
          <w:rFonts w:ascii="Times New Roman" w:hAnsi="Times New Roman" w:cs="Times New Roman"/>
          <w:sz w:val="24"/>
          <w:szCs w:val="24"/>
        </w:rPr>
        <w:t>:559-568.</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Brussaard, L., M. M. Pulleman, É. Ouédraogo, A. Mando, and J. Six. 2007. Soil fauna and soil function in the fabric of the food web. Pedobiologia </w:t>
      </w:r>
      <w:r w:rsidRPr="00562E8A">
        <w:rPr>
          <w:rFonts w:ascii="Times New Roman" w:hAnsi="Times New Roman" w:cs="Times New Roman"/>
          <w:b/>
          <w:sz w:val="24"/>
          <w:szCs w:val="24"/>
        </w:rPr>
        <w:t>50</w:t>
      </w:r>
      <w:r w:rsidRPr="00562E8A">
        <w:rPr>
          <w:rFonts w:ascii="Times New Roman" w:hAnsi="Times New Roman" w:cs="Times New Roman"/>
          <w:sz w:val="24"/>
          <w:szCs w:val="24"/>
        </w:rPr>
        <w:t>:447-462.</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Callaghan, T. V., L. O. Bjorn, Y. Chernov, T. Chapin, T. R. Christensen, B. Huntley, R. A. Ims, M. Johansson, </w:t>
      </w:r>
      <w:r w:rsidR="00562E8A">
        <w:rPr>
          <w:rFonts w:ascii="Times New Roman" w:hAnsi="Times New Roman" w:cs="Times New Roman"/>
          <w:sz w:val="24"/>
          <w:szCs w:val="24"/>
        </w:rPr>
        <w:t>et al</w:t>
      </w:r>
      <w:r w:rsidRPr="00562E8A">
        <w:rPr>
          <w:rFonts w:ascii="Times New Roman" w:hAnsi="Times New Roman" w:cs="Times New Roman"/>
          <w:sz w:val="24"/>
          <w:szCs w:val="24"/>
        </w:rPr>
        <w:t xml:space="preserve">. 2004. Biodiversity, distributions and adaptations of arctic species in the context of environmental change. Ambio </w:t>
      </w:r>
      <w:r w:rsidRPr="00562E8A">
        <w:rPr>
          <w:rFonts w:ascii="Times New Roman" w:hAnsi="Times New Roman" w:cs="Times New Roman"/>
          <w:b/>
          <w:sz w:val="24"/>
          <w:szCs w:val="24"/>
        </w:rPr>
        <w:t>33</w:t>
      </w:r>
      <w:r w:rsidRPr="00562E8A">
        <w:rPr>
          <w:rFonts w:ascii="Times New Roman" w:hAnsi="Times New Roman" w:cs="Times New Roman"/>
          <w:sz w:val="24"/>
          <w:szCs w:val="24"/>
        </w:rPr>
        <w:t>:404-417.</w:t>
      </w:r>
    </w:p>
    <w:p w:rsidR="00562E8A" w:rsidRPr="00562E8A" w:rsidRDefault="00562E8A" w:rsidP="00562E8A">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CAVM Team</w:t>
      </w:r>
      <w:r w:rsidRPr="00562E8A">
        <w:rPr>
          <w:rFonts w:ascii="Times New Roman" w:hAnsi="Times New Roman" w:cs="Times New Roman"/>
          <w:sz w:val="24"/>
          <w:szCs w:val="24"/>
        </w:rPr>
        <w:t>. 2003. Circumpolar Arctic Vegetation Map. Scale 1:7,500,000. Conservation of Arctic Flora and Fauna (CAFF) Map No. 1., U.S. Fish and Wildlife Service, Anchorage.</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Christensen, T., J. Payne, M. Doyle, G. Ibarguchi, J. Taylor, N. M. Schmidt, M. Gill, M. Svoboda, M. </w:t>
      </w:r>
      <w:r w:rsidR="00562E8A" w:rsidRPr="00562E8A">
        <w:rPr>
          <w:rFonts w:ascii="Times New Roman" w:hAnsi="Times New Roman" w:cs="Times New Roman"/>
          <w:sz w:val="24"/>
          <w:szCs w:val="24"/>
          <w:lang w:val="nb-NO"/>
        </w:rPr>
        <w:t>et al</w:t>
      </w:r>
      <w:r w:rsidRPr="00562E8A">
        <w:rPr>
          <w:rFonts w:ascii="Times New Roman" w:hAnsi="Times New Roman" w:cs="Times New Roman"/>
          <w:sz w:val="24"/>
          <w:szCs w:val="24"/>
          <w:lang w:val="nb-NO"/>
        </w:rPr>
        <w:t xml:space="preserve">. 2013. </w:t>
      </w:r>
      <w:r w:rsidRPr="00562E8A">
        <w:rPr>
          <w:rFonts w:ascii="Times New Roman" w:hAnsi="Times New Roman" w:cs="Times New Roman"/>
          <w:sz w:val="24"/>
          <w:szCs w:val="24"/>
        </w:rPr>
        <w:t>The Arctic Terrestrial Biodiversity Monitoring Plan. 7, CAFF International Secretariat. Akureyri, Iceland.</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Convey, P., S. J. Coulson, M. R. Worland, and A. Sjöblom. 2018. The importance of understanding annual and shorter-term temperature patterns and variation in the surface levels of polar soils for terrestrial biota. Polar Biology.</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Coulson, S. J., P. Convey, K. Aakra, L. Aarvik, M. L. Avila-Jimenez, A. Babenko, E. M. Biersma, S. Bostrom, </w:t>
      </w:r>
      <w:r w:rsidR="00562E8A">
        <w:rPr>
          <w:rFonts w:ascii="Times New Roman" w:hAnsi="Times New Roman" w:cs="Times New Roman"/>
          <w:sz w:val="24"/>
          <w:szCs w:val="24"/>
        </w:rPr>
        <w:t>et al</w:t>
      </w:r>
      <w:r w:rsidRPr="00562E8A">
        <w:rPr>
          <w:rFonts w:ascii="Times New Roman" w:hAnsi="Times New Roman" w:cs="Times New Roman"/>
          <w:sz w:val="24"/>
          <w:szCs w:val="24"/>
        </w:rPr>
        <w:t xml:space="preserve">. 2014. The terrestrial and freshwater invertebrate biodiversity of the archipelagoes of the Barents Sea, Svalbard, Franz Josef Land and Novaya Zemlya. Soil Biology &amp; Biochemistry </w:t>
      </w:r>
      <w:r w:rsidRPr="00562E8A">
        <w:rPr>
          <w:rFonts w:ascii="Times New Roman" w:hAnsi="Times New Roman" w:cs="Times New Roman"/>
          <w:b/>
          <w:sz w:val="24"/>
          <w:szCs w:val="24"/>
        </w:rPr>
        <w:t>68</w:t>
      </w:r>
      <w:r w:rsidRPr="00562E8A">
        <w:rPr>
          <w:rFonts w:ascii="Times New Roman" w:hAnsi="Times New Roman" w:cs="Times New Roman"/>
          <w:sz w:val="24"/>
          <w:szCs w:val="24"/>
        </w:rPr>
        <w:t>:440-470.</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Culler, L. E., M. P. Ayres, and R. A. Virginia. 2015. In a warmer Arctic, mosquitoes avoid increased mortality from predators by growing faster. Proceedings of the Royal Society B-Biological Sciences </w:t>
      </w:r>
      <w:r w:rsidRPr="00562E8A">
        <w:rPr>
          <w:rFonts w:ascii="Times New Roman" w:hAnsi="Times New Roman" w:cs="Times New Roman"/>
          <w:b/>
          <w:sz w:val="24"/>
          <w:szCs w:val="24"/>
        </w:rPr>
        <w:t>282</w:t>
      </w:r>
      <w:r w:rsidRPr="00562E8A">
        <w:rPr>
          <w:rFonts w:ascii="Times New Roman" w:hAnsi="Times New Roman" w:cs="Times New Roman"/>
          <w:sz w:val="24"/>
          <w:szCs w:val="24"/>
        </w:rPr>
        <w:t>.</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Danks, H. V. 1981. Arctic Arthropods. A review of systematics and ecology with particular reference to the North American fauna. Entomological Society of Canada, Ottawa.</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Danks, H. V. 1992. </w:t>
      </w:r>
      <w:r w:rsidR="00562E8A" w:rsidRPr="00562E8A">
        <w:rPr>
          <w:rFonts w:ascii="Times New Roman" w:hAnsi="Times New Roman" w:cs="Times New Roman"/>
          <w:sz w:val="24"/>
          <w:szCs w:val="24"/>
        </w:rPr>
        <w:t>Arctic insects as indicators of environmental-change</w:t>
      </w:r>
      <w:r w:rsidRPr="00562E8A">
        <w:rPr>
          <w:rFonts w:ascii="Times New Roman" w:hAnsi="Times New Roman" w:cs="Times New Roman"/>
          <w:sz w:val="24"/>
          <w:szCs w:val="24"/>
        </w:rPr>
        <w:t xml:space="preserve">. Arctic </w:t>
      </w:r>
      <w:r w:rsidRPr="00562E8A">
        <w:rPr>
          <w:rFonts w:ascii="Times New Roman" w:hAnsi="Times New Roman" w:cs="Times New Roman"/>
          <w:b/>
          <w:sz w:val="24"/>
          <w:szCs w:val="24"/>
        </w:rPr>
        <w:t>45</w:t>
      </w:r>
      <w:r w:rsidRPr="00562E8A">
        <w:rPr>
          <w:rFonts w:ascii="Times New Roman" w:hAnsi="Times New Roman" w:cs="Times New Roman"/>
          <w:sz w:val="24"/>
          <w:szCs w:val="24"/>
        </w:rPr>
        <w:t>:159-166.</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Franke, A., V. Lamarre, and E. Hedlin. 2016. Rapid Nestling Mortality in Arctic Peregrine Falcons Due to the Biting Effects of Black Flies. Arctic </w:t>
      </w:r>
      <w:r w:rsidRPr="00562E8A">
        <w:rPr>
          <w:rFonts w:ascii="Times New Roman" w:hAnsi="Times New Roman" w:cs="Times New Roman"/>
          <w:b/>
          <w:sz w:val="24"/>
          <w:szCs w:val="24"/>
        </w:rPr>
        <w:t>69</w:t>
      </w:r>
      <w:r w:rsidRPr="00562E8A">
        <w:rPr>
          <w:rFonts w:ascii="Times New Roman" w:hAnsi="Times New Roman" w:cs="Times New Roman"/>
          <w:sz w:val="24"/>
          <w:szCs w:val="24"/>
        </w:rPr>
        <w:t>:281-285.</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Gaston, A. J., J. M. Hipfner, and D. Campbell. 2002. Heat and mosquitoes cause breeding failures and adult mortality in an Arctic-nesting seabird. Ibis </w:t>
      </w:r>
      <w:r w:rsidRPr="00562E8A">
        <w:rPr>
          <w:rFonts w:ascii="Times New Roman" w:hAnsi="Times New Roman" w:cs="Times New Roman"/>
          <w:b/>
          <w:sz w:val="24"/>
          <w:szCs w:val="24"/>
        </w:rPr>
        <w:t>144</w:t>
      </w:r>
      <w:r w:rsidRPr="00562E8A">
        <w:rPr>
          <w:rFonts w:ascii="Times New Roman" w:hAnsi="Times New Roman" w:cs="Times New Roman"/>
          <w:sz w:val="24"/>
          <w:szCs w:val="24"/>
        </w:rPr>
        <w:t>:185-191.</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Gauld, I. D., and B. Bolton. 1988. The Hymenoptera. Oxford University Press, London.</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Gillespie, M. A. K., N. Baggesen, and E. J. Cooper. 2016. High Arctic flowering phenology and plant-pollinator interactions in response to delayed snow melt and simulated warming. Environmental Research Letters </w:t>
      </w:r>
      <w:r w:rsidRPr="00562E8A">
        <w:rPr>
          <w:rFonts w:ascii="Times New Roman" w:hAnsi="Times New Roman" w:cs="Times New Roman"/>
          <w:b/>
          <w:sz w:val="24"/>
          <w:szCs w:val="24"/>
        </w:rPr>
        <w:t>11</w:t>
      </w:r>
      <w:r w:rsidRPr="00562E8A">
        <w:rPr>
          <w:rFonts w:ascii="Times New Roman" w:hAnsi="Times New Roman" w:cs="Times New Roman"/>
          <w:sz w:val="24"/>
          <w:szCs w:val="24"/>
        </w:rPr>
        <w:t>.</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Govoni, D. P., B. K. Kristjansson, and J. S. Olafsson. 2018. Spring type influences invertebrate communities at cold spring sources. Hydrobiologia </w:t>
      </w:r>
      <w:r w:rsidRPr="00562E8A">
        <w:rPr>
          <w:rFonts w:ascii="Times New Roman" w:hAnsi="Times New Roman" w:cs="Times New Roman"/>
          <w:b/>
          <w:sz w:val="24"/>
          <w:szCs w:val="24"/>
        </w:rPr>
        <w:t>808</w:t>
      </w:r>
      <w:r w:rsidRPr="00562E8A">
        <w:rPr>
          <w:rFonts w:ascii="Times New Roman" w:hAnsi="Times New Roman" w:cs="Times New Roman"/>
          <w:sz w:val="24"/>
          <w:szCs w:val="24"/>
        </w:rPr>
        <w:t>:315-325.</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Halldorsson, G., B. D. Sigurdsson, B. Hrafnkelsdottir, E. S. Oddsdottir, O. Eggertsson, and E. Olafsson. 2013. New arthropod herbivores on trees and shrubs in Iceland and changes in pest dynamics: A review. Icelandic Agricultural Sciences </w:t>
      </w:r>
      <w:r w:rsidRPr="00562E8A">
        <w:rPr>
          <w:rFonts w:ascii="Times New Roman" w:hAnsi="Times New Roman" w:cs="Times New Roman"/>
          <w:b/>
          <w:sz w:val="24"/>
          <w:szCs w:val="24"/>
        </w:rPr>
        <w:t>26</w:t>
      </w:r>
      <w:r w:rsidRPr="00562E8A">
        <w:rPr>
          <w:rFonts w:ascii="Times New Roman" w:hAnsi="Times New Roman" w:cs="Times New Roman"/>
          <w:sz w:val="24"/>
          <w:szCs w:val="24"/>
        </w:rPr>
        <w:t>:69-84.</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lang w:val="nb-NO"/>
        </w:rPr>
      </w:pPr>
      <w:r w:rsidRPr="00562E8A">
        <w:rPr>
          <w:rFonts w:ascii="Times New Roman" w:hAnsi="Times New Roman" w:cs="Times New Roman"/>
          <w:sz w:val="24"/>
          <w:szCs w:val="24"/>
          <w:lang w:val="nb-NO"/>
        </w:rPr>
        <w:t xml:space="preserve">Hallmann, C. A., M. Sorg, E. Jongejans, H. Siepel, N. Hofland, H. Schwan, W. Stenmans, A. Müller, </w:t>
      </w:r>
      <w:r w:rsidR="00562E8A" w:rsidRPr="00562E8A">
        <w:rPr>
          <w:rFonts w:ascii="Times New Roman" w:hAnsi="Times New Roman" w:cs="Times New Roman"/>
          <w:sz w:val="24"/>
          <w:szCs w:val="24"/>
          <w:lang w:val="nb-NO"/>
        </w:rPr>
        <w:t>et al</w:t>
      </w:r>
      <w:r w:rsidRPr="00562E8A">
        <w:rPr>
          <w:rFonts w:ascii="Times New Roman" w:hAnsi="Times New Roman" w:cs="Times New Roman"/>
          <w:sz w:val="24"/>
          <w:szCs w:val="24"/>
          <w:lang w:val="nb-NO"/>
        </w:rPr>
        <w:t xml:space="preserve">. 2017. </w:t>
      </w:r>
      <w:r w:rsidRPr="00562E8A">
        <w:rPr>
          <w:rFonts w:ascii="Times New Roman" w:hAnsi="Times New Roman" w:cs="Times New Roman"/>
          <w:sz w:val="24"/>
          <w:szCs w:val="24"/>
        </w:rPr>
        <w:t xml:space="preserve">More than 75 percent decline over 27 years in total flying insect biomass in protected areas. </w:t>
      </w:r>
      <w:r w:rsidRPr="00562E8A">
        <w:rPr>
          <w:rFonts w:ascii="Times New Roman" w:hAnsi="Times New Roman" w:cs="Times New Roman"/>
          <w:sz w:val="24"/>
          <w:szCs w:val="24"/>
          <w:lang w:val="nb-NO"/>
        </w:rPr>
        <w:t xml:space="preserve">PLOS ONE </w:t>
      </w:r>
      <w:r w:rsidRPr="00562E8A">
        <w:rPr>
          <w:rFonts w:ascii="Times New Roman" w:hAnsi="Times New Roman" w:cs="Times New Roman"/>
          <w:b/>
          <w:sz w:val="24"/>
          <w:szCs w:val="24"/>
          <w:lang w:val="nb-NO"/>
        </w:rPr>
        <w:t>12</w:t>
      </w:r>
      <w:r w:rsidRPr="00562E8A">
        <w:rPr>
          <w:rFonts w:ascii="Times New Roman" w:hAnsi="Times New Roman" w:cs="Times New Roman"/>
          <w:sz w:val="24"/>
          <w:szCs w:val="24"/>
          <w:lang w:val="nb-NO"/>
        </w:rPr>
        <w:t>:e0185809.</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Hansen, R. R., O. L. P. Hansen, J. J. Bowden, U. A. Treier, S. Normand, and T. Hoye. 2016. </w:t>
      </w:r>
      <w:r w:rsidRPr="00562E8A">
        <w:rPr>
          <w:rFonts w:ascii="Times New Roman" w:hAnsi="Times New Roman" w:cs="Times New Roman"/>
          <w:sz w:val="24"/>
          <w:szCs w:val="24"/>
        </w:rPr>
        <w:t xml:space="preserve">Meter scale variation in shrub dominance and soil moisture structure Arctic arthropod communities. Peerj </w:t>
      </w:r>
      <w:r w:rsidRPr="00562E8A">
        <w:rPr>
          <w:rFonts w:ascii="Times New Roman" w:hAnsi="Times New Roman" w:cs="Times New Roman"/>
          <w:b/>
          <w:sz w:val="24"/>
          <w:szCs w:val="24"/>
        </w:rPr>
        <w:t>4</w:t>
      </w:r>
      <w:r w:rsidRPr="00562E8A">
        <w:rPr>
          <w:rFonts w:ascii="Times New Roman" w:hAnsi="Times New Roman" w:cs="Times New Roman"/>
          <w:sz w:val="24"/>
          <w:szCs w:val="24"/>
        </w:rPr>
        <w:t>.</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Hodkinson, I. D., A. Babenko, V. Behan-Pelletier, J. Böcher, G. Boxshall, F. Brodo, S. J. Coulson, W. H. De Smet, </w:t>
      </w:r>
      <w:r w:rsidR="00562E8A" w:rsidRPr="00562E8A">
        <w:rPr>
          <w:rFonts w:ascii="Times New Roman" w:hAnsi="Times New Roman" w:cs="Times New Roman"/>
          <w:sz w:val="24"/>
          <w:szCs w:val="24"/>
          <w:lang w:val="nb-NO"/>
        </w:rPr>
        <w:t>et al</w:t>
      </w:r>
      <w:r w:rsidRPr="00562E8A">
        <w:rPr>
          <w:rFonts w:ascii="Times New Roman" w:hAnsi="Times New Roman" w:cs="Times New Roman"/>
          <w:sz w:val="24"/>
          <w:szCs w:val="24"/>
          <w:lang w:val="nb-NO"/>
        </w:rPr>
        <w:t xml:space="preserve">. 2013. </w:t>
      </w:r>
      <w:r w:rsidRPr="00562E8A">
        <w:rPr>
          <w:rFonts w:ascii="Times New Roman" w:hAnsi="Times New Roman" w:cs="Times New Roman"/>
          <w:sz w:val="24"/>
          <w:szCs w:val="24"/>
        </w:rPr>
        <w:t>Terrestrial and Freshwater Invertebrates.</w:t>
      </w:r>
      <w:r w:rsidRPr="00562E8A">
        <w:rPr>
          <w:rFonts w:ascii="Times New Roman" w:hAnsi="Times New Roman" w:cs="Times New Roman"/>
          <w:i/>
          <w:sz w:val="24"/>
          <w:szCs w:val="24"/>
        </w:rPr>
        <w:t>in</w:t>
      </w:r>
      <w:r w:rsidRPr="00562E8A">
        <w:rPr>
          <w:rFonts w:ascii="Times New Roman" w:hAnsi="Times New Roman" w:cs="Times New Roman"/>
          <w:sz w:val="24"/>
          <w:szCs w:val="24"/>
        </w:rPr>
        <w:t xml:space="preserve"> H. e. a. Meltofte, editor. Arctic Biodiversity Assessment. Status and trends in Arctic biodiversity, Conservation of Arctic Flora and Fauna, Akureyri.</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Hodkinson, I. D., and S. J. Coulson. 2004. Are high Arctic terrestrial food chains really that simple? The Bear Island food web revisited. Oikos </w:t>
      </w:r>
      <w:r w:rsidRPr="00562E8A">
        <w:rPr>
          <w:rFonts w:ascii="Times New Roman" w:hAnsi="Times New Roman" w:cs="Times New Roman"/>
          <w:b/>
          <w:sz w:val="24"/>
          <w:szCs w:val="24"/>
        </w:rPr>
        <w:t>106</w:t>
      </w:r>
      <w:r w:rsidRPr="00562E8A">
        <w:rPr>
          <w:rFonts w:ascii="Times New Roman" w:hAnsi="Times New Roman" w:cs="Times New Roman"/>
          <w:sz w:val="24"/>
          <w:szCs w:val="24"/>
        </w:rPr>
        <w:t>:427-431.</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Hodkinson, I. D., S. J. Coulson, and N. R. Webb. 2004. Invertebrate community assembly along proglacial chronosequences in the high Arctic. Journal of Animal Ecology </w:t>
      </w:r>
      <w:r w:rsidRPr="00562E8A">
        <w:rPr>
          <w:rFonts w:ascii="Times New Roman" w:hAnsi="Times New Roman" w:cs="Times New Roman"/>
          <w:b/>
          <w:sz w:val="24"/>
          <w:szCs w:val="24"/>
        </w:rPr>
        <w:t>73</w:t>
      </w:r>
      <w:r w:rsidRPr="00562E8A">
        <w:rPr>
          <w:rFonts w:ascii="Times New Roman" w:hAnsi="Times New Roman" w:cs="Times New Roman"/>
          <w:sz w:val="24"/>
          <w:szCs w:val="24"/>
        </w:rPr>
        <w:t>:556-568.</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Høye, T. T., and L. E. Culler. 2018. Tundra arthropods provide key insights into ecological responses to environmental change. Polar Biology </w:t>
      </w:r>
      <w:r w:rsidRPr="00562E8A">
        <w:rPr>
          <w:rFonts w:ascii="Times New Roman" w:hAnsi="Times New Roman" w:cs="Times New Roman"/>
          <w:b/>
          <w:sz w:val="24"/>
          <w:szCs w:val="24"/>
        </w:rPr>
        <w:t>41</w:t>
      </w:r>
      <w:r w:rsidRPr="00562E8A">
        <w:rPr>
          <w:rFonts w:ascii="Times New Roman" w:hAnsi="Times New Roman" w:cs="Times New Roman"/>
          <w:sz w:val="24"/>
          <w:szCs w:val="24"/>
        </w:rPr>
        <w:t>:1523-1529.</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Høye, T. T., E. Post, H. Meltofte, N. M. Schmidt, and M. C. Forchhammer. 2007. Rapid advancement of spring in the High Arctic. Curr Biol </w:t>
      </w:r>
      <w:r w:rsidRPr="00562E8A">
        <w:rPr>
          <w:rFonts w:ascii="Times New Roman" w:hAnsi="Times New Roman" w:cs="Times New Roman"/>
          <w:b/>
          <w:sz w:val="24"/>
          <w:szCs w:val="24"/>
        </w:rPr>
        <w:t>17</w:t>
      </w:r>
      <w:r w:rsidRPr="00562E8A">
        <w:rPr>
          <w:rFonts w:ascii="Times New Roman" w:hAnsi="Times New Roman" w:cs="Times New Roman"/>
          <w:sz w:val="24"/>
          <w:szCs w:val="24"/>
        </w:rPr>
        <w:t>.</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Høye, T. T., and D. S. Sikes. 2013. Arctic entomology in the 21st century. Canadian Entomologist </w:t>
      </w:r>
      <w:r w:rsidRPr="00562E8A">
        <w:rPr>
          <w:rFonts w:ascii="Times New Roman" w:hAnsi="Times New Roman" w:cs="Times New Roman"/>
          <w:b/>
          <w:sz w:val="24"/>
          <w:szCs w:val="24"/>
        </w:rPr>
        <w:t>145</w:t>
      </w:r>
      <w:r w:rsidRPr="00562E8A">
        <w:rPr>
          <w:rFonts w:ascii="Times New Roman" w:hAnsi="Times New Roman" w:cs="Times New Roman"/>
          <w:sz w:val="24"/>
          <w:szCs w:val="24"/>
        </w:rPr>
        <w:t>:125-130.</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Jepsen, J. U., L. Kapari, S. B. Hagen, T. Schott, O. P. L. Vindstad, A. C. Nilssen, and R. A. Ims. 2011. Rapid northwards expansion of a forest insect pest attributed to spring phenology matching with sub-Arctic birch. Global Change Biology </w:t>
      </w:r>
      <w:r w:rsidRPr="00562E8A">
        <w:rPr>
          <w:rFonts w:ascii="Times New Roman" w:hAnsi="Times New Roman" w:cs="Times New Roman"/>
          <w:b/>
          <w:sz w:val="24"/>
          <w:szCs w:val="24"/>
        </w:rPr>
        <w:t>17</w:t>
      </w:r>
      <w:r w:rsidRPr="00562E8A">
        <w:rPr>
          <w:rFonts w:ascii="Times New Roman" w:hAnsi="Times New Roman" w:cs="Times New Roman"/>
          <w:sz w:val="24"/>
          <w:szCs w:val="24"/>
        </w:rPr>
        <w:t>:2071-2083.</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Koltz, A. M., A. Asmus, L. Gough, Y. Pressler, and J. C. Moore. 2017. The detritus-based microbial-invertebrate food web contributes disproportionately to carbon and nitrogen cycling in the Arctic. Polar Biology.</w:t>
      </w:r>
      <w:r w:rsidR="00562E8A">
        <w:rPr>
          <w:rFonts w:ascii="Times New Roman" w:hAnsi="Times New Roman" w:cs="Times New Roman"/>
          <w:sz w:val="24"/>
          <w:szCs w:val="24"/>
        </w:rPr>
        <w:t xml:space="preserve"> </w:t>
      </w:r>
      <w:r w:rsidR="00562E8A" w:rsidRPr="00562E8A">
        <w:rPr>
          <w:rFonts w:ascii="Times New Roman" w:hAnsi="Times New Roman" w:cs="Times New Roman"/>
          <w:sz w:val="24"/>
          <w:szCs w:val="24"/>
        </w:rPr>
        <w:t>41: 1531.</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Koltz, A. M., N. M. Schmidt, and T. T. Høye. 2018. Differential arthropod responses to warming are altering the structure of Arctic communities. Royal Society Open Science </w:t>
      </w:r>
      <w:r w:rsidRPr="00562E8A">
        <w:rPr>
          <w:rFonts w:ascii="Times New Roman" w:hAnsi="Times New Roman" w:cs="Times New Roman"/>
          <w:b/>
          <w:sz w:val="24"/>
          <w:szCs w:val="24"/>
        </w:rPr>
        <w:t>5</w:t>
      </w:r>
      <w:r w:rsidR="00562E8A">
        <w:rPr>
          <w:rFonts w:ascii="Times New Roman" w:hAnsi="Times New Roman" w:cs="Times New Roman"/>
          <w:sz w:val="24"/>
          <w:szCs w:val="24"/>
        </w:rPr>
        <w:t xml:space="preserve"> (4), p171503.</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Lindroth, C. H. 1957. The faunal connections between Europe and North America. John Wiley, New York.</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Lister, B. C., and A. Garcia. 2018. Climate-driven declines in arthropod abundance restructure a rainforest food web. Proceedings of the National Academy of Sciences </w:t>
      </w:r>
      <w:r w:rsidRPr="00562E8A">
        <w:rPr>
          <w:rFonts w:ascii="Times New Roman" w:hAnsi="Times New Roman" w:cs="Times New Roman"/>
          <w:b/>
          <w:sz w:val="24"/>
          <w:szCs w:val="24"/>
        </w:rPr>
        <w:t>115</w:t>
      </w:r>
      <w:r w:rsidRPr="00562E8A">
        <w:rPr>
          <w:rFonts w:ascii="Times New Roman" w:hAnsi="Times New Roman" w:cs="Times New Roman"/>
          <w:sz w:val="24"/>
          <w:szCs w:val="24"/>
        </w:rPr>
        <w:t>:E10397-E10406.</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Loboda, S., J. Savage, C. M. Buddle, N. M. Schmidt, and T. T. Hoye. 2018. Declining diversity and abundance of High Arctic fly assemblages over two decades of rapid climate warming. Ecography </w:t>
      </w:r>
      <w:r w:rsidRPr="00562E8A">
        <w:rPr>
          <w:rFonts w:ascii="Times New Roman" w:hAnsi="Times New Roman" w:cs="Times New Roman"/>
          <w:b/>
          <w:sz w:val="24"/>
          <w:szCs w:val="24"/>
        </w:rPr>
        <w:t>41</w:t>
      </w:r>
      <w:r w:rsidRPr="00562E8A">
        <w:rPr>
          <w:rFonts w:ascii="Times New Roman" w:hAnsi="Times New Roman" w:cs="Times New Roman"/>
          <w:sz w:val="24"/>
          <w:szCs w:val="24"/>
        </w:rPr>
        <w:t>:265-277.</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Mallory, M. L., M. R. Forbes, and T. D. Galloway. 2006. Ectoparasites of northern fulmars Fulmarus glacialis (Procellariiformes : Procellariidae) from the Canadian Arctic. Polar Biology </w:t>
      </w:r>
      <w:r w:rsidRPr="00562E8A">
        <w:rPr>
          <w:rFonts w:ascii="Times New Roman" w:hAnsi="Times New Roman" w:cs="Times New Roman"/>
          <w:b/>
          <w:sz w:val="24"/>
          <w:szCs w:val="24"/>
        </w:rPr>
        <w:t>29</w:t>
      </w:r>
      <w:r w:rsidRPr="00562E8A">
        <w:rPr>
          <w:rFonts w:ascii="Times New Roman" w:hAnsi="Times New Roman" w:cs="Times New Roman"/>
          <w:sz w:val="24"/>
          <w:szCs w:val="24"/>
        </w:rPr>
        <w:t>:353-357.</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Michelsen, V. 2015. Anthomyiidae, Fannidae, Muscidae and Scathophagidae (the Muscidae family group).</w:t>
      </w:r>
      <w:r w:rsidRPr="00562E8A">
        <w:rPr>
          <w:rFonts w:ascii="Times New Roman" w:hAnsi="Times New Roman" w:cs="Times New Roman"/>
          <w:i/>
          <w:sz w:val="24"/>
          <w:szCs w:val="24"/>
        </w:rPr>
        <w:t>in</w:t>
      </w:r>
      <w:r w:rsidRPr="00562E8A">
        <w:rPr>
          <w:rFonts w:ascii="Times New Roman" w:hAnsi="Times New Roman" w:cs="Times New Roman"/>
          <w:sz w:val="24"/>
          <w:szCs w:val="24"/>
        </w:rPr>
        <w:t xml:space="preserve"> J. Böcher, K. Kristensen, T. Pape, and L. Vilhelmsen, editors. The Greenland Entomofauna: An Identification Manual of Insects, Spiders and Their Allies. Koninklijke Brill, Leiden, The Netherlands.</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Müllerová, J., J. Elsterová, J. Černý, O. Ditrich, J. Žárský, L. E. Culler, H. Kampen, D. Walther, </w:t>
      </w:r>
      <w:r w:rsidR="00562E8A">
        <w:rPr>
          <w:rFonts w:ascii="Times New Roman" w:hAnsi="Times New Roman" w:cs="Times New Roman"/>
          <w:sz w:val="24"/>
          <w:szCs w:val="24"/>
        </w:rPr>
        <w:t>et al</w:t>
      </w:r>
      <w:r w:rsidRPr="00562E8A">
        <w:rPr>
          <w:rFonts w:ascii="Times New Roman" w:hAnsi="Times New Roman" w:cs="Times New Roman"/>
          <w:sz w:val="24"/>
          <w:szCs w:val="24"/>
        </w:rPr>
        <w:t>. 2018. No indication of arthropod-vectored viruses in mosquitoes (Diptera: Culicidae) collected on Greenland and Svalbard. Polar Biology.</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Ott, D., B. C. Rall, and U. Brose. 2012. Climate change effects on macrofaunal litter decomposition: the interplay of temperature, body masses and stoichiometry. Philosophical Transactions of the Royal Society B: Biological Sciences </w:t>
      </w:r>
      <w:r w:rsidRPr="00562E8A">
        <w:rPr>
          <w:rFonts w:ascii="Times New Roman" w:hAnsi="Times New Roman" w:cs="Times New Roman"/>
          <w:b/>
          <w:sz w:val="24"/>
          <w:szCs w:val="24"/>
        </w:rPr>
        <w:t>367</w:t>
      </w:r>
      <w:r w:rsidRPr="00562E8A">
        <w:rPr>
          <w:rFonts w:ascii="Times New Roman" w:hAnsi="Times New Roman" w:cs="Times New Roman"/>
          <w:sz w:val="24"/>
          <w:szCs w:val="24"/>
        </w:rPr>
        <w:t>:3025-3032.</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Porter, T. M., and M. Hajibabaei. 2018. Scaling up: A guide to high-throughput genomic approaches for biodiversity analysis. Molecular Ecology </w:t>
      </w:r>
      <w:r w:rsidRPr="00562E8A">
        <w:rPr>
          <w:rFonts w:ascii="Times New Roman" w:hAnsi="Times New Roman" w:cs="Times New Roman"/>
          <w:b/>
          <w:sz w:val="24"/>
          <w:szCs w:val="24"/>
        </w:rPr>
        <w:t>27</w:t>
      </w:r>
      <w:r w:rsidRPr="00562E8A">
        <w:rPr>
          <w:rFonts w:ascii="Times New Roman" w:hAnsi="Times New Roman" w:cs="Times New Roman"/>
          <w:sz w:val="24"/>
          <w:szCs w:val="24"/>
        </w:rPr>
        <w:t>:313-338.</w:t>
      </w:r>
    </w:p>
    <w:p w:rsidR="00562E8A" w:rsidRPr="00562E8A" w:rsidRDefault="00562E8A" w:rsidP="00562E8A">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R Core Team</w:t>
      </w:r>
      <w:r w:rsidRPr="00562E8A">
        <w:rPr>
          <w:rFonts w:ascii="Times New Roman" w:hAnsi="Times New Roman" w:cs="Times New Roman"/>
          <w:sz w:val="24"/>
          <w:szCs w:val="24"/>
        </w:rPr>
        <w:t>. 2018. R: A Language and Environment for Statistical Computing. R Foundation for Statistical Computing, Vienna, Austria.</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Reneerkens, J., N. M. Schmidt, O. Gilg, J. Hansen, L. H. Hansen, J. Moreau, and T. Piersma. 2016. Effects of food abundance and early clutch predation on reproductive timing in a high Arctic shorebird exposed to advancements in arthropod abundance. Ecology and Evolution </w:t>
      </w:r>
      <w:r w:rsidRPr="00562E8A">
        <w:rPr>
          <w:rFonts w:ascii="Times New Roman" w:hAnsi="Times New Roman" w:cs="Times New Roman"/>
          <w:b/>
          <w:sz w:val="24"/>
          <w:szCs w:val="24"/>
        </w:rPr>
        <w:t>6</w:t>
      </w:r>
      <w:r w:rsidRPr="00562E8A">
        <w:rPr>
          <w:rFonts w:ascii="Times New Roman" w:hAnsi="Times New Roman" w:cs="Times New Roman"/>
          <w:sz w:val="24"/>
          <w:szCs w:val="24"/>
        </w:rPr>
        <w:t>:7375-7386.</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Roslin, T., H. Wirta, T. Hopkins, B. Hardwick, and G. Varkonyi. 2013. Indirect Interactions in the High Arctic. PLOS ONE </w:t>
      </w:r>
      <w:r w:rsidRPr="00562E8A">
        <w:rPr>
          <w:rFonts w:ascii="Times New Roman" w:hAnsi="Times New Roman" w:cs="Times New Roman"/>
          <w:b/>
          <w:sz w:val="24"/>
          <w:szCs w:val="24"/>
        </w:rPr>
        <w:t>8</w:t>
      </w:r>
      <w:r w:rsidRPr="00562E8A">
        <w:rPr>
          <w:rFonts w:ascii="Times New Roman" w:hAnsi="Times New Roman" w:cs="Times New Roman"/>
          <w:sz w:val="24"/>
          <w:szCs w:val="24"/>
        </w:rPr>
        <w:t>.</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Schmidt, N. M., B. Hardwick, O. Gilg, T. T. Hoye, P. H. Krogh, H. Meltofte, A. Michelsen, J. B. Mosbacher, </w:t>
      </w:r>
      <w:r w:rsidR="00562E8A" w:rsidRPr="00562E8A">
        <w:rPr>
          <w:rFonts w:ascii="Times New Roman" w:hAnsi="Times New Roman" w:cs="Times New Roman"/>
          <w:sz w:val="24"/>
          <w:szCs w:val="24"/>
          <w:lang w:val="nb-NO"/>
        </w:rPr>
        <w:t>et al</w:t>
      </w:r>
      <w:r w:rsidRPr="00562E8A">
        <w:rPr>
          <w:rFonts w:ascii="Times New Roman" w:hAnsi="Times New Roman" w:cs="Times New Roman"/>
          <w:sz w:val="24"/>
          <w:szCs w:val="24"/>
          <w:lang w:val="nb-NO"/>
        </w:rPr>
        <w:t xml:space="preserve">. 2017. </w:t>
      </w:r>
      <w:r w:rsidRPr="00562E8A">
        <w:rPr>
          <w:rFonts w:ascii="Times New Roman" w:hAnsi="Times New Roman" w:cs="Times New Roman"/>
          <w:sz w:val="24"/>
          <w:szCs w:val="24"/>
        </w:rPr>
        <w:t xml:space="preserve">Interaction webs in arctic ecosystems: Determinants of arctic change? Ambio </w:t>
      </w:r>
      <w:r w:rsidRPr="00562E8A">
        <w:rPr>
          <w:rFonts w:ascii="Times New Roman" w:hAnsi="Times New Roman" w:cs="Times New Roman"/>
          <w:b/>
          <w:sz w:val="24"/>
          <w:szCs w:val="24"/>
        </w:rPr>
        <w:t>46</w:t>
      </w:r>
      <w:r w:rsidRPr="00562E8A">
        <w:rPr>
          <w:rFonts w:ascii="Times New Roman" w:hAnsi="Times New Roman" w:cs="Times New Roman"/>
          <w:sz w:val="24"/>
          <w:szCs w:val="24"/>
        </w:rPr>
        <w:t>:S12-S25.</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Tiusanen, M., P. D. N. Hebert, N. M. Schmidt, and T. Roslin. 2016. One fly to rule them all-muscid flies are the key pollinators in the Arctic. Proceedings of the Royal Society B-Biological Sciences </w:t>
      </w:r>
      <w:r w:rsidRPr="00562E8A">
        <w:rPr>
          <w:rFonts w:ascii="Times New Roman" w:hAnsi="Times New Roman" w:cs="Times New Roman"/>
          <w:b/>
          <w:sz w:val="24"/>
          <w:szCs w:val="24"/>
        </w:rPr>
        <w:t>283</w:t>
      </w:r>
      <w:r w:rsidRPr="00562E8A">
        <w:rPr>
          <w:rFonts w:ascii="Times New Roman" w:hAnsi="Times New Roman" w:cs="Times New Roman"/>
          <w:sz w:val="24"/>
          <w:szCs w:val="24"/>
        </w:rPr>
        <w:t>:8.</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Urbanowicz, C., R. A. Virginia, and R. E. Irwin. 2017. The response of pollen-transport networks to landscape-scale climate variation. Polar Biology </w:t>
      </w:r>
      <w:r w:rsidRPr="00562E8A">
        <w:rPr>
          <w:rFonts w:ascii="Times New Roman" w:hAnsi="Times New Roman" w:cs="Times New Roman"/>
          <w:b/>
          <w:sz w:val="24"/>
          <w:szCs w:val="24"/>
        </w:rPr>
        <w:t>40</w:t>
      </w:r>
      <w:r w:rsidRPr="00562E8A">
        <w:rPr>
          <w:rFonts w:ascii="Times New Roman" w:hAnsi="Times New Roman" w:cs="Times New Roman"/>
          <w:sz w:val="24"/>
          <w:szCs w:val="24"/>
        </w:rPr>
        <w:t>:2253-2263.</w:t>
      </w:r>
    </w:p>
    <w:p w:rsidR="000C149F" w:rsidRPr="00562E8A" w:rsidRDefault="000C149F" w:rsidP="00562E8A">
      <w:pPr>
        <w:pStyle w:val="EndNoteBibliography"/>
        <w:spacing w:after="0"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lang w:val="nb-NO"/>
        </w:rPr>
        <w:t xml:space="preserve">Wirta, H. K., E. J. Vesterinen, P. A. Hambäck, E. Weingartner, C. Rasmussen, J. Reneerkens, N. M. Schmidt, O. Gilg, </w:t>
      </w:r>
      <w:r w:rsidR="00562E8A" w:rsidRPr="00562E8A">
        <w:rPr>
          <w:rFonts w:ascii="Times New Roman" w:hAnsi="Times New Roman" w:cs="Times New Roman"/>
          <w:sz w:val="24"/>
          <w:szCs w:val="24"/>
          <w:lang w:val="nb-NO"/>
        </w:rPr>
        <w:t>et al</w:t>
      </w:r>
      <w:r w:rsidRPr="00562E8A">
        <w:rPr>
          <w:rFonts w:ascii="Times New Roman" w:hAnsi="Times New Roman" w:cs="Times New Roman"/>
          <w:sz w:val="24"/>
          <w:szCs w:val="24"/>
          <w:lang w:val="nb-NO"/>
        </w:rPr>
        <w:t xml:space="preserve">. 2015. </w:t>
      </w:r>
      <w:r w:rsidRPr="00562E8A">
        <w:rPr>
          <w:rFonts w:ascii="Times New Roman" w:hAnsi="Times New Roman" w:cs="Times New Roman"/>
          <w:sz w:val="24"/>
          <w:szCs w:val="24"/>
        </w:rPr>
        <w:t xml:space="preserve">Exposing the structure of an Arctic food web. Ecology and Evolution </w:t>
      </w:r>
      <w:r w:rsidRPr="00562E8A">
        <w:rPr>
          <w:rFonts w:ascii="Times New Roman" w:hAnsi="Times New Roman" w:cs="Times New Roman"/>
          <w:b/>
          <w:sz w:val="24"/>
          <w:szCs w:val="24"/>
        </w:rPr>
        <w:t>5</w:t>
      </w:r>
      <w:r w:rsidRPr="00562E8A">
        <w:rPr>
          <w:rFonts w:ascii="Times New Roman" w:hAnsi="Times New Roman" w:cs="Times New Roman"/>
          <w:sz w:val="24"/>
          <w:szCs w:val="24"/>
        </w:rPr>
        <w:t>:3842-3856.</w:t>
      </w:r>
    </w:p>
    <w:p w:rsidR="000C149F" w:rsidRPr="00562E8A" w:rsidRDefault="000C149F" w:rsidP="00562E8A">
      <w:pPr>
        <w:pStyle w:val="EndNoteBibliography"/>
        <w:spacing w:line="480" w:lineRule="auto"/>
        <w:ind w:left="720" w:hanging="720"/>
        <w:rPr>
          <w:rFonts w:ascii="Times New Roman" w:hAnsi="Times New Roman" w:cs="Times New Roman"/>
          <w:sz w:val="24"/>
          <w:szCs w:val="24"/>
        </w:rPr>
      </w:pPr>
      <w:r w:rsidRPr="00562E8A">
        <w:rPr>
          <w:rFonts w:ascii="Times New Roman" w:hAnsi="Times New Roman" w:cs="Times New Roman"/>
          <w:sz w:val="24"/>
          <w:szCs w:val="24"/>
        </w:rPr>
        <w:t xml:space="preserve">Witter, L. A., C. J. Johnson, B. Croft, A. Gunn, and M. P. Gillingham. 2012. Behavioural trade-offs in response to external stimuli: time allocation of an Arctic ungulate during varying intensities of harassment by parasitic flies. Journal of Animal Ecology </w:t>
      </w:r>
      <w:r w:rsidRPr="00562E8A">
        <w:rPr>
          <w:rFonts w:ascii="Times New Roman" w:hAnsi="Times New Roman" w:cs="Times New Roman"/>
          <w:b/>
          <w:sz w:val="24"/>
          <w:szCs w:val="24"/>
        </w:rPr>
        <w:t>81</w:t>
      </w:r>
      <w:r w:rsidRPr="00562E8A">
        <w:rPr>
          <w:rFonts w:ascii="Times New Roman" w:hAnsi="Times New Roman" w:cs="Times New Roman"/>
          <w:sz w:val="24"/>
          <w:szCs w:val="24"/>
        </w:rPr>
        <w:t>:284-295.</w:t>
      </w:r>
    </w:p>
    <w:p w:rsidR="000C149F" w:rsidRDefault="000C149F" w:rsidP="008A0E05">
      <w:pPr>
        <w:spacing w:after="0" w:line="480" w:lineRule="auto"/>
        <w:rPr>
          <w:rFonts w:ascii="Times New Roman" w:hAnsi="Times New Roman" w:cs="Times New Roman"/>
          <w:sz w:val="24"/>
          <w:szCs w:val="24"/>
        </w:rPr>
      </w:pPr>
    </w:p>
    <w:p w:rsidR="000C149F" w:rsidRPr="00F62056" w:rsidRDefault="000C149F" w:rsidP="008A0E05">
      <w:pPr>
        <w:rPr>
          <w:rFonts w:ascii="Times New Roman" w:hAnsi="Times New Roman" w:cs="Times New Roman"/>
          <w:sz w:val="24"/>
          <w:szCs w:val="24"/>
        </w:rPr>
      </w:pPr>
    </w:p>
    <w:p w:rsidR="008A0E05" w:rsidRDefault="008A0E05"/>
    <w:sectPr w:rsidR="008A0E05" w:rsidSect="00562E8A">
      <w:footerReference w:type="default" r:id="rId1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8640A">
      <w:pPr>
        <w:spacing w:after="0" w:line="240" w:lineRule="auto"/>
      </w:pPr>
      <w:r>
        <w:separator/>
      </w:r>
    </w:p>
  </w:endnote>
  <w:endnote w:type="continuationSeparator" w:id="0">
    <w:p w:rsidR="00000000" w:rsidRDefault="0028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869054"/>
      <w:docPartObj>
        <w:docPartGallery w:val="Page Numbers (Bottom of Page)"/>
        <w:docPartUnique/>
      </w:docPartObj>
    </w:sdtPr>
    <w:sdtEndPr/>
    <w:sdtContent>
      <w:p w:rsidR="008A0E05" w:rsidRDefault="008A0E05">
        <w:pPr>
          <w:pStyle w:val="Footer"/>
          <w:jc w:val="right"/>
        </w:pPr>
        <w:r>
          <w:fldChar w:fldCharType="begin"/>
        </w:r>
        <w:r>
          <w:instrText>PAGE   \* MERGEFORMAT</w:instrText>
        </w:r>
        <w:r>
          <w:fldChar w:fldCharType="separate"/>
        </w:r>
        <w:r w:rsidR="0028640A" w:rsidRPr="0028640A">
          <w:rPr>
            <w:noProof/>
            <w:lang w:val="nb-NO"/>
          </w:rPr>
          <w:t>1</w:t>
        </w:r>
        <w:r>
          <w:fldChar w:fldCharType="end"/>
        </w:r>
      </w:p>
    </w:sdtContent>
  </w:sdt>
  <w:p w:rsidR="008A0E05" w:rsidRDefault="008A0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8640A">
      <w:pPr>
        <w:spacing w:after="0" w:line="240" w:lineRule="auto"/>
      </w:pPr>
      <w:r>
        <w:separator/>
      </w:r>
    </w:p>
  </w:footnote>
  <w:footnote w:type="continuationSeparator" w:id="0">
    <w:p w:rsidR="00000000" w:rsidRDefault="00286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997"/>
    <w:multiLevelType w:val="hybridMultilevel"/>
    <w:tmpl w:val="F26012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B9176AD"/>
    <w:multiLevelType w:val="hybridMultilevel"/>
    <w:tmpl w:val="E7F659E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B716F0"/>
    <w:multiLevelType w:val="multilevel"/>
    <w:tmpl w:val="A8B23BD0"/>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90F0E35"/>
    <w:multiLevelType w:val="hybridMultilevel"/>
    <w:tmpl w:val="6CEC0238"/>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 w15:restartNumberingAfterBreak="0">
    <w:nsid w:val="25B96633"/>
    <w:multiLevelType w:val="hybridMultilevel"/>
    <w:tmpl w:val="E03CF2A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A4D0140"/>
    <w:multiLevelType w:val="hybridMultilevel"/>
    <w:tmpl w:val="133EB1F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A9B44C4"/>
    <w:multiLevelType w:val="multilevel"/>
    <w:tmpl w:val="BF1054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37832F1"/>
    <w:multiLevelType w:val="multilevel"/>
    <w:tmpl w:val="0414001D"/>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34444321"/>
    <w:multiLevelType w:val="hybridMultilevel"/>
    <w:tmpl w:val="B66A94B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AF474E4"/>
    <w:multiLevelType w:val="hybridMultilevel"/>
    <w:tmpl w:val="ECFC2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D744672"/>
    <w:multiLevelType w:val="hybridMultilevel"/>
    <w:tmpl w:val="93547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C74606"/>
    <w:multiLevelType w:val="hybridMultilevel"/>
    <w:tmpl w:val="1BACE7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5B2182"/>
    <w:multiLevelType w:val="multilevel"/>
    <w:tmpl w:val="0414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49CA15E8"/>
    <w:multiLevelType w:val="hybridMultilevel"/>
    <w:tmpl w:val="36C8EB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F604D99"/>
    <w:multiLevelType w:val="hybridMultilevel"/>
    <w:tmpl w:val="FC9ED140"/>
    <w:lvl w:ilvl="0" w:tplc="2EA4CD20">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5" w15:restartNumberingAfterBreak="0">
    <w:nsid w:val="6837619C"/>
    <w:multiLevelType w:val="hybridMultilevel"/>
    <w:tmpl w:val="DD7209C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699136BE"/>
    <w:multiLevelType w:val="hybridMultilevel"/>
    <w:tmpl w:val="890E84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3D03C6F"/>
    <w:multiLevelType w:val="multilevel"/>
    <w:tmpl w:val="70ECAA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EF7A96"/>
    <w:multiLevelType w:val="hybridMultilevel"/>
    <w:tmpl w:val="B8EE20E4"/>
    <w:lvl w:ilvl="0" w:tplc="3A1466BC">
      <w:start w:val="1"/>
      <w:numFmt w:val="decimal"/>
      <w:lvlText w:val="%1."/>
      <w:lvlJc w:val="left"/>
      <w:pPr>
        <w:ind w:left="720" w:hanging="360"/>
      </w:pPr>
      <w:rPr>
        <w:rFonts w:hint="default"/>
        <w:sz w:val="1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C744AA1"/>
    <w:multiLevelType w:val="hybridMultilevel"/>
    <w:tmpl w:val="F260120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7E310012"/>
    <w:multiLevelType w:val="hybridMultilevel"/>
    <w:tmpl w:val="F37ED54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0"/>
  </w:num>
  <w:num w:numId="2">
    <w:abstractNumId w:val="0"/>
  </w:num>
  <w:num w:numId="3">
    <w:abstractNumId w:val="19"/>
  </w:num>
  <w:num w:numId="4">
    <w:abstractNumId w:val="3"/>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11"/>
  </w:num>
  <w:num w:numId="10">
    <w:abstractNumId w:val="8"/>
  </w:num>
  <w:num w:numId="11">
    <w:abstractNumId w:val="6"/>
  </w:num>
  <w:num w:numId="12">
    <w:abstractNumId w:val="20"/>
  </w:num>
  <w:num w:numId="13">
    <w:abstractNumId w:val="1"/>
  </w:num>
  <w:num w:numId="14">
    <w:abstractNumId w:val="5"/>
  </w:num>
  <w:num w:numId="15">
    <w:abstractNumId w:val="7"/>
  </w:num>
  <w:num w:numId="16">
    <w:abstractNumId w:val="16"/>
  </w:num>
  <w:num w:numId="17">
    <w:abstractNumId w:val="12"/>
  </w:num>
  <w:num w:numId="18">
    <w:abstractNumId w:val="17"/>
  </w:num>
  <w:num w:numId="19">
    <w:abstractNumId w:val="18"/>
  </w:num>
  <w:num w:numId="20">
    <w:abstractNumId w:val="1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C149F"/>
    <w:rsid w:val="000C149F"/>
    <w:rsid w:val="0028640A"/>
    <w:rsid w:val="00465A51"/>
    <w:rsid w:val="00562E8A"/>
    <w:rsid w:val="006871F8"/>
    <w:rsid w:val="008A0E05"/>
    <w:rsid w:val="009320D9"/>
    <w:rsid w:val="00B435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DBFB1-24F8-4626-8403-980FDF26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49F"/>
    <w:rPr>
      <w:lang w:val="en-CA"/>
    </w:rPr>
  </w:style>
  <w:style w:type="paragraph" w:styleId="Heading1">
    <w:name w:val="heading 1"/>
    <w:basedOn w:val="Normal"/>
    <w:next w:val="Normal"/>
    <w:link w:val="Heading1Char"/>
    <w:uiPriority w:val="9"/>
    <w:qFormat/>
    <w:rsid w:val="000C14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14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C14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49F"/>
    <w:rPr>
      <w:rFonts w:asciiTheme="majorHAnsi" w:eastAsiaTheme="majorEastAsia" w:hAnsiTheme="majorHAnsi" w:cstheme="majorBidi"/>
      <w:color w:val="2E74B5" w:themeColor="accent1" w:themeShade="BF"/>
      <w:sz w:val="32"/>
      <w:szCs w:val="32"/>
      <w:lang w:val="en-CA"/>
    </w:rPr>
  </w:style>
  <w:style w:type="character" w:customStyle="1" w:styleId="Heading2Char">
    <w:name w:val="Heading 2 Char"/>
    <w:basedOn w:val="DefaultParagraphFont"/>
    <w:link w:val="Heading2"/>
    <w:uiPriority w:val="9"/>
    <w:rsid w:val="000C149F"/>
    <w:rPr>
      <w:rFonts w:asciiTheme="majorHAnsi" w:eastAsiaTheme="majorEastAsia" w:hAnsiTheme="majorHAnsi" w:cstheme="majorBidi"/>
      <w:color w:val="2E74B5" w:themeColor="accent1" w:themeShade="BF"/>
      <w:sz w:val="26"/>
      <w:szCs w:val="26"/>
      <w:lang w:val="en-CA"/>
    </w:rPr>
  </w:style>
  <w:style w:type="character" w:customStyle="1" w:styleId="Heading3Char">
    <w:name w:val="Heading 3 Char"/>
    <w:basedOn w:val="DefaultParagraphFont"/>
    <w:link w:val="Heading3"/>
    <w:uiPriority w:val="9"/>
    <w:rsid w:val="000C149F"/>
    <w:rPr>
      <w:rFonts w:asciiTheme="majorHAnsi" w:eastAsiaTheme="majorEastAsia" w:hAnsiTheme="majorHAnsi" w:cstheme="majorBidi"/>
      <w:color w:val="1F4D78" w:themeColor="accent1" w:themeShade="7F"/>
      <w:sz w:val="24"/>
      <w:szCs w:val="24"/>
      <w:lang w:val="en-CA"/>
    </w:rPr>
  </w:style>
  <w:style w:type="paragraph" w:styleId="ListParagraph">
    <w:name w:val="List Paragraph"/>
    <w:basedOn w:val="Normal"/>
    <w:uiPriority w:val="34"/>
    <w:qFormat/>
    <w:rsid w:val="000C149F"/>
    <w:pPr>
      <w:ind w:left="720"/>
      <w:contextualSpacing/>
    </w:pPr>
  </w:style>
  <w:style w:type="paragraph" w:styleId="Header">
    <w:name w:val="header"/>
    <w:basedOn w:val="Normal"/>
    <w:link w:val="HeaderChar"/>
    <w:uiPriority w:val="99"/>
    <w:unhideWhenUsed/>
    <w:rsid w:val="000C14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149F"/>
    <w:rPr>
      <w:lang w:val="en-CA"/>
    </w:rPr>
  </w:style>
  <w:style w:type="paragraph" w:styleId="Footer">
    <w:name w:val="footer"/>
    <w:basedOn w:val="Normal"/>
    <w:link w:val="FooterChar"/>
    <w:uiPriority w:val="99"/>
    <w:unhideWhenUsed/>
    <w:rsid w:val="000C14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149F"/>
    <w:rPr>
      <w:lang w:val="en-CA"/>
    </w:rPr>
  </w:style>
  <w:style w:type="paragraph" w:customStyle="1" w:styleId="EndNoteBibliographyTitle">
    <w:name w:val="EndNote Bibliography Title"/>
    <w:basedOn w:val="Normal"/>
    <w:link w:val="EndNoteBibliographyTitleTegn"/>
    <w:rsid w:val="000C149F"/>
    <w:pPr>
      <w:spacing w:after="0"/>
      <w:jc w:val="center"/>
    </w:pPr>
    <w:rPr>
      <w:rFonts w:ascii="Calibri" w:hAnsi="Calibri" w:cs="Calibri"/>
      <w:noProof/>
      <w:lang w:val="en-US"/>
    </w:rPr>
  </w:style>
  <w:style w:type="character" w:customStyle="1" w:styleId="EndNoteBibliographyTitleTegn">
    <w:name w:val="EndNote Bibliography Title Tegn"/>
    <w:basedOn w:val="DefaultParagraphFont"/>
    <w:link w:val="EndNoteBibliographyTitle"/>
    <w:rsid w:val="000C149F"/>
    <w:rPr>
      <w:rFonts w:ascii="Calibri" w:hAnsi="Calibri" w:cs="Calibri"/>
      <w:noProof/>
      <w:lang w:val="en-US"/>
    </w:rPr>
  </w:style>
  <w:style w:type="paragraph" w:customStyle="1" w:styleId="EndNoteBibliography">
    <w:name w:val="EndNote Bibliography"/>
    <w:basedOn w:val="Normal"/>
    <w:link w:val="EndNoteBibliographyTegn"/>
    <w:rsid w:val="000C149F"/>
    <w:pPr>
      <w:spacing w:line="240" w:lineRule="auto"/>
    </w:pPr>
    <w:rPr>
      <w:rFonts w:ascii="Calibri" w:hAnsi="Calibri" w:cs="Calibri"/>
      <w:noProof/>
      <w:lang w:val="en-US"/>
    </w:rPr>
  </w:style>
  <w:style w:type="character" w:customStyle="1" w:styleId="EndNoteBibliographyTegn">
    <w:name w:val="EndNote Bibliography Tegn"/>
    <w:basedOn w:val="DefaultParagraphFont"/>
    <w:link w:val="EndNoteBibliography"/>
    <w:rsid w:val="000C149F"/>
    <w:rPr>
      <w:rFonts w:ascii="Calibri" w:hAnsi="Calibri" w:cs="Calibri"/>
      <w:noProof/>
      <w:lang w:val="en-US"/>
    </w:rPr>
  </w:style>
  <w:style w:type="table" w:styleId="TableGrid">
    <w:name w:val="Table Grid"/>
    <w:basedOn w:val="TableNormal"/>
    <w:uiPriority w:val="39"/>
    <w:rsid w:val="000C1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149F"/>
    <w:rPr>
      <w:sz w:val="16"/>
      <w:szCs w:val="16"/>
    </w:rPr>
  </w:style>
  <w:style w:type="paragraph" w:styleId="CommentText">
    <w:name w:val="annotation text"/>
    <w:basedOn w:val="Normal"/>
    <w:link w:val="CommentTextChar"/>
    <w:uiPriority w:val="99"/>
    <w:unhideWhenUsed/>
    <w:rsid w:val="000C149F"/>
    <w:pPr>
      <w:spacing w:line="240" w:lineRule="auto"/>
    </w:pPr>
    <w:rPr>
      <w:sz w:val="20"/>
      <w:szCs w:val="20"/>
    </w:rPr>
  </w:style>
  <w:style w:type="character" w:customStyle="1" w:styleId="CommentTextChar">
    <w:name w:val="Comment Text Char"/>
    <w:basedOn w:val="DefaultParagraphFont"/>
    <w:link w:val="CommentText"/>
    <w:uiPriority w:val="99"/>
    <w:rsid w:val="000C149F"/>
    <w:rPr>
      <w:sz w:val="20"/>
      <w:szCs w:val="20"/>
      <w:lang w:val="en-CA"/>
    </w:rPr>
  </w:style>
  <w:style w:type="paragraph" w:styleId="CommentSubject">
    <w:name w:val="annotation subject"/>
    <w:basedOn w:val="CommentText"/>
    <w:next w:val="CommentText"/>
    <w:link w:val="CommentSubjectChar"/>
    <w:uiPriority w:val="99"/>
    <w:semiHidden/>
    <w:unhideWhenUsed/>
    <w:rsid w:val="000C149F"/>
    <w:rPr>
      <w:b/>
      <w:bCs/>
    </w:rPr>
  </w:style>
  <w:style w:type="character" w:customStyle="1" w:styleId="CommentSubjectChar">
    <w:name w:val="Comment Subject Char"/>
    <w:basedOn w:val="CommentTextChar"/>
    <w:link w:val="CommentSubject"/>
    <w:uiPriority w:val="99"/>
    <w:semiHidden/>
    <w:rsid w:val="000C149F"/>
    <w:rPr>
      <w:b/>
      <w:bCs/>
      <w:sz w:val="20"/>
      <w:szCs w:val="20"/>
      <w:lang w:val="en-CA"/>
    </w:rPr>
  </w:style>
  <w:style w:type="paragraph" w:styleId="BalloonText">
    <w:name w:val="Balloon Text"/>
    <w:basedOn w:val="Normal"/>
    <w:link w:val="BalloonTextChar"/>
    <w:uiPriority w:val="99"/>
    <w:semiHidden/>
    <w:unhideWhenUsed/>
    <w:rsid w:val="000C1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49F"/>
    <w:rPr>
      <w:rFonts w:ascii="Segoe UI" w:hAnsi="Segoe UI" w:cs="Segoe UI"/>
      <w:sz w:val="18"/>
      <w:szCs w:val="18"/>
      <w:lang w:val="en-CA"/>
    </w:rPr>
  </w:style>
  <w:style w:type="character" w:styleId="Hyperlink">
    <w:name w:val="Hyperlink"/>
    <w:basedOn w:val="DefaultParagraphFont"/>
    <w:uiPriority w:val="99"/>
    <w:unhideWhenUsed/>
    <w:rsid w:val="000C149F"/>
    <w:rPr>
      <w:color w:val="0563C1" w:themeColor="hyperlink"/>
      <w:u w:val="single"/>
    </w:rPr>
  </w:style>
  <w:style w:type="paragraph" w:styleId="List">
    <w:name w:val="List"/>
    <w:basedOn w:val="Normal"/>
    <w:uiPriority w:val="99"/>
    <w:unhideWhenUsed/>
    <w:rsid w:val="000C149F"/>
    <w:pPr>
      <w:ind w:left="283" w:hanging="283"/>
      <w:contextualSpacing/>
    </w:pPr>
  </w:style>
  <w:style w:type="paragraph" w:styleId="BodyText">
    <w:name w:val="Body Text"/>
    <w:basedOn w:val="Normal"/>
    <w:link w:val="BodyTextChar"/>
    <w:uiPriority w:val="99"/>
    <w:unhideWhenUsed/>
    <w:rsid w:val="000C149F"/>
    <w:pPr>
      <w:spacing w:after="120"/>
    </w:pPr>
  </w:style>
  <w:style w:type="character" w:customStyle="1" w:styleId="BodyTextChar">
    <w:name w:val="Body Text Char"/>
    <w:basedOn w:val="DefaultParagraphFont"/>
    <w:link w:val="BodyText"/>
    <w:uiPriority w:val="99"/>
    <w:rsid w:val="000C149F"/>
    <w:rPr>
      <w:lang w:val="en-CA"/>
    </w:rPr>
  </w:style>
  <w:style w:type="character" w:styleId="FollowedHyperlink">
    <w:name w:val="FollowedHyperlink"/>
    <w:basedOn w:val="DefaultParagraphFont"/>
    <w:uiPriority w:val="99"/>
    <w:semiHidden/>
    <w:unhideWhenUsed/>
    <w:rsid w:val="000C149F"/>
    <w:rPr>
      <w:color w:val="954F72" w:themeColor="followedHyperlink"/>
      <w:u w:val="single"/>
    </w:rPr>
  </w:style>
  <w:style w:type="character" w:customStyle="1" w:styleId="name">
    <w:name w:val="name"/>
    <w:basedOn w:val="DefaultParagraphFont"/>
    <w:rsid w:val="000C149F"/>
  </w:style>
  <w:style w:type="character" w:customStyle="1" w:styleId="surname">
    <w:name w:val="surname"/>
    <w:basedOn w:val="DefaultParagraphFont"/>
    <w:rsid w:val="000C149F"/>
  </w:style>
  <w:style w:type="character" w:customStyle="1" w:styleId="given-names">
    <w:name w:val="given-names"/>
    <w:basedOn w:val="DefaultParagraphFont"/>
    <w:rsid w:val="000C149F"/>
  </w:style>
  <w:style w:type="character" w:customStyle="1" w:styleId="year">
    <w:name w:val="year"/>
    <w:basedOn w:val="DefaultParagraphFont"/>
    <w:rsid w:val="000C149F"/>
  </w:style>
  <w:style w:type="character" w:customStyle="1" w:styleId="source">
    <w:name w:val="source"/>
    <w:basedOn w:val="DefaultParagraphFont"/>
    <w:rsid w:val="000C149F"/>
  </w:style>
  <w:style w:type="character" w:customStyle="1" w:styleId="publisher-name">
    <w:name w:val="publisher-name"/>
    <w:basedOn w:val="DefaultParagraphFont"/>
    <w:rsid w:val="000C149F"/>
  </w:style>
  <w:style w:type="character" w:customStyle="1" w:styleId="publisher-loc">
    <w:name w:val="publisher-loc"/>
    <w:basedOn w:val="DefaultParagraphFont"/>
    <w:rsid w:val="000C149F"/>
  </w:style>
  <w:style w:type="paragraph" w:styleId="Revision">
    <w:name w:val="Revision"/>
    <w:hidden/>
    <w:uiPriority w:val="99"/>
    <w:semiHidden/>
    <w:rsid w:val="000C149F"/>
    <w:pPr>
      <w:spacing w:after="0" w:line="240" w:lineRule="auto"/>
    </w:pPr>
    <w:rPr>
      <w:lang w:val="en-CA"/>
    </w:rPr>
  </w:style>
  <w:style w:type="character" w:styleId="LineNumber">
    <w:name w:val="line number"/>
    <w:basedOn w:val="DefaultParagraphFont"/>
    <w:uiPriority w:val="99"/>
    <w:semiHidden/>
    <w:unhideWhenUsed/>
    <w:rsid w:val="000C149F"/>
  </w:style>
  <w:style w:type="table" w:customStyle="1" w:styleId="PlainTable21">
    <w:name w:val="Plain Table 21"/>
    <w:basedOn w:val="TableNormal"/>
    <w:uiPriority w:val="42"/>
    <w:rsid w:val="000C14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markg@hvl.no"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7336</Words>
  <Characters>41819</Characters>
  <Application>Microsoft Office Word</Application>
  <DocSecurity>4</DocSecurity>
  <Lines>348</Lines>
  <Paragraphs>98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Hogskolen i Bergen</Company>
  <LinksUpToDate>false</LinksUpToDate>
  <CharactersWithSpaces>49057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Andrew Gillespie</dc:creator>
  <cp:keywords/>
  <dc:description/>
  <cp:lastModifiedBy>Ager, Beverley J.</cp:lastModifiedBy>
  <cp:revision>2</cp:revision>
  <dcterms:created xsi:type="dcterms:W3CDTF">2019-04-03T13:32:00Z</dcterms:created>
  <dcterms:modified xsi:type="dcterms:W3CDTF">2019-04-03T13:32:00Z</dcterms:modified>
</cp:coreProperties>
</file>