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E4B7F" w14:textId="4751B878" w:rsidR="00834163" w:rsidRPr="0090311E" w:rsidRDefault="00834163" w:rsidP="000C32D3">
      <w:pPr>
        <w:spacing w:line="360" w:lineRule="auto"/>
      </w:pPr>
      <w:r w:rsidRPr="0090311E">
        <w:rPr>
          <w:b/>
        </w:rPr>
        <w:t>Title:</w:t>
      </w:r>
      <w:r w:rsidRPr="0090311E">
        <w:t xml:space="preserve"> Acantharia</w:t>
      </w:r>
      <w:r w:rsidR="00C55000">
        <w:t>n</w:t>
      </w:r>
      <w:r w:rsidRPr="0090311E">
        <w:t xml:space="preserve"> </w:t>
      </w:r>
      <w:r w:rsidR="00D11A20">
        <w:t>c</w:t>
      </w:r>
      <w:r w:rsidRPr="0090311E">
        <w:t xml:space="preserve">ysts: high </w:t>
      </w:r>
      <w:r w:rsidR="00C76E9A">
        <w:t xml:space="preserve">flux </w:t>
      </w:r>
      <w:r w:rsidRPr="0090311E">
        <w:t>occurrence in the bathypelagic</w:t>
      </w:r>
      <w:r w:rsidR="00EE242A">
        <w:t xml:space="preserve"> zone</w:t>
      </w:r>
      <w:r w:rsidRPr="0090311E">
        <w:t xml:space="preserve"> of </w:t>
      </w:r>
      <w:r w:rsidR="005D1AED">
        <w:t xml:space="preserve">the </w:t>
      </w:r>
      <w:r w:rsidRPr="0090311E">
        <w:t xml:space="preserve">Scotia Sea, </w:t>
      </w:r>
      <w:r w:rsidR="00E02F09">
        <w:t>Southern Ocean</w:t>
      </w:r>
    </w:p>
    <w:p w14:paraId="35E30268" w14:textId="01B82C4D" w:rsidR="00834163" w:rsidRPr="008F42F2" w:rsidRDefault="00D16727" w:rsidP="000C32D3">
      <w:pPr>
        <w:pStyle w:val="Authors"/>
        <w:spacing w:line="360" w:lineRule="auto"/>
        <w:rPr>
          <w:rFonts w:asciiTheme="minorHAnsi" w:hAnsiTheme="minorHAnsi"/>
          <w:sz w:val="22"/>
          <w:szCs w:val="22"/>
        </w:rPr>
      </w:pPr>
      <w:r w:rsidRPr="008F42F2">
        <w:rPr>
          <w:rFonts w:asciiTheme="minorHAnsi" w:hAnsiTheme="minorHAnsi"/>
          <w:sz w:val="22"/>
          <w:szCs w:val="22"/>
        </w:rPr>
        <w:t>Anna</w:t>
      </w:r>
      <w:r w:rsidR="00834163" w:rsidRPr="008F42F2">
        <w:rPr>
          <w:rFonts w:asciiTheme="minorHAnsi" w:hAnsiTheme="minorHAnsi"/>
          <w:sz w:val="22"/>
          <w:szCs w:val="22"/>
        </w:rPr>
        <w:t xml:space="preserve"> Belcher</w:t>
      </w:r>
      <w:r w:rsidR="00834163" w:rsidRPr="008F42F2">
        <w:rPr>
          <w:rFonts w:asciiTheme="minorHAnsi" w:hAnsiTheme="minorHAnsi"/>
          <w:sz w:val="22"/>
          <w:szCs w:val="22"/>
          <w:vertAlign w:val="superscript"/>
        </w:rPr>
        <w:t>1</w:t>
      </w:r>
      <w:r w:rsidR="00834163" w:rsidRPr="008F42F2">
        <w:rPr>
          <w:rFonts w:asciiTheme="minorHAnsi" w:hAnsiTheme="minorHAnsi"/>
          <w:sz w:val="22"/>
          <w:szCs w:val="22"/>
        </w:rPr>
        <w:t>, Clara Manno</w:t>
      </w:r>
      <w:r w:rsidR="00497361" w:rsidRPr="008F42F2">
        <w:rPr>
          <w:rFonts w:asciiTheme="minorHAnsi" w:hAnsiTheme="minorHAnsi"/>
          <w:sz w:val="22"/>
          <w:szCs w:val="22"/>
          <w:vertAlign w:val="superscript"/>
        </w:rPr>
        <w:t>1</w:t>
      </w:r>
      <w:r w:rsidR="00834163" w:rsidRPr="008F42F2">
        <w:rPr>
          <w:rFonts w:asciiTheme="minorHAnsi" w:hAnsiTheme="minorHAnsi"/>
          <w:sz w:val="22"/>
          <w:szCs w:val="22"/>
        </w:rPr>
        <w:t xml:space="preserve">, </w:t>
      </w:r>
      <w:r w:rsidR="0090311E" w:rsidRPr="008F42F2">
        <w:rPr>
          <w:rFonts w:asciiTheme="minorHAnsi" w:hAnsiTheme="minorHAnsi"/>
          <w:sz w:val="22"/>
          <w:szCs w:val="22"/>
        </w:rPr>
        <w:t>Sally Thorpe</w:t>
      </w:r>
      <w:r w:rsidR="00497361" w:rsidRPr="008F42F2">
        <w:rPr>
          <w:rFonts w:asciiTheme="minorHAnsi" w:hAnsiTheme="minorHAnsi"/>
          <w:sz w:val="22"/>
          <w:szCs w:val="22"/>
          <w:vertAlign w:val="superscript"/>
        </w:rPr>
        <w:t>1</w:t>
      </w:r>
      <w:r w:rsidR="00834163" w:rsidRPr="008F42F2">
        <w:rPr>
          <w:rFonts w:asciiTheme="minorHAnsi" w:hAnsiTheme="minorHAnsi"/>
          <w:sz w:val="22"/>
          <w:szCs w:val="22"/>
        </w:rPr>
        <w:t>, Geraint Tarling</w:t>
      </w:r>
      <w:r w:rsidR="00497361" w:rsidRPr="008F42F2">
        <w:rPr>
          <w:rFonts w:asciiTheme="minorHAnsi" w:hAnsiTheme="minorHAnsi"/>
          <w:sz w:val="22"/>
          <w:szCs w:val="22"/>
          <w:vertAlign w:val="superscript"/>
        </w:rPr>
        <w:t>1</w:t>
      </w:r>
    </w:p>
    <w:p w14:paraId="0465AE35" w14:textId="1B3B83CB" w:rsidR="00FA554F" w:rsidRPr="004F75E9" w:rsidRDefault="00834163" w:rsidP="004F75E9">
      <w:pPr>
        <w:pStyle w:val="Affiliation"/>
        <w:jc w:val="left"/>
        <w:rPr>
          <w:rFonts w:asciiTheme="minorHAnsi" w:hAnsiTheme="minorHAnsi"/>
        </w:rPr>
      </w:pPr>
      <w:r w:rsidRPr="00D82925">
        <w:rPr>
          <w:vertAlign w:val="superscript"/>
        </w:rPr>
        <w:t>1</w:t>
      </w:r>
      <w:r w:rsidRPr="00D82925">
        <w:t xml:space="preserve"> </w:t>
      </w:r>
      <w:r w:rsidRPr="00D82925">
        <w:rPr>
          <w:rFonts w:asciiTheme="minorHAnsi" w:hAnsiTheme="minorHAnsi" w:cs="Arial"/>
        </w:rPr>
        <w:t xml:space="preserve">British Antarctic Survey, </w:t>
      </w:r>
      <w:r w:rsidR="0062387C">
        <w:rPr>
          <w:rFonts w:asciiTheme="minorHAnsi" w:hAnsiTheme="minorHAnsi" w:cs="Arial"/>
        </w:rPr>
        <w:t>Natural Environment Research Council,</w:t>
      </w:r>
      <w:r w:rsidR="0062387C" w:rsidRPr="00D82925">
        <w:rPr>
          <w:rFonts w:asciiTheme="minorHAnsi" w:hAnsiTheme="minorHAnsi" w:cs="Arial"/>
        </w:rPr>
        <w:t xml:space="preserve"> </w:t>
      </w:r>
      <w:r w:rsidRPr="00D82925">
        <w:rPr>
          <w:rFonts w:asciiTheme="minorHAnsi" w:hAnsiTheme="minorHAnsi" w:cs="Arial"/>
        </w:rPr>
        <w:t>Cambridge,</w:t>
      </w:r>
      <w:r w:rsidR="0062387C">
        <w:rPr>
          <w:rFonts w:asciiTheme="minorHAnsi" w:hAnsiTheme="minorHAnsi" w:cs="Arial"/>
        </w:rPr>
        <w:t xml:space="preserve"> </w:t>
      </w:r>
      <w:r w:rsidRPr="00D82925">
        <w:rPr>
          <w:rFonts w:asciiTheme="minorHAnsi" w:hAnsiTheme="minorHAnsi" w:cs="Arial"/>
        </w:rPr>
        <w:t>CB3 0ET, UK</w:t>
      </w:r>
    </w:p>
    <w:p w14:paraId="2BE7BDE3" w14:textId="1AFD982E" w:rsidR="00FA554F" w:rsidRPr="00FA554F" w:rsidRDefault="00FA554F" w:rsidP="00FA554F">
      <w:pPr>
        <w:pStyle w:val="Affiliation"/>
        <w:spacing w:line="360" w:lineRule="auto"/>
        <w:jc w:val="left"/>
        <w:rPr>
          <w:rFonts w:asciiTheme="minorHAnsi" w:hAnsiTheme="minorHAnsi"/>
        </w:rPr>
      </w:pPr>
      <w:r>
        <w:t xml:space="preserve">Corresponding Author: Anna Belcher: </w:t>
      </w:r>
      <w:hyperlink r:id="rId7" w:history="1">
        <w:r w:rsidRPr="00F35E2F">
          <w:rPr>
            <w:rStyle w:val="Hyperlink"/>
          </w:rPr>
          <w:t>annbel@bas.ac.uk</w:t>
        </w:r>
      </w:hyperlink>
      <w:r>
        <w:t>, 01223 221400</w:t>
      </w:r>
    </w:p>
    <w:p w14:paraId="152B6978" w14:textId="7E220944" w:rsidR="00FA554F" w:rsidRDefault="00FA554F" w:rsidP="00FA554F">
      <w:pPr>
        <w:spacing w:line="360" w:lineRule="auto"/>
        <w:rPr>
          <w:b/>
        </w:rPr>
      </w:pPr>
    </w:p>
    <w:p w14:paraId="0DCA72B3" w14:textId="320394AE" w:rsidR="00834163" w:rsidRPr="00981394" w:rsidRDefault="00834163" w:rsidP="00FA554F">
      <w:pPr>
        <w:spacing w:line="360" w:lineRule="auto"/>
        <w:rPr>
          <w:b/>
          <w:caps/>
        </w:rPr>
      </w:pPr>
      <w:r w:rsidRPr="0090311E">
        <w:rPr>
          <w:b/>
        </w:rPr>
        <w:t>Abstract</w:t>
      </w:r>
    </w:p>
    <w:p w14:paraId="5F11C6BD" w14:textId="4EB4DCD4" w:rsidR="00FA554F" w:rsidRDefault="001C12AC" w:rsidP="00FA554F">
      <w:pPr>
        <w:spacing w:line="360" w:lineRule="auto"/>
      </w:pPr>
      <w:r w:rsidRPr="001C12AC">
        <w:t>Th</w:t>
      </w:r>
      <w:r>
        <w:t>e abundance and flux of acantharia</w:t>
      </w:r>
      <w:r w:rsidR="00C55000">
        <w:t>n</w:t>
      </w:r>
      <w:r>
        <w:t xml:space="preserve"> cysts were recorded </w:t>
      </w:r>
      <w:r w:rsidR="00E02F09">
        <w:t xml:space="preserve">for a period of 12 months </w:t>
      </w:r>
      <w:r w:rsidR="0062387C">
        <w:t xml:space="preserve">from December 2012 to 2013 </w:t>
      </w:r>
      <w:r>
        <w:t xml:space="preserve">in a sediment trap deployed at 1500 m </w:t>
      </w:r>
      <w:r w:rsidR="00E02F09">
        <w:t>in</w:t>
      </w:r>
      <w:r>
        <w:t xml:space="preserve"> the </w:t>
      </w:r>
      <w:r w:rsidR="00E02F09">
        <w:t xml:space="preserve">north-eastern </w:t>
      </w:r>
      <w:r>
        <w:t>Scotia Sea,</w:t>
      </w:r>
      <w:r w:rsidR="00E02F09">
        <w:t xml:space="preserve"> Southern Ocean</w:t>
      </w:r>
      <w:r>
        <w:t xml:space="preserve">. Acantharia </w:t>
      </w:r>
      <w:r w:rsidR="0021550C">
        <w:t>(</w:t>
      </w:r>
      <w:r w:rsidR="00DC1F14">
        <w:t xml:space="preserve">radiolarian </w:t>
      </w:r>
      <w:r w:rsidR="0021550C">
        <w:t xml:space="preserve">protists) </w:t>
      </w:r>
      <w:r w:rsidR="005D1AED">
        <w:t>are found globally,</w:t>
      </w:r>
      <w:r w:rsidR="00E02F09">
        <w:t xml:space="preserve"> </w:t>
      </w:r>
      <w:r>
        <w:t xml:space="preserve">have very dense celestite skeletons, and form cysts which can sink rapidly through the water column. However, they are highly soluble in seawater and have rarely been found to contribute </w:t>
      </w:r>
      <w:r w:rsidR="00BF0F52">
        <w:t xml:space="preserve">significantly </w:t>
      </w:r>
      <w:r>
        <w:t>to fluxes of particulate organic carbon (POC) in mesopelagic or bathypelagic</w:t>
      </w:r>
      <w:r w:rsidR="00DF002B">
        <w:t xml:space="preserve"> zones</w:t>
      </w:r>
      <w:r>
        <w:t>. We measured fluxes of acantharia</w:t>
      </w:r>
      <w:r w:rsidR="00C55000">
        <w:t>n</w:t>
      </w:r>
      <w:r>
        <w:t xml:space="preserve"> cysts of up to 27</w:t>
      </w:r>
      <w:r w:rsidR="009A0F37">
        <w:t>0</w:t>
      </w:r>
      <w:r w:rsidR="0098139D">
        <w:t>6</w:t>
      </w:r>
      <w:r>
        <w:t xml:space="preserve"> ind. m</w:t>
      </w:r>
      <w:r w:rsidRPr="001C12AC">
        <w:rPr>
          <w:vertAlign w:val="superscript"/>
        </w:rPr>
        <w:t>-2</w:t>
      </w:r>
      <w:r>
        <w:t xml:space="preserve"> d</w:t>
      </w:r>
      <w:r w:rsidRPr="001C12AC">
        <w:rPr>
          <w:vertAlign w:val="superscript"/>
        </w:rPr>
        <w:t>-1</w:t>
      </w:r>
      <w:r>
        <w:t>, which we estimate to drive a POC flux of 5.</w:t>
      </w:r>
      <w:r w:rsidR="009A0F37">
        <w:t>1</w:t>
      </w:r>
      <w:r>
        <w:t xml:space="preserve"> mg C m</w:t>
      </w:r>
      <w:r w:rsidRPr="001C12AC">
        <w:rPr>
          <w:vertAlign w:val="superscript"/>
        </w:rPr>
        <w:t>-2</w:t>
      </w:r>
      <w:r>
        <w:t xml:space="preserve"> d</w:t>
      </w:r>
      <w:r w:rsidRPr="001C12AC">
        <w:rPr>
          <w:vertAlign w:val="superscript"/>
        </w:rPr>
        <w:t>-1</w:t>
      </w:r>
      <w:r w:rsidR="0060574B">
        <w:t>.</w:t>
      </w:r>
      <w:r>
        <w:t xml:space="preserve"> These</w:t>
      </w:r>
      <w:r w:rsidR="00DC1F14">
        <w:t xml:space="preserve"> acantharian cyst</w:t>
      </w:r>
      <w:r>
        <w:t xml:space="preserve"> fluxes are unprecedented in the literature</w:t>
      </w:r>
      <w:r w:rsidR="00497361">
        <w:t>, and accounted for 1</w:t>
      </w:r>
      <w:r w:rsidR="0082057B">
        <w:t>7</w:t>
      </w:r>
      <w:r w:rsidR="00DC1F14">
        <w:t xml:space="preserve"> </w:t>
      </w:r>
      <w:r w:rsidR="00497361">
        <w:t>% of the annual POC flux</w:t>
      </w:r>
      <w:r w:rsidR="00E02F09">
        <w:t xml:space="preserve"> at this site</w:t>
      </w:r>
      <w:r w:rsidR="009A0F37">
        <w:t xml:space="preserve"> (0.5 – 26</w:t>
      </w:r>
      <w:r w:rsidR="00DC1F14">
        <w:t>.0 %)</w:t>
      </w:r>
      <w:r>
        <w:t xml:space="preserve">. </w:t>
      </w:r>
      <w:r w:rsidR="0060574B">
        <w:t>The high fluxes of acantharia</w:t>
      </w:r>
      <w:r w:rsidR="00C55000">
        <w:t>n</w:t>
      </w:r>
      <w:r w:rsidR="0060574B">
        <w:t xml:space="preserve"> cysts (and associated high POC fluxes) measured highlight the pressing need for further research into the life cycles </w:t>
      </w:r>
      <w:r w:rsidR="006578F6">
        <w:t>of A</w:t>
      </w:r>
      <w:r w:rsidR="0060574B">
        <w:t xml:space="preserve">cantharia </w:t>
      </w:r>
      <w:r w:rsidR="00E02F09">
        <w:t>to</w:t>
      </w:r>
      <w:r w:rsidR="0060574B">
        <w:t xml:space="preserve"> u</w:t>
      </w:r>
      <w:r w:rsidR="00BF40D4">
        <w:t xml:space="preserve">nderstand </w:t>
      </w:r>
      <w:r w:rsidR="00C76E9A">
        <w:t xml:space="preserve">what drives </w:t>
      </w:r>
      <w:r w:rsidR="00AD5E84">
        <w:t xml:space="preserve">the </w:t>
      </w:r>
      <w:r w:rsidR="00C76E9A">
        <w:t xml:space="preserve">mass </w:t>
      </w:r>
      <w:r w:rsidR="00AD5E84">
        <w:t xml:space="preserve">flux </w:t>
      </w:r>
      <w:r w:rsidR="00C76E9A">
        <w:t xml:space="preserve">of </w:t>
      </w:r>
      <w:r w:rsidR="0060574B">
        <w:t>their</w:t>
      </w:r>
      <w:r w:rsidR="00C76E9A">
        <w:t xml:space="preserve"> cysts</w:t>
      </w:r>
      <w:r w:rsidR="00B9128E">
        <w:t>,</w:t>
      </w:r>
      <w:r w:rsidR="00C76E9A">
        <w:t xml:space="preserve"> </w:t>
      </w:r>
      <w:r w:rsidR="0060574B">
        <w:t xml:space="preserve">and </w:t>
      </w:r>
      <w:r w:rsidR="00E02F09">
        <w:t xml:space="preserve">to </w:t>
      </w:r>
      <w:r w:rsidR="00BF40D4">
        <w:t xml:space="preserve">determine </w:t>
      </w:r>
      <w:r w:rsidR="00E02F09">
        <w:t>the contribution of</w:t>
      </w:r>
      <w:r w:rsidR="005D1AED">
        <w:t xml:space="preserve"> </w:t>
      </w:r>
      <w:r w:rsidR="006578F6">
        <w:t>A</w:t>
      </w:r>
      <w:r w:rsidR="00BF40D4">
        <w:t>cantharia</w:t>
      </w:r>
      <w:r w:rsidR="00E02F09">
        <w:t xml:space="preserve"> </w:t>
      </w:r>
      <w:r w:rsidR="00BF40D4">
        <w:t>to the biological carbon pump.</w:t>
      </w:r>
      <w:r w:rsidR="00FA554F">
        <w:br w:type="page"/>
      </w:r>
    </w:p>
    <w:p w14:paraId="3EE0EF19" w14:textId="77777777" w:rsidR="00834163" w:rsidRPr="0090311E" w:rsidRDefault="00834163" w:rsidP="000C32D3">
      <w:pPr>
        <w:spacing w:line="360" w:lineRule="auto"/>
        <w:rPr>
          <w:b/>
        </w:rPr>
      </w:pPr>
      <w:r w:rsidRPr="0090311E">
        <w:rPr>
          <w:b/>
        </w:rPr>
        <w:lastRenderedPageBreak/>
        <w:t>Introduction</w:t>
      </w:r>
    </w:p>
    <w:p w14:paraId="72FBA96B" w14:textId="2050A7FD" w:rsidR="001C1228" w:rsidRDefault="001C1228" w:rsidP="001C1228">
      <w:pPr>
        <w:spacing w:line="360" w:lineRule="auto"/>
      </w:pPr>
      <w:r w:rsidRPr="001D72BD">
        <w:t xml:space="preserve">The biological </w:t>
      </w:r>
      <w:r>
        <w:t>transfer</w:t>
      </w:r>
      <w:r w:rsidRPr="001D72BD">
        <w:t xml:space="preserve"> of carbon from the atmosphere to the ocean interior</w:t>
      </w:r>
      <w:r>
        <w:t xml:space="preserve"> </w:t>
      </w:r>
      <w:r>
        <w:fldChar w:fldCharType="begin" w:fldLock="1"/>
      </w:r>
      <w:r w:rsidR="00B93937">
        <w:instrText>ADDIN CSL_CITATION { "citationItems" : [ { "id" : "ITEM-1", "itemData" : { "ISBN" : "0875900607", "author" : [ { "dropping-particle" : "", "family" : "Volk", "given" : "T", "non-dropping-particle" : "", "parse-names" : false, "suffix" : "" }, { "dropping-particle" : "", "family" : "Hoffert", "given" : "M I", "non-dropping-particle" : "", "parse-names" : false, "suffix" : "" } ], "container-title" : "The carbon cycle and atmospheric CO2:Natural variations Archean to Present", "editor" : [ { "dropping-particle" : "", "family" : "Sundquist", "given" : "E T", "non-dropping-particle" : "", "parse-names" : false, "suffix" : "" }, { "dropping-particle" : "", "family" : "Broecker", "given" : "W S", "non-dropping-particle" : "", "parse-names" : false, "suffix" : "" } ], "id" : "ITEM-1", "issue" : "32", "issued" : { "date-parts" : [ [ "1985" ] ] }, "note" : "contents indexed separately. . . . . . .", "page" : "99-110", "publisher" : "American Geophysical Union", "publisher-place" : "Washington, DC", "title" : "Ocean Carbon Pumps: Analysis of relative strengths and efficiencies in ocean driven atmospheric CO2 changes", "type" : "chapter" }, "uris" : [ "http://www.mendeley.com/documents/?uuid=d49ddefe-2524-44c6-8aa1-10733705661f" ] } ], "mendeley" : { "formattedCitation" : "(Volk and Hoffert 1985)", "manualFormatting" : "(the biological carbon pump (BCP), Volk &amp; Hoffert 1985)", "plainTextFormattedCitation" : "(Volk and Hoffert 1985)", "previouslyFormattedCitation" : "(Volk and Hoffert 1985)" }, "properties" : {  }, "schema" : "https://github.com/citation-style-language/schema/raw/master/csl-citation.json" }</w:instrText>
      </w:r>
      <w:r>
        <w:fldChar w:fldCharType="separate"/>
      </w:r>
      <w:r w:rsidRPr="001D72BD">
        <w:rPr>
          <w:noProof/>
        </w:rPr>
        <w:t>(</w:t>
      </w:r>
      <w:r>
        <w:rPr>
          <w:noProof/>
        </w:rPr>
        <w:t xml:space="preserve">the biological carbon pump (BCP), </w:t>
      </w:r>
      <w:r w:rsidRPr="001D72BD">
        <w:rPr>
          <w:noProof/>
        </w:rPr>
        <w:t>Volk &amp; Hoffert 1985)</w:t>
      </w:r>
      <w:r>
        <w:fldChar w:fldCharType="end"/>
      </w:r>
      <w:r>
        <w:t xml:space="preserve"> is an important part of global carbon cycles, and the depth that material is remineralised in the ocean is tightly coupled to atmospheric levels of CO</w:t>
      </w:r>
      <w:r w:rsidRPr="009044A6">
        <w:rPr>
          <w:vertAlign w:val="subscript"/>
        </w:rPr>
        <w:t xml:space="preserve">2 </w:t>
      </w:r>
      <w:r>
        <w:fldChar w:fldCharType="begin" w:fldLock="1"/>
      </w:r>
      <w:r w:rsidR="00B93937">
        <w:instrText>ADDIN CSL_CITATION { "citationItems" : [ { "id" : "ITEM-1", "itemData" : { "DOI" : "10.1038/ngeo612", "ISSN" : "1752-0894", "author" : [ { "dropping-particle" : "", "family" : "Kwon", "given" : "Eun Young", "non-dropping-particle" : "", "parse-names" : false, "suffix" : "" }, { "dropping-particle" : "", "family" : "Primeau", "given" : "Fran\u00e7ois", "non-dropping-particle" : "", "parse-names" : false, "suffix" : "" }, { "dropping-particle" : "", "family" : "Sarmiento", "given" : "Jorge L.", "non-dropping-particle" : "", "parse-names" : false, "suffix" : "" } ], "container-title" : "Nature Geoscience", "id" : "ITEM-1", "issue" : "9", "issued" : { "date-parts" : [ [ "2009", "8", "30" ] ] }, "page" : "630-635", "publisher" : "Nature Publishing Group", "title" : "The impact of remineralization depth on the air\u2013sea carbon balance", "type" : "article-journal", "volume" : "2" }, "uris" : [ "http://www.mendeley.com/documents/?uuid=5d7a169a-d9e1-45f5-851e-e17078880c80" ] } ], "mendeley" : { "formattedCitation" : "(Kwon et al. 2009)", "plainTextFormattedCitation" : "(Kwon et al. 2009)", "previouslyFormattedCitation" : "(Kwon et al. 2009)" }, "properties" : {  }, "schema" : "https://github.com/citation-style-language/schema/raw/master/csl-citation.json" }</w:instrText>
      </w:r>
      <w:r>
        <w:fldChar w:fldCharType="separate"/>
      </w:r>
      <w:r w:rsidRPr="009044A6">
        <w:rPr>
          <w:noProof/>
        </w:rPr>
        <w:t>(Kwon et al. 2009)</w:t>
      </w:r>
      <w:r>
        <w:fldChar w:fldCharType="end"/>
      </w:r>
      <w:r>
        <w:t xml:space="preserve">. Carbon can be sequestered </w:t>
      </w:r>
      <w:r w:rsidR="00340B8B">
        <w:t xml:space="preserve">via the BCP </w:t>
      </w:r>
      <w:r>
        <w:t>on timescales of centuries to millennia in the deep</w:t>
      </w:r>
      <w:r w:rsidR="005359EE">
        <w:t>-</w:t>
      </w:r>
      <w:r>
        <w:t>sea</w:t>
      </w:r>
      <w:r w:rsidR="00340B8B">
        <w:t>,</w:t>
      </w:r>
      <w:r>
        <w:t xml:space="preserve"> and it is therefore necessary to measure and understand the </w:t>
      </w:r>
      <w:r w:rsidR="005359EE">
        <w:t xml:space="preserve">processes determining </w:t>
      </w:r>
      <w:r w:rsidR="00340B8B">
        <w:t xml:space="preserve">both </w:t>
      </w:r>
      <w:r w:rsidR="005359EE">
        <w:t xml:space="preserve">the magnitude </w:t>
      </w:r>
      <w:r w:rsidR="00AD5E84">
        <w:t xml:space="preserve">and efficiency of the </w:t>
      </w:r>
      <w:r w:rsidR="00340B8B">
        <w:t>BCP</w:t>
      </w:r>
      <w:r w:rsidR="00AD5E84">
        <w:t xml:space="preserve">. </w:t>
      </w:r>
      <w:r w:rsidR="005359EE">
        <w:t>One important</w:t>
      </w:r>
      <w:r w:rsidR="00AD5E84">
        <w:t xml:space="preserve"> determinant </w:t>
      </w:r>
      <w:r w:rsidR="005359EE">
        <w:t xml:space="preserve">is the type of particle sinking out of the surface ocean </w:t>
      </w:r>
      <w:r w:rsidR="005359EE">
        <w:fldChar w:fldCharType="begin" w:fldLock="1"/>
      </w:r>
      <w:r w:rsidR="00B93937">
        <w:instrText>ADDIN CSL_CITATION { "citationItems" : [ { "id" : "ITEM-1", "itemData" : { "DOI" : "10.1016/j.pocean.2014.08.005", "ISSN" : "00796611", "author" : [ { "dropping-particle" : "", "family" : "Turner", "given" : "Jefferson T.", "non-dropping-particle" : "", "parse-names" : false, "suffix" : "" } ], "container-title" : "Progress in Oceanography", "id" : "ITEM-1", "issued" : { "date-parts" : [ [ "2015", "8" ] ] }, "page" : "205-248", "publisher" : "Elsevier Ltd", "title" : "Zooplankton fecal pellets, marine snow, phytodetritus and the ocean\u2019s biological pump", "type" : "article-journal", "volume" : "130" }, "uris" : [ "http://www.mendeley.com/documents/?uuid=9c5d9ef9-e123-4944-9358-3d18b7d71602" ] } ], "mendeley" : { "formattedCitation" : "(Turner 2015)", "plainTextFormattedCitation" : "(Turner 2015)", "previouslyFormattedCitation" : "(Turner 2015)" }, "properties" : {  }, "schema" : "https://github.com/citation-style-language/schema/raw/master/csl-citation.json" }</w:instrText>
      </w:r>
      <w:r w:rsidR="005359EE">
        <w:fldChar w:fldCharType="separate"/>
      </w:r>
      <w:r w:rsidR="005359EE" w:rsidRPr="005359EE">
        <w:rPr>
          <w:noProof/>
        </w:rPr>
        <w:t>(Turner 2015)</w:t>
      </w:r>
      <w:r w:rsidR="005359EE">
        <w:fldChar w:fldCharType="end"/>
      </w:r>
      <w:r w:rsidR="005359EE">
        <w:t>.</w:t>
      </w:r>
    </w:p>
    <w:p w14:paraId="5641780F" w14:textId="17B02FDF" w:rsidR="0011405C" w:rsidRPr="00FF123C" w:rsidRDefault="00C76E9A" w:rsidP="000C32D3">
      <w:pPr>
        <w:spacing w:line="360" w:lineRule="auto"/>
        <w:rPr>
          <w:rFonts w:cs="Times New Roman"/>
        </w:rPr>
      </w:pPr>
      <w:r>
        <w:t xml:space="preserve">The diversity of particles exported out of the euphotic zone and transported to depth is high, </w:t>
      </w:r>
      <w:r w:rsidR="00C55000">
        <w:t xml:space="preserve">reflecting </w:t>
      </w:r>
      <w:r w:rsidR="008378B4">
        <w:t>the range</w:t>
      </w:r>
      <w:r w:rsidR="009044A6">
        <w:t xml:space="preserve"> of organisms producing and repackaging particles</w:t>
      </w:r>
      <w:r>
        <w:t xml:space="preserve"> </w:t>
      </w:r>
      <w:r>
        <w:fldChar w:fldCharType="begin" w:fldLock="1"/>
      </w:r>
      <w:r w:rsidR="00B93937">
        <w:instrText>ADDIN CSL_CITATION { "citationItems" : [ { "id" : "ITEM-1", "itemData" : { "DOI" : "10.1016/j.pocean.2014.08.005", "ISSN" : "00796611", "author" : [ { "dropping-particle" : "", "family" : "Turner", "given" : "Jefferson T.", "non-dropping-particle" : "", "parse-names" : false, "suffix" : "" } ], "container-title" : "Progress in Oceanography", "id" : "ITEM-1", "issued" : { "date-parts" : [ [ "2015", "8" ] ] }, "page" : "205-248", "publisher" : "Elsevier Ltd", "title" : "Zooplankton fecal pellets, marine snow, phytodetritus and the ocean\u2019s biological pump", "type" : "article-journal", "volume" : "130" }, "uris" : [ "http://www.mendeley.com/documents/?uuid=9c5d9ef9-e123-4944-9358-3d18b7d71602" ] } ], "mendeley" : { "formattedCitation" : "(Turner 2015)", "plainTextFormattedCitation" : "(Turner 2015)", "previouslyFormattedCitation" : "(Turner 2015)" }, "properties" : {  }, "schema" : "https://github.com/citation-style-language/schema/raw/master/csl-citation.json" }</w:instrText>
      </w:r>
      <w:r>
        <w:fldChar w:fldCharType="separate"/>
      </w:r>
      <w:r w:rsidRPr="00C76E9A">
        <w:rPr>
          <w:noProof/>
        </w:rPr>
        <w:t>(Turner 2015)</w:t>
      </w:r>
      <w:r>
        <w:fldChar w:fldCharType="end"/>
      </w:r>
      <w:r w:rsidR="009044A6">
        <w:t>.</w:t>
      </w:r>
      <w:r w:rsidR="00AA7826">
        <w:t xml:space="preserve"> Sediment trap studies have noted large contributions of</w:t>
      </w:r>
      <w:r w:rsidR="00B9128E">
        <w:t>,</w:t>
      </w:r>
      <w:r w:rsidR="00AA7826">
        <w:t xml:space="preserve"> for example, faecal pellets, diatoms and diatom resting spores</w:t>
      </w:r>
      <w:r w:rsidR="001F6196">
        <w:t xml:space="preserve"> </w:t>
      </w:r>
      <w:r w:rsidR="001F6196">
        <w:fldChar w:fldCharType="begin" w:fldLock="1"/>
      </w:r>
      <w:r w:rsidR="00B93937">
        <w:instrText>ADDIN CSL_CITATION { "citationItems" : [ { "id" : "ITEM-1", "itemData" : { "DOI" : "10.1016/j.dsr2.2015.12.007", "ISSN" : "0967-0645", "author" : [ { "dropping-particle" : "", "family" : "Roca-Marti", "given" : "Monserrat", "non-dropping-particle" : "", "parse-names" : false, "suffix" : "" }, { "dropping-particle" : "", "family" : "Puigcorb\u00e9", "given" : "Viena", "non-dropping-particle" : "", "parse-names" : false, "suffix" : "" }, { "dropping-particle" : "", "family" : "Iversen", "given" : "Morten H", "non-dropping-particle" : "", "parse-names" : false, "suffix" : "" }, { "dropping-particle" : "", "family" : "Rutgers van der Loeff", "given" : "Michiel", "non-dropping-particle" : "", "parse-names" : false, "suffix" : "" }, { "dropping-particle" : "", "family" : "Klaas", "given" : "Christine", "non-dropping-particle" : "", "parse-names" : false, "suffix" : "" }, { "dropping-particle" : "", "family" : "Cheah", "given" : "Wee", "non-dropping-particle" : "", "parse-names" : false, "suffix" : "" }, { "dropping-particle" : "", "family" : "Bracher", "given" : "Astrid", "non-dropping-particle" : "", "parse-names" : false, "suffix" : "" }, { "dropping-particle" : "", "family" : "Masqu\u00e9", "given" : "Pere", "non-dropping-particle" : "", "parse-names" : false, "suffix" : "" } ], "container-title" : "Deep Sea Research Part II: Topical Studies in Oceanography", "id" : "ITEM-1", "issued" : { "date-parts" : [ [ "2017" ] ] }, "page" : "102-115", "publisher" : "Elsevier", "title" : "High particulate organic carbon export during the decline of a vast diatom bloom in the Atlantic sector of the Southern Ocean", "type" : "article-journal", "volume" : "138" }, "uris" : [ "http://www.mendeley.com/documents/?uuid=b943979c-3d48-4e84-bc3f-dba8704e1a0b" ] }, { "id" : "ITEM-2", "itemData" : { "DOI" : "10.5194/bg-12-1955-2015", "ISSN" : "1726-4189", "author" : [ { "dropping-particle" : "", "family" : "Manno", "given" : "C.", "non-dropping-particle" : "", "parse-names" : false, "suffix" : "" }, { "dropping-particle" : "", "family" : "Stowasser", "given" : "G.", "non-dropping-particle" : "", "parse-names" : false, "suffix" : "" }, { "dropping-particle" : "", "family" : "Enderlein", "given" : "P.", "non-dropping-particle" : "", "parse-names" : false, "suffix" : "" }, { "dropping-particle" : "", "family" : "Fielding", "given" : "S.", "non-dropping-particle" : "", "parse-names" : false, "suffix" : "" }, { "dropping-particle" : "", "family" : "Tarling", "given" : "G. A.", "non-dropping-particle" : "", "parse-names" : false, "suffix" : "" } ], "container-title" : "Biogeosciences", "id" : "ITEM-2", "issue" : "6", "issued" : { "date-parts" : [ [ "2015", "3", "25" ] ] }, "page" : "1955-1965", "title" : "The contribution of zooplankton faecal pellets to deep-carbon transport in the Scotia Sea (Southern Ocean)", "type" : "article-journal", "volume" : "12" }, "uris" : [ "http://www.mendeley.com/documents/?uuid=7d8919a0-6197-4f06-a8bc-db544e507d4e" ] }, { "id" : "ITEM-3", "itemData" : { "DOI" : "10.5194/bg-12-3171-2015", "ISBN" : "1231712015", "ISSN" : "1726-4189", "author" : [ { "dropping-particle" : "", "family" : "Rembauville", "given" : "M.", "non-dropping-particle" : "", "parse-names" : false, "suffix" : "" }, { "dropping-particle" : "", "family" : "Blain", "given" : "S.", "non-dropping-particle" : "", "parse-names" : false, "suffix" : "" }, { "dropping-particle" : "", "family" : "Armand", "given" : "L.", "non-dropping-particle" : "", "parse-names" : false, "suffix" : "" }, { "dropping-particle" : "", "family" : "Qu\u00e9guiner", "given" : "B.", "non-dropping-particle" : "", "parse-names" : false, "suffix" : "" }, { "dropping-particle" : "", "family" : "Salter", "given" : "I.", "non-dropping-particle" : "", "parse-names" : false, "suffix" : "" } ], "container-title" : "Biogeosciences", "id" : "ITEM-3", "issue" : "11", "issued" : { "date-parts" : [ [ "2015", "6", "2" ] ] }, "page" : "3171-3195", "title" : "Export fluxes in a naturally iron-fertilized area of the Southern Ocean \u2013 Part 2: Importance of diatom resting spores and faecal pellets for export", "type" : "article-journal", "volume" : "12" }, "uris" : [ "http://www.mendeley.com/documents/?uuid=b3d8a162-e772-44e8-84e0-a308c5bd6063" ] }, { "id" : "ITEM-4", "itemData" : { "DOI" : "10.5194/bg-14-1-2017", "author" : [ { "dropping-particle" : "", "family" : "Belcher", "given" : "Anna", "non-dropping-particle" : "", "parse-names" : false, "suffix" : "" }, { "dropping-particle" : "", "family" : "Manno", "given" : "Clara", "non-dropping-particle" : "", "parse-names" : false, "suffix" : "" }, { "dropping-particle" : "", "family" : "Ward", "given" : "Peter", "non-dropping-particle" : "", "parse-names" : false, "suffix" : "" }, { "dropping-particle" : "", "family" : "Henson", "given" : "Stephanie A.", "non-dropping-particle" : "", "parse-names" : false, "suffix" : "" }, { "dropping-particle" : "", "family" : "Sanders", "given" : "Richard", "non-dropping-particle" : "", "parse-names" : false, "suffix" : "" }, { "dropping-particle" : "", "family" : "Tarling", "given" : "Geraint A.", "non-dropping-particle" : "", "parse-names" : false, "suffix" : "" } ], "container-title" : "Biogeosciences", "id" : "ITEM-4", "issued" : { "date-parts" : [ [ "2017" ] ] }, "page" : "1-15", "title" : "Copepod faecal pellet transfer through the meso- and bathypelagic layers in the Southern Ocean in spring", "type" : "article-journal", "volume" : "14" }, "uris" : [ "http://www.mendeley.com/documents/?uuid=bf4bab65-250e-483f-9e95-a5f82fdd55de" ] }, { "id" : "ITEM-5", "itemData" : { "DOI" : "10.1029/2010GB004026", "ISBN" : "0886-6236", "ISSN" : "08866236", "abstract" : "Changes in zooplankton biomass and species composition over long time scales can have significant effects on biogeochemical cycling and transfer of energy to higher trophic levels. We analyzed size-fractionated mesozooplankton biomass (&gt;200 m m) from biweekly to monthly day and night tows taken from 1994 to 2010 in the epipelagic zone at the Bermuda Atlantic Time series Study (BATS) site in the oligotrophic North Atlantic subtropical gyre. During this 17-year period total mesozooplankton biomass increased 61% overall, although a few short-term downturns occurred over the course of the time series. The overall increase was higher in the nighttime compared to daytime, resulting in an increase in calculated diel vertical migrator biomass. The largest seasonal increase in total biomass was in the late-winter to spring (February \u2013 April). Associated with the larger increase in late-winter/spring biomass was a shift in the timing of annual peak biomass during the latter half of the time series (from March/April to a distinct March peak for all size fractions combined, and April to March for the 2 \u2013 5 mm size fractions). Zooplankton biomass was positively correlated with sea-surface temperature, water column stratification, and primary production, and negatively correlated with mean temperature between 300 and 600 m. Significant correlations exist between multidecadal climate indices \u2013 the North Atlantic Oscillation plus three different Pacific Ocean climate indices, and BATS zooplankton biomass, indicating connections between patterns in climate forcing and ecosystem response. Resultant changes in biogeochemical cycling include an increase in the magnitude of both active carbon flux by diel vertical migration and passive carbon flux of fecal pellets as components of the export flux. The most likely mechanism driving the zooplankton biomass increase is bottom-up control by smaller phytoplankton, which has also increased in biomass and production at BATS, translating up the microbial food web into mesozooplankton. Decreases in top-down control or expansion of the range of tropical species northward as a result of warming may also play a role", "author" : [ { "dropping-particle" : "", "family" : "Steinberg", "given" : "Deborah K.", "non-dropping-particle" : "", "parse-names" : false, "suffix" : "" }, { "dropping-particle" : "", "family" : "Lomas", "given" : "Michael W.", "non-dropping-particle" : "", "parse-names" : false, "suffix" : "" }, { "dropping-particle" : "", "family" : "Cope", "given" : "Joseph S.", "non-dropping-particle" : "", "parse-names" : false, "suffix" : "" } ], "container-title" : "Global Biogeochemical Cycles", "id" : "ITEM-5", "issue" : "1", "issued" : { "date-parts" : [ [ "2012" ] ] }, "page" : "1-16", "title" : "Long-term increase in mesozooplankton biomass in the Sargasso Sea: Linkage to climate and implications for food web dynamics and biogeochemical cycling", "type" : "article-journal", "volume" : "26" }, "uris" : [ "http://www.mendeley.com/documents/?uuid=b8e3bd57-fa1e-48d4-bea9-6dc20d2126d4" ] }, { "id" : "ITEM-6", "itemData" : { "DOI" : "10.1016/j.pocean.2009.07.036", "ISBN" : "0079-6611", "ISSN" : "00796611", "abstract" : "The information from 54 drifting sediment traps deployed between 1997 and 2006 along the Humboldt Current System off Chile (from 19.9\u00b0S to 42.2\u00b0S) was analyzed to contribute to unveiling the recurrent global-ocean issue of the lack of relationship between gross primary production (GPP) and particulate organic carbon (POC) export below 50 m depth. When the proportion of carbon that effectively sinks is relatively low compared to the carbon being fixed through GPP, a significant amount (average of 32%) of the sinking organic matter is composed of diatoms, regardless of GPP rates. Such a fraction seems to be affected by the physiological state of phytoplankton. In contrast, when the fraction of carbon sinking is high relative to GPP, most of sinking organic matter is composed of euphausid faecal strings. Such a situation occurs at relatively low values of GPP and chlorophyll-a. Most of these high sinking rates of pellets and low phytoplankton biomass occur during summer, when physical conditions favour the presence of phytoplankton blooms, and when the GPP/Biomass ratio indicates healthy phytoplankton physiological conditions. All this evidence supports the assessment of the relevance of euphausiids as key species in the Humboldt Current System pointing to (i) the top-down control that euphausiids are capable of exerting over primary producer biomass, and (ii) euphausiids' paramount role on total organic carbon flux over the Concepci\u00f3n continental shelf, regarding both POC export to the sediments and possibly the channelling of GPP directly to higher trophic levels. \u00a9 2009 Elsevier Ltd. All rights reserved.", "author" : [ { "dropping-particle" : "", "family" : "Gonz\u00e1lez", "given" : "Humberto E.", "non-dropping-particle" : "", "parse-names" : false, "suffix" : "" }, { "dropping-particle" : "", "family" : "Daneri", "given" : "Giovanni", "non-dropping-particle" : "", "parse-names" : false, "suffix" : "" }, { "dropping-particle" : "", "family" : "Iriarte", "given" : "Jos\u00e9 L.", "non-dropping-particle" : "", "parse-names" : false, "suffix" : "" }, { "dropping-particle" : "", "family" : "Yannicelli", "given" : "Beatriz", "non-dropping-particle" : "", "parse-names" : false, "suffix" : "" }, { "dropping-particle" : "", "family" : "Menschel", "given" : "Eduardo", "non-dropping-particle" : "", "parse-names" : false, "suffix" : "" }, { "dropping-particle" : "", "family" : "Barr\u00eda", "given" : "Claudio", "non-dropping-particle" : "", "parse-names" : false, "suffix" : "" }, { "dropping-particle" : "", "family" : "Pantoja", "given" : "Silvio", "non-dropping-particle" : "", "parse-names" : false, "suffix" : "" }, { "dropping-particle" : "", "family" : "Liz\u00e1rraga", "given" : "Lorena", "non-dropping-particle" : "", "parse-names" : false, "suffix" : "" } ], "container-title" : "Progress in Oceanography", "id" : "ITEM-6", "issue" : "1-4", "issued" : { "date-parts" : [ [ "2009" ] ] }, "page" : "217-227", "publisher" : "Elsevier Ltd", "title" : "Carbon fluxes within the epipelagic zone of the Humboldt Current System off Chile: The significance of euphausiids and diatoms as key functional groups for the biological pump", "type" : "article-journal", "volume" : "83" }, "uris" : [ "http://www.mendeley.com/documents/?uuid=cf595c2a-aef4-4287-8b3c-fa304af79b2a" ] } ], "mendeley" : { "formattedCitation" : "(Gonz\u00e1lez et al. 2009; Steinberg et al. 2012; Manno et al. 2015; Rembauville et al. 2015; Belcher et al. 2017; Roca-Marti et al. 2017)", "plainTextFormattedCitation" : "(Gonz\u00e1lez et al. 2009; Steinberg et al. 2012; Manno et al. 2015; Rembauville et al. 2015; Belcher et al. 2017; Roca-Marti et al. 2017)", "previouslyFormattedCitation" : "(Gonz\u00e1lez et al. 2009; Steinberg et al. 2012; Manno et al. 2015; Rembauville et al. 2015; Belcher et al. 2017; Roca-Marti et al. 2017)" }, "properties" : {  }, "schema" : "https://github.com/citation-style-language/schema/raw/master/csl-citation.json" }</w:instrText>
      </w:r>
      <w:r w:rsidR="001F6196">
        <w:fldChar w:fldCharType="separate"/>
      </w:r>
      <w:r w:rsidR="002C626D" w:rsidRPr="002C626D">
        <w:rPr>
          <w:noProof/>
        </w:rPr>
        <w:t>(González et al. 2009; Steinberg et al. 2012; Manno et al. 2015; Rembauville et al. 2015; Belcher et al. 2017; Roca-Marti et al. 2017)</w:t>
      </w:r>
      <w:r w:rsidR="001F6196">
        <w:fldChar w:fldCharType="end"/>
      </w:r>
      <w:r w:rsidR="00DA21AA">
        <w:t xml:space="preserve">. </w:t>
      </w:r>
      <w:r w:rsidR="0096579D">
        <w:t>More recently</w:t>
      </w:r>
      <w:r>
        <w:t xml:space="preserve"> however</w:t>
      </w:r>
      <w:r w:rsidR="0096579D">
        <w:t xml:space="preserve">, the important role of protists in marine ecosystems and particle flux has been highlighted </w:t>
      </w:r>
      <w:r w:rsidR="0096579D">
        <w:fldChar w:fldCharType="begin" w:fldLock="1"/>
      </w:r>
      <w:r w:rsidR="00B93937">
        <w:instrText>ADDIN CSL_CITATION { "citationItems" : [ { "id" : "ITEM-1", "itemData" : { "DOI" : "10.1038/nature17652", "ISSN" : "0028-0836", "author" : [ { "dropping-particle" : "", "family" : "Biard", "given" : "Tristan", "non-dropping-particle" : "", "parse-names" : false, "suffix" : "" }, { "dropping-particle" : "", "family" : "Stemmann", "given" : "Lars", "non-dropping-particle" : "", "parse-names" : false, "suffix" : "" }, { "dropping-particle" : "", "family" : "Picheral", "given" : "Marc", "non-dropping-particle" : "", "parse-names" : false, "suffix" : "" }, { "dropping-particle" : "", "family" : "Mayot", "given" : "Nicolas", "non-dropping-particle" : "", "parse-names" : false, "suffix" : "" }, { "dropping-particle" : "", "family" : "Vandromme", "given" : "Pieter", "non-dropping-particle" : "", "parse-names" : false, "suffix" : "" }, { "dropping-particle" : "", "family" : "Hauss", "given" : "Helena", "non-dropping-particle" : "", "parse-names" : false, "suffix" : "" }, { "dropping-particle" : "", "family" : "Gorsky", "given" : "Gabriel", "non-dropping-particle" : "", "parse-names" : false, "suffix" : "" }, { "dropping-particle" : "", "family" : "Guidi", "given" : "Lionel", "non-dropping-particle" : "", "parse-names" : false, "suffix" : "" }, { "dropping-particle" : "", "family" : "Kiko", "given" : "Rainer", "non-dropping-particle" : "", "parse-names" : false, "suffix" : "" }, { "dropping-particle" : "", "family" : "Not", "given" : "Fabrice", "non-dropping-particle" : "", "parse-names" : false, "suffix" : "" } ], "container-title" : "Nature", "id" : "ITEM-1", "issued" : { "date-parts" : [ [ "2016" ] ] }, "page" : "504-507", "publisher" : "Nature Publishing Group", "title" : "In situ imaging reveals the biomass of giant protists in the global ocean", "type" : "article-journal", "volume" : "532" }, "uris" : [ "http://www.mendeley.com/documents/?uuid=06490314-4954-48bd-8228-0f8eb6e5c7bc" ] }, { "id" : "ITEM-2", "itemData" : { "DOI" : "10.1038/nature16942", "ISSN" : "0028-0836", "PMID" : "26863193", "abstract" : "The biological carbon pump is the process by which CO2 is transformed to organic carbon via photosynthesis that sinks to the deep ocean as particles where it is sequestered. While the intensity of the pump correlates with plankton community composition, the underlying ecosystem structure and interactions driving the process remain largely uncharacterised. Here we use environmental and metagenomic data gathered during the Tara Oceans expedition to improve our understanding of the underlying processes. We show that specific plankton communities correlate with carbon export and highlight unexpected and overlooked taxa such as Radiolaria, alveolate parasites, as well as Synechococcus and their phages, as lineages most strongly associated with carbon export in the subtropical oligotrophic ocean. Additionally, we show that the relative abundance of just a few bacterial and viral genes can predict most of the variability in carbon export in these regions. Together these results help elucidate ecosystem drivers of the biological carbon pump and present a case study for scaling from genes-to-ecosystems.", "author" : [ { "dropping-particle" : "", "family" : "Guidi", "given" : "Lionel", "non-dropping-particle" : "", "parse-names" : false, "suffix" : "" }, { "dropping-particle" : "", "family" : "Chaffron", "given" : "Samuel", "non-dropping-particle" : "", "parse-names" : false, "suffix" : "" }, { "dropping-particle" : "", "family" : "Bittner", "given" : "Lucie", "non-dropping-particle" : "", "parse-names" : false, "suffix" : "" }, { "dropping-particle" : "", "family" : "Eveillard", "given" : "Damien", "non-dropping-particle" : "", "parse-names" : false, "suffix" : "" }, { "dropping-particle" : "", "family" : "Larhlimi", "given" : "Abdelhalim", "non-dropping-particle" : "", "parse-names" : false, "suffix" : "" }, { "dropping-particle" : "", "family" : "Roux", "given" : "Simon", "non-dropping-particle" : "", "parse-names" : false, "suffix" : "" }, { "dropping-particle" : "", "family" : "Darzi", "given" : "Youssef", "non-dropping-particle" : "", "parse-names" : false, "suffix" : "" }, { "dropping-particle" : "", "family" : "Audic", "given" : "St\u00e9phane", "non-dropping-particle" : "", "parse-names" : false, "suffix" : "" }, { "dropping-particle" : "", "family" : "Berline", "given" : "L\u00e9o", "non-dropping-particle" : "", "parse-names" : false, "suffix" : "" }, { "dropping-particle" : "", "family" : "Brum", "given" : "Jennifer", "non-dropping-particle" : "", "parse-names" : false, "suffix" : "" }, { "dropping-particle" : "", "family" : "Coelho", "given" : "Luis Pedro", "non-dropping-particle" : "", "parse-names" : false, "suffix" : "" }, { "dropping-particle" : "", "family" : "Espinoza", "given" : "Julio Cesar Ignacio", "non-dropping-particle" : "", "parse-names" : false, "suffix" : "" }, { "dropping-particle" : "", "family" : "Malviya", "given" : "Shruti", "non-dropping-particle" : "", "parse-names" : false, "suffix" : "" }, { "dropping-particle" : "", "family" : "Sunagawa", "given" : "Shinichi", "non-dropping-particle" : "", "parse-names" : false, "suffix" : "" }, { "dropping-particle" : "", "family" : "Dimier", "given" : "C\u00e9line", "non-dropping-particle" : "", "parse-names" : false, "suffix" : "" }, { "dropping-particle" : "", "family" : "Kandels-Lewis", "given" : "Stefanie", "non-dropping-particle" : "", "parse-names" : false, "suffix" : "" }, { "dropping-particle" : "", "family" : "Picheral", "given" : "Marc", "non-dropping-particle" : "", "parse-names" : false, "suffix" : "" }, { "dropping-particle" : "", "family" : "Poulain", "given" : "Julie", "non-dropping-particle" : "", "parse-names" : false, "suffix" : "" }, { "dropping-particle" : "", "family" : "Searson", "given" : "Sarah", "non-dropping-particle" : "", "parse-names" : false, "suffix" : "" }, { "dropping-particle" : "", "family" : "Coordinators", "given" : "Tara Oceans", "non-dropping-particle" : "", "parse-names" : false, "suffix" : "" }, { "dropping-particle" : "", "family" : "Stemmann", "given" : "Lars", "non-dropping-particle" : "", "parse-names" : false, "suffix" : "" }, { "dropping-particle" : "", "family" : "Not", "given" : "Fabrice", "non-dropping-particle" : "", "parse-names" : false, "suffix" : "" }, { "dropping-particle" : "", "family" : "Hingamp", "given" : "Pascal", "non-dropping-particle" : "", "parse-names" : false, "suffix" : "" }, { "dropping-particle" : "", "family" : "Speich", "given" : "Sabrina", "non-dropping-particle" : "", "parse-names" : false, "suffix" : "" }, { "dropping-particle" : "", "family" : "Follows", "given" : "Mick", "non-dropping-particle" : "", "parse-names" : false, "suffix" : "" }, { "dropping-particle" : "", "family" : "Karp-Boss", "given" : "Lee", "non-dropping-particle" : "", "parse-names" : false, "suffix" : "" }, { "dropping-particle" : "", "family" : "Boss", "given" : "Emmanuel", "non-dropping-particle" : "", "parse-names" : false, "suffix" : "" }, { "dropping-particle" : "", "family" : "Ogata", "given" : "Hiroyuki", "non-dropping-particle" : "", "parse-names" : false, "suffix" : "" }, { "dropping-particle" : "", "family" : "Pesant", "given" : "St\u00e9phane", "non-dropping-particle" : "", "parse-names" : false, "suffix" : "" }, { "dropping-particle" : "", "family" : "Weissenbach", "given" : "Jean", "non-dropping-particle" : "", "parse-names" : false, "suffix" : "" }, { "dropping-particle" : "", "family" : "Wincker", "given" : "Patrick", "non-dropping-particle" : "", "parse-names" : false, "suffix" : "" }, { "dropping-particle" : "", "family" : "Acinas", "given" : "Silvia G.", "non-dropping-particle" : "", "parse-names" : false, "suffix" : "" }, { "dropping-particle" : "", "family" : "Bork", "given" : "Peer", "non-dropping-particle" : "", "parse-names" : false, "suffix" : "" }, { "dropping-particle" : "", "family" : "Vargas", "given" : "Colomban", "non-dropping-particle" : "de", "parse-names" : false, "suffix" : "" }, { "dropping-particle" : "", "family" : "Iudicone", "given" : "Daniele", "non-dropping-particle" : "", "parse-names" : false, "suffix" : "" }, { "dropping-particle" : "", "family" : "Sullivan", "given" : "Matthew B.", "non-dropping-particle" : "", "parse-names" : false, "suffix" : "" }, { "dropping-particle" : "", "family" : "Raes", "given" : "Jeroen", "non-dropping-particle" : "", "parse-names" : false, "suffix" : "" }, { "dropping-particle" : "", "family" : "Karsenti", "given" : "Eric", "non-dropping-particle" : "", "parse-names" : false, "suffix" : "" }, { "dropping-particle" : "", "family" : "Bowler", "given" : "Chris", "non-dropping-particle" : "", "parse-names" : false, "suffix" : "" }, { "dropping-particle" : "", "family" : "Gorsky", "given" : "Gabriel", "non-dropping-particle" : "", "parse-names" : false, "suffix" : "" } ], "container-title" : "Nature", "id" : "ITEM-2", "issued" : { "date-parts" : [ [ "2016" ] ] }, "page" : "465-470", "publisher" : "Nature Publishing Group", "title" : "Plankton networks driving carbon export in the oligotrophic ocean", "type" : "article-journal", "volume" : "532" }, "uris" : [ "http://www.mendeley.com/documents/?uuid=dd89cb1a-a208-4fae-aa27-254a282f1bfb" ] }, { "id" : "ITEM-3", "itemData" : { "DOI" : "10.1016/j.jmarsys.2016.08.010", "ISBN" : "0924-7963", "ISSN" : "09247963", "abstract" : "The Ross Sea plays a major role in the transfer of organic carbon from the surface into the deep sea due to the combination of high seasonal productivity and Antarctic bottom water formation. Here we present a particle inventory of the Ross Sea based on a combined deployment of a video particle profiler (VPP) and a high-resolution digital holographic microscope (DIHM). Long-distance (100 s of kilometers) and short-distance (10 s of kilometers) sections showed high variability of particle distributions that co-varied with the density structure of the water column. Particle export was apparent at sites of locally weakened pycnoclines, likely an indirect effect of nutrient mixing into the surface layer and local blooms that lead to export. Particle volume abundances at 200\u2013300 m depth were highly correlated with particle volume abundances in the upper mixed layer (&lt; 60 m), consistent with particles at depth primarily the result of export rather than lateral advection. Phaeocystis antarctica (Haptophyta) colonies that were initially retained in the mixed layer sank below the euphotic zone within a period of two weeks. Fine-scale analysis at a resolution &lt; 1 m revealed a significantly overdispersed (i.e., highly patchy) environment in all casts. Patchiness, as determined by the Lloyd index of patchiness and the Index of Aggregation, increased in and below the pycnocline presumably due to aggregation of particles while accumulating on density gradients. In contrast, particles in the upper mixed layer and in the nepheloid layers were more randomly distributed. In 40 of the 84 VPP depth profiles, a periodicity of particle peaks ranged from 10 to 90 m with a mode of 30 m, which can be regarded as the \u201crelevant scale\u201d or \u201ccharacteristic patch size\u201d of the vertical distribution of particles. While chlorophyll fluorescence and particle mass determined by VPP were significantly correlated at higher particle abundances, the relationship changed from cast to cast, reflecting changes in the relative contribution of fresh phytoplankton to total particle mass. Particles that sank below the main pycnocline were composed of phytoplankton, marine snow with and without embedded phytoplankton, crustacean plankton, and a surprisingly high percentage of heterotrophic (and perhaps mixotrophic) protists, such as acantharians and tintinnids.", "author" : [ { "dropping-particle" : "", "family" : "Bochdansky", "given" : "Alexander B.", "non-dropping-particle" : "", "parse-names" : false, "suffix" : "" }, { "dropping-particle" : "", "family" : "Clouse", "given" : "Melissa A.", "non-dropping-particle" : "", "parse-names" : false, "suffix" : "" }, { "dropping-particle" : "", "family" : "Hansell", "given" : "Dennis A.", "non-dropping-particle" : "", "parse-names" : false, "suffix" : "" } ], "container-title" : "Journal of Marine Systems", "id" : "ITEM-3", "issued" : { "date-parts" : [ [ "2017" ] ] }, "page" : "120-131", "publisher" : "Elsevier B.V.", "title" : "Mesoscale and high-frequency variability of macroscopic particles (&gt;100\u03bcm) in the Ross Sea and its relevance for late-season particulate carbon export", "type" : "article-journal", "volume" : "166" }, "uris" : [ "http://www.mendeley.com/documents/?uuid=962f0f9c-56e5-40c2-93c3-cc1c4f0a6eca" ] } ], "mendeley" : { "formattedCitation" : "(Biard et al. 2016; Guidi et al. 2016; Bochdansky et al. 2017)", "plainTextFormattedCitation" : "(Biard et al. 2016; Guidi et al. 2016; Bochdansky et al. 2017)", "previouslyFormattedCitation" : "(Biard et al. 2016; Guidi et al. 2016; Bochdansky et al. 2017)" }, "properties" : {  }, "schema" : "https://github.com/citation-style-language/schema/raw/master/csl-citation.json" }</w:instrText>
      </w:r>
      <w:r w:rsidR="0096579D">
        <w:fldChar w:fldCharType="separate"/>
      </w:r>
      <w:r w:rsidR="000C32D3" w:rsidRPr="000C32D3">
        <w:rPr>
          <w:noProof/>
        </w:rPr>
        <w:t>(Biard et al. 2016; Guidi et al. 2016; Bochdansky et al. 2017)</w:t>
      </w:r>
      <w:r w:rsidR="0096579D">
        <w:fldChar w:fldCharType="end"/>
      </w:r>
      <w:r w:rsidR="00FF123C">
        <w:t>.</w:t>
      </w:r>
      <w:r w:rsidR="00C7407E">
        <w:t xml:space="preserve"> Protis</w:t>
      </w:r>
      <w:r w:rsidR="00CE3890">
        <w:t>t</w:t>
      </w:r>
      <w:r w:rsidR="00C7407E">
        <w:t xml:space="preserve">s are unicellular eukaryotes comprising many plant-like and </w:t>
      </w:r>
      <w:r w:rsidR="00CE3890">
        <w:t>animal</w:t>
      </w:r>
      <w:r w:rsidR="00C7407E">
        <w:t>-l</w:t>
      </w:r>
      <w:r w:rsidR="00E6123D">
        <w:t>ike organisms such as diatoms, dinoflagellates and r</w:t>
      </w:r>
      <w:r w:rsidR="00C7407E">
        <w:t>adiolaria</w:t>
      </w:r>
      <w:r w:rsidR="00CE3890">
        <w:t>.</w:t>
      </w:r>
    </w:p>
    <w:p w14:paraId="7A7A9820" w14:textId="7A9C76EE" w:rsidR="00D91309" w:rsidRDefault="00FF123C" w:rsidP="000C32D3">
      <w:pPr>
        <w:spacing w:line="360" w:lineRule="auto"/>
      </w:pPr>
      <w:r w:rsidRPr="00FF123C">
        <w:t xml:space="preserve">Acantharia </w:t>
      </w:r>
      <w:r>
        <w:t xml:space="preserve">are marine protists </w:t>
      </w:r>
      <w:r w:rsidRPr="00FF123C">
        <w:t>belonging to the Radiolaria</w:t>
      </w:r>
      <w:r w:rsidR="00EE242A">
        <w:t xml:space="preserve"> subphylum</w:t>
      </w:r>
      <w:r w:rsidR="00E02F09">
        <w:t>. They are found globally</w:t>
      </w:r>
      <w:r w:rsidRPr="00FF123C">
        <w:t xml:space="preserve"> and have</w:t>
      </w:r>
      <w:r w:rsidR="00D91309" w:rsidRPr="00FF123C">
        <w:t xml:space="preserve"> celestite (strontium sulphate</w:t>
      </w:r>
      <w:r w:rsidRPr="00FF123C">
        <w:t>, SrSO</w:t>
      </w:r>
      <w:r w:rsidRPr="00FF123C">
        <w:rPr>
          <w:vertAlign w:val="subscript"/>
        </w:rPr>
        <w:t>4</w:t>
      </w:r>
      <w:r w:rsidR="006C1EFE">
        <w:t>) skeletons, which is</w:t>
      </w:r>
      <w:r w:rsidR="00D91309" w:rsidRPr="00FF123C">
        <w:t xml:space="preserve"> the d</w:t>
      </w:r>
      <w:r w:rsidRPr="00FF123C">
        <w:t xml:space="preserve">ensest known organic biomineral. However, </w:t>
      </w:r>
      <w:r w:rsidR="00CE3890">
        <w:t>they do not typically</w:t>
      </w:r>
      <w:r w:rsidR="00D91309" w:rsidRPr="00FF123C">
        <w:t xml:space="preserve"> contribute significantly to sinking particle flux in the mesopelagic </w:t>
      </w:r>
      <w:r w:rsidR="003F5FB4">
        <w:t xml:space="preserve">zone </w:t>
      </w:r>
      <w:r w:rsidR="00D91309" w:rsidRPr="00FF123C">
        <w:t xml:space="preserve">and below </w:t>
      </w:r>
      <w:r w:rsidR="00D91309" w:rsidRPr="00FF123C">
        <w:fldChar w:fldCharType="begin" w:fldLock="1"/>
      </w:r>
      <w:r w:rsidR="00B93937">
        <w:instrText>ADDIN CSL_CITATION { "citationItems" : [ { "id" : "ITEM-1", "itemData" : { "DOI" : "10.1016/j.pocean.2007.11.003", "author" : [ { "dropping-particle" : "", "family" : "Honjo", "given" : "Susumu", "non-dropping-particle" : "", "parse-names" : false, "suffix" : "" }, { "dropping-particle" : "", "family" : "Manganini", "given" : "Steven J", "non-dropping-particle" : "", "parse-names" : false, "suffix" : "" }, { "dropping-particle" : "", "family" : "Krishfield", "given" : "Richard A", "non-dropping-particle" : "", "parse-names" : false, "suffix" : "" }, { "dropping-particle" : "", "family" : "Francois", "given" : "Roger", "non-dropping-particle" : "", "parse-names" : false, "suffix" : "" } ], "container-title" : "Progress in Oceanography", "id" : "ITEM-1", "issued" : { "date-parts" : [ [ "2008" ] ] }, "page" : "217-285", "title" : "Particulate organic carbon fluxes to the ocean interior and factors controlling the biological pump : A synthesis of global sediment trap programs since 1983", "type" : "article-journal", "volume" : "76" }, "uris" : [ "http://www.mendeley.com/documents/?uuid=fb8caf9f-1b8f-4660-8af1-456ec5f67c55" ] } ], "mendeley" : { "formattedCitation" : "(Honjo et al. 2008)", "plainTextFormattedCitation" : "(Honjo et al. 2008)", "previouslyFormattedCitation" : "(Honjo et al. 2008)" }, "properties" : {  }, "schema" : "https://github.com/citation-style-language/schema/raw/master/csl-citation.json" }</w:instrText>
      </w:r>
      <w:r w:rsidR="00D91309" w:rsidRPr="00FF123C">
        <w:fldChar w:fldCharType="separate"/>
      </w:r>
      <w:r w:rsidR="0055768E" w:rsidRPr="00FF123C">
        <w:rPr>
          <w:noProof/>
        </w:rPr>
        <w:t>(Honjo et al. 2008)</w:t>
      </w:r>
      <w:r w:rsidR="00D91309" w:rsidRPr="00FF123C">
        <w:fldChar w:fldCharType="end"/>
      </w:r>
      <w:r w:rsidRPr="00FF123C">
        <w:t xml:space="preserve">, </w:t>
      </w:r>
      <w:r w:rsidR="00B01298">
        <w:t>likely because</w:t>
      </w:r>
      <w:r w:rsidR="00D91309" w:rsidRPr="00FF123C">
        <w:t xml:space="preserve"> seawater is undersaturated in strontium sulphate</w:t>
      </w:r>
      <w:r w:rsidR="00570620">
        <w:t>,</w:t>
      </w:r>
      <w:r w:rsidR="00B01298">
        <w:t xml:space="preserve"> resulting in </w:t>
      </w:r>
      <w:r w:rsidR="00D91309" w:rsidRPr="00FF123C">
        <w:t xml:space="preserve">dissolution of </w:t>
      </w:r>
      <w:r w:rsidR="006578F6">
        <w:t>A</w:t>
      </w:r>
      <w:r w:rsidR="00D91309" w:rsidRPr="00FF123C">
        <w:t>cantharia skeletons as the</w:t>
      </w:r>
      <w:r>
        <w:t>y sink through the water column</w:t>
      </w:r>
      <w:r w:rsidR="00BF096C">
        <w:t xml:space="preserve"> </w:t>
      </w:r>
      <w:r w:rsidR="00BF096C">
        <w:fldChar w:fldCharType="begin" w:fldLock="1"/>
      </w:r>
      <w:r w:rsidR="00B93937">
        <w:instrText>ADDIN CSL_CITATION { "citationItems" : [ { "id" : "ITEM-1", "itemData" : { "DOI" : "10.4319/lo.1970.15.5.0825", "author" : [ { "dropping-particle" : "", "family" : "Beers", "given" : "J R", "non-dropping-particle" : "", "parse-names" : false, "suffix" : "" }, { "dropping-particle" : "", "family" : "Steward", "given" : "G L", "non-dropping-particle" : "", "parse-names" : false, "suffix" : "" } ], "container-title" : "Limnology and Oceanography", "id" : "ITEM-1", "issued" : { "date-parts" : [ [ "1970" ] ] }, "page" : "825-827", "title" : "The preservation of acantharians in fixed plankton samples", "type" : "article-journal", "volume" : "15" }, "uris" : [ "http://www.mendeley.com/documents/?uuid=85fd1ff1-42c8-46e6-933b-2b0d7abfebb6", "http://www.mendeley.com/documents/?uuid=5cfe4cd8-3634-4bba-9d34-0e5d7ae738f5" ] }, { "id" : "ITEM-2", "itemData" : { "DOI" : "10.1029/GM063p0369", "author" : [ { "dropping-particle" : "", "family" : "Bernstein", "given" : "Renate E", "non-dropping-particle" : "", "parse-names" : false, "suffix" : "" }, { "dropping-particle" : "", "family" : "Betzer", "given" : "Peter R", "non-dropping-particle" : "", "parse-names" : false, "suffix" : "" } ], "container-title" : "Marine Particles: Analysis and Characterization", "editor" : [ { "dropping-particle" : "", "family" : "Hurd", "given" : "D C", "non-dropping-particle" : "", "parse-names" : false, "suffix" : "" }, { "dropping-particle" : "", "family" : "W", "given" : "Spencer D", "non-dropping-particle" : "", "parse-names" : false, "suffix" : "" } ], "id" : "ITEM-2", "issued" : { "date-parts" : [ [ "1991" ] ] }, "page" : "369-374", "publisher" : "American Geophysical Union", "publisher-place" : "Washington, DC", "title" : "Labile phases and the ocean's strontium cycle: A method of sediment trap sampling for acantharians", "type" : "chapter" }, "uris" : [ "http://www.mendeley.com/documents/?uuid=b12e71a0-bf66-4879-bd9a-d405aac3c8c8" ] } ], "mendeley" : { "formattedCitation" : "(Beers and Steward 1970; Bernstein and Betzer 1991)", "plainTextFormattedCitation" : "(Beers and Steward 1970; Bernstein and Betzer 1991)", "previouslyFormattedCitation" : "(Beers and Steward 1970; Bernstein and Betzer 1991)" }, "properties" : {  }, "schema" : "https://github.com/citation-style-language/schema/raw/master/csl-citation.json" }</w:instrText>
      </w:r>
      <w:r w:rsidR="00BF096C">
        <w:fldChar w:fldCharType="separate"/>
      </w:r>
      <w:r w:rsidR="000C32D3" w:rsidRPr="000C32D3">
        <w:rPr>
          <w:noProof/>
        </w:rPr>
        <w:t>(Beers and Steward 1970; Bernstein and Betzer 1991)</w:t>
      </w:r>
      <w:r w:rsidR="00BF096C">
        <w:fldChar w:fldCharType="end"/>
      </w:r>
      <w:r>
        <w:t>. Recently however, large fluxes of acantharia</w:t>
      </w:r>
      <w:r w:rsidR="00C55000">
        <w:t>n</w:t>
      </w:r>
      <w:r>
        <w:t xml:space="preserve"> </w:t>
      </w:r>
      <w:r w:rsidR="005C309F">
        <w:t xml:space="preserve">cysts </w:t>
      </w:r>
      <w:r>
        <w:t xml:space="preserve">were measured at depths of 2000 m in the Iceland Basin, highlighting that </w:t>
      </w:r>
      <w:r w:rsidR="006578F6">
        <w:t>A</w:t>
      </w:r>
      <w:r>
        <w:t xml:space="preserve">cantharia can also contribute to fluxes </w:t>
      </w:r>
      <w:r w:rsidR="00EE242A">
        <w:t xml:space="preserve">in the bathypelagic zone </w:t>
      </w:r>
      <w:r>
        <w:t xml:space="preserve">despite their high solubility </w:t>
      </w:r>
      <w:r>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"http://www.mendeley.com/documents/?uuid=0aae0990-6e45-44cb-9bcb-7fa99005d3ce", "http://www.mendeley.com/documents/?uuid=94b6c34f-6265-4b24-9de4-db2cce10f37d" ] } ], "mendeley" : { "formattedCitation" : "(Martin et al. 2010)", "plainTextFormattedCitation" : "(Martin et al. 2010)", "previouslyFormattedCitation" : "(Martin et al. 2010)" }, "properties" : {  }, "schema" : "https://github.com/citation-style-language/schema/raw/master/csl-citation.json" }</w:instrText>
      </w:r>
      <w:r>
        <w:fldChar w:fldCharType="separate"/>
      </w:r>
      <w:r w:rsidRPr="00FF123C">
        <w:rPr>
          <w:noProof/>
        </w:rPr>
        <w:t>(Martin et al. 2010)</w:t>
      </w:r>
      <w:r>
        <w:fldChar w:fldCharType="end"/>
      </w:r>
      <w:r>
        <w:t>.</w:t>
      </w:r>
      <w:r w:rsidR="005C309F">
        <w:t xml:space="preserve"> Acantharia form cysts as part of their reproductive cycle, a process in which the spicules of the skeleton are reabsorbed and a thick celestite shell is deposited </w:t>
      </w:r>
      <w:r w:rsidR="005C309F">
        <w:fldChar w:fldCharType="begin" w:fldLock="1"/>
      </w:r>
      <w:r w:rsidR="00B93937">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"http://www.mendeley.com/documents/?uuid=76efd1f3-04d9-447e-8870-e84c765d1d1c", "http://www.mendeley.com/documents/?uuid=25fae23b-4772-4666-b5f9-026c89bcf63a" ] } ], "mendeley" : { "formattedCitation" : "(Decelle et al. 2013)", "plainTextFormattedCitation" : "(Decelle et al. 2013)", "previouslyFormattedCitation" : "(Decelle et al. 2013)" }, "properties" : {  }, "schema" : "https://github.com/citation-style-language/schema/raw/master/csl-citation.json" }</w:instrText>
      </w:r>
      <w:r w:rsidR="005C309F">
        <w:fldChar w:fldCharType="separate"/>
      </w:r>
      <w:r w:rsidR="005C309F" w:rsidRPr="005C309F">
        <w:rPr>
          <w:noProof/>
        </w:rPr>
        <w:t>(Decelle et al. 2013)</w:t>
      </w:r>
      <w:r w:rsidR="005C309F">
        <w:fldChar w:fldCharType="end"/>
      </w:r>
      <w:r w:rsidR="005C309F">
        <w:t>. Cysts are typically larger than the vegetative acantharia</w:t>
      </w:r>
      <w:r w:rsidR="00417EBD">
        <w:t>n</w:t>
      </w:r>
      <w:r w:rsidR="005C309F">
        <w:t xml:space="preserve"> cell, and</w:t>
      </w:r>
      <w:r w:rsidR="00B97B44">
        <w:t>,</w:t>
      </w:r>
      <w:r w:rsidR="005C309F">
        <w:t xml:space="preserve"> due to both their size and density</w:t>
      </w:r>
      <w:r w:rsidR="00B97B44">
        <w:t>,</w:t>
      </w:r>
      <w:r w:rsidR="005C309F">
        <w:t xml:space="preserve"> have high sinking rates (103-770 m d</w:t>
      </w:r>
      <w:r w:rsidR="005C309F" w:rsidRPr="005C309F">
        <w:rPr>
          <w:vertAlign w:val="superscript"/>
        </w:rPr>
        <w:t>-1</w:t>
      </w:r>
      <w:r w:rsidR="005C309F">
        <w:t xml:space="preserve">, </w:t>
      </w:r>
      <w:r w:rsidR="005C309F">
        <w:fldChar w:fldCharType="begin" w:fldLock="1"/>
      </w:r>
      <w:r w:rsidR="00B93937">
        <w:instrText>ADDIN CSL_CITATION { "citationItems" : [ { "id" : "ITEM-1",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"ITEM-1", "issue" : "1", "issued" : { "date-parts" : [ [ "1993" ] ] }, "page" : "99-114", "title" : "Abundance, encystment and sedimentation of acantharia during autumn 1990 in the East Greenland Sea", "type" : "article-journal", "volume" : "15" }, "uris" : [ "http://www.mendeley.com/documents/?uuid=26c32220-bbd7-4ed1-98f3-5fb9f6766313" ] }, { "id" : "ITEM-2",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"ITEM-2",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"(Antia et al. 1993; Martin et al. 2010)", "manualFormatting" : "Antia et al. 1993, Martin et al. 2010)", "plainTextFormattedCitation" : "(Antia et al. 1993; Martin et al. 2010)", "previouslyFormattedCitation" : "(Antia et al. 1993; Martin et al. 2010)" }, "properties" : {  }, "schema" : "https://github.com/citation-style-language/schema/raw/master/csl-citation.json" }</w:instrText>
      </w:r>
      <w:r w:rsidR="005C309F">
        <w:fldChar w:fldCharType="separate"/>
      </w:r>
      <w:r w:rsidR="005C309F" w:rsidRPr="005C309F">
        <w:rPr>
          <w:noProof/>
        </w:rPr>
        <w:t>Antia et al. 1993, Martin et al. 2010)</w:t>
      </w:r>
      <w:r w:rsidR="005C309F">
        <w:fldChar w:fldCharType="end"/>
      </w:r>
      <w:r w:rsidR="005C309F">
        <w:t>.</w:t>
      </w:r>
      <w:r w:rsidR="00B93937">
        <w:t xml:space="preserve"> These rates are high compared to those of individual diatom cells, typically &lt;1-10 m d</w:t>
      </w:r>
      <w:r w:rsidR="00B93937" w:rsidRPr="00B93937">
        <w:rPr>
          <w:vertAlign w:val="superscript"/>
        </w:rPr>
        <w:t>-1</w:t>
      </w:r>
      <w:r w:rsidR="00B93937">
        <w:t xml:space="preserve"> </w:t>
      </w:r>
      <w:r w:rsidR="00B93937">
        <w:fldChar w:fldCharType="begin" w:fldLock="1"/>
      </w:r>
      <w:r w:rsidR="00B93937">
        <w:instrText>ADDIN CSL_CITATION { "citationItems" : [ { "id" : "ITEM-1", "itemData" : { "author" : [ { "dropping-particle" : "", "family" : "Smayda", "given" : "T J", "non-dropping-particle" : "", "parse-names" : false, "suffix" : "" } ], "container-title" : "Oceanography and Marine Biology Annual Review", "id" : "ITEM-1", "issued" : { "date-parts" : [ [ "1970" ] ] }, "page" : "353-414", "title" : "The suspension and sinking of phytoplankton in the sea", "type" : "article-journal", "volume" : "8" }, "uris" : [ "http://www.mendeley.com/documents/?uuid=296ab67c-a5be-49da-9f31-c220d8f2c716" ] }, { "id" : "ITEM-2", "itemData" : { "DOI" : "10.3354/meps157097", "ISBN" : "0171-8630", "ISSN" : "01718630", "abstract" : "It has been shown that for dead marine diatom cells or diatom cells which are severely stressed metabolically, larger cells sink faster than small cells as dictated by Stokes' Law. In these cases, the slope of the sinking rate versus cell volume relationship within a culture reaches a maximum. Within cultures of rapidly dividing cells, larger cells' sinking rate is reduced physiologically to that of smaller cells and the slope of this relationship approaches zero. In several marine diatom species between 5 and 100 mu m in diameter, deviations from the maximum slope of the volume versus sinking rate relationship could be used to quantify the physiological reduction of sinking rates. This allowed us to differentiate 2 different components of sinking rate control, the ballasting component (driven by changes in cell composition and volume) which, when dominant, causes sinking sates to be proportional to cell volume and the energy-requiring, protoplast and vacuolar component which, when active, allows sinking rates to become independent of cell volume. Across the 9 species of diatoms examined, including the 3 single-celled species (Ditylum brightwellii, Thalassiosira pseudonana, and T. weissnogii), 4 chain-forming coastal bloom diatoms (T. aestivalis, Skeletonema costatum, Chaetoceros debilis and C. compressum) and 2 large floating open ocean species (Ethmodiscus sp. and entire Rhizosolenia spp. mats), these was a strong correlation between log cell volume and sinking rate only for cells that were metabolically inactivated either through extended dark treatment or through treatment with the respiratory inhibitor KCN. This was true both within and between cultures. However, no correlation between sinking rate and cell volume was found for rapidly growing cells maintained at saturating irradiances. This supports the notion that there is no obligate correlation between cell volume and sinking rate for metabolically active cells. This potential for cellular modification of the sinking rate versus volume relationship suggests that physiological state may be an important feature to include in models where carbon flux is predicted on the basis of particle size spectra. We suggest that the minimum cell Volume necessary for active sinking rate control is ca 200 mu m(3), and that this represents a lower limit for Villareal's (1988; Deep Sea Res 35:1037-1045) theoretical minimum volume necessary for positive buoyancy.", "author" : [ { "dropping-particle" : "", "family" : "Waite", "given" : "A", "non-dropping-particle" : "", "parse-names" : false, "suffix" : "" }, { "dropping-particle" : "", "family" : "Fisher", "given" : "A", "non-dropping-particle" : "", "parse-names" : false, "suffix" : "" }, { "dropping-particle" : "", "family" : "Thompson", "given" : "P A", "non-dropping-particle" : "", "parse-names" : false, "suffix" : "" }, { "dropping-particle" : "", "family" : "Harrison", "given" : "P J", "non-dropping-particle" : "", "parse-names" : false, "suffix" : "" } ], "container-title" : "Marine Ecology-Progress Series", "id" : "ITEM-2", "issued" : { "date-parts" : [ [ "1997" ] ] }, "page" : "97-108", "title" : "Sinking rate versus cell volume relationships illuminate sinking rate control mechanisms in marine diatoms", "type" : "article-journal", "volume" : "157" }, "uris" : [ "http://www.mendeley.com/documents/?uuid=571f0c20-16e1-4f92-b747-ec088ff63b21" ] } ], "mendeley" : { "formattedCitation" : "(Smayda 1970; Waite et al. 1997)", "plainTextFormattedCitation" : "(Smayda 1970; Waite et al. 1997)", "previouslyFormattedCitation" : "(Smayda 1970; Waite et al. 1997)" }, "properties" : {  }, "schema" : "https://github.com/citation-style-language/schema/raw/master/csl-citation.json" }</w:instrText>
      </w:r>
      <w:r w:rsidR="00B93937">
        <w:fldChar w:fldCharType="separate"/>
      </w:r>
      <w:r w:rsidR="00B93937" w:rsidRPr="00B93937">
        <w:rPr>
          <w:noProof/>
        </w:rPr>
        <w:t>(Smayda 1970; Waite et al. 1997)</w:t>
      </w:r>
      <w:r w:rsidR="00B93937">
        <w:fldChar w:fldCharType="end"/>
      </w:r>
      <w:r w:rsidR="00B93937">
        <w:t>, and to those of diatom aggregates of a similar size (&lt;50</w:t>
      </w:r>
      <w:r w:rsidR="00B5020D">
        <w:t>m d</w:t>
      </w:r>
      <w:r w:rsidR="00B5020D" w:rsidRPr="00B93937">
        <w:rPr>
          <w:vertAlign w:val="superscript"/>
        </w:rPr>
        <w:t>-1</w:t>
      </w:r>
      <w:r w:rsidR="00B93937">
        <w:t xml:space="preserve">, </w:t>
      </w:r>
      <w:r w:rsidR="00B93937">
        <w:fldChar w:fldCharType="begin" w:fldLock="1"/>
      </w:r>
      <w:r w:rsidR="00B93937">
        <w:instrText>ADDIN CSL_CITATION { "citationItems" : [ { "id" : "ITEM-1", "itemData" : { "DOI" : "10.5194/bg-10-4073-2013", "ISSN" : "1726-4170", "abstract" : "Most deep ocean carbon flux profiles show low and almost constant fluxes of particulate organic carbon (POC) in the deep ocean. However, the reason for the non-changing POC fluxes at depths is unknown. This study presents direct measurements of formation, degradation, and sinking velocity of diatom aggregates from laboratory studies performed at 15 degrees C and 4 degrees C during a three-week experiment. The average carbon-specific respiration rate during the experiment was 0.12+/-0.03 at 15 degrees C, and decreased 3.5-fold when the temperature was lowered to 4 degrees C. No direct influence of temperature on aggregate sinking speed was observed. Using the remineralisation rate measured at 4 degrees C and an average particle sinking speed of 150 m d(-1), calculated carbon fluxes were similar to those collected in deep ocean sediment traps from a global data set, indicating that temperature plays a major role for deep ocean fluxes of POC.", "author" : [ { "dropping-particle" : "", "family" : "Iversen", "given" : "Morten Hvitfeldt", "non-dropping-particle" : "", "parse-names" : false, "suffix" : "" }, { "dropping-particle" : "", "family" : "Ploug", "given" : "Helle", "non-dropping-particle" : "", "parse-names" : false, "suffix" : "" } ], "container-title" : "Biogeosciences", "id" : "ITEM-1", "issued" : { "date-parts" : [ [ "2013" ] ] }, "note" : "Times Cited: 0&lt;m:linebreak&gt;&lt;/m:linebreak&gt;0", "page" : "4073-4085", "title" : "Temperature effects on carbon-specific respiration rate and sinking velocity of diatom aggregates - potential implications for deep ocean export processes", "type" : "article-journal", "volume" : "10" }, "uris" : [ "http://www.mendeley.com/documents/?uuid=89bb6652-a0d3-40f4-badd-c19a360a6367" ] } ], "mendeley" : { "formattedCitation" : "(Iversen and Ploug 2013)", "manualFormatting" : "Iversen and Ploug 2013)", "plainTextFormattedCitation" : "(Iversen and Ploug 2013)", "previouslyFormattedCitation" : "(Iversen and Ploug 2013)" }, "properties" : {  }, "schema" : "https://github.com/citation-style-language/schema/raw/master/csl-citation.json" }</w:instrText>
      </w:r>
      <w:r w:rsidR="00B93937">
        <w:fldChar w:fldCharType="separate"/>
      </w:r>
      <w:r w:rsidR="00B93937" w:rsidRPr="00B93937">
        <w:rPr>
          <w:noProof/>
        </w:rPr>
        <w:t>Iversen and Ploug 2013)</w:t>
      </w:r>
      <w:r w:rsidR="00B93937">
        <w:fldChar w:fldCharType="end"/>
      </w:r>
      <w:r w:rsidR="00B93937">
        <w:t xml:space="preserve">. Acantharian </w:t>
      </w:r>
      <w:r w:rsidR="005C309F">
        <w:t xml:space="preserve">cysts sink rapidly out of </w:t>
      </w:r>
      <w:r w:rsidR="005C309F">
        <w:lastRenderedPageBreak/>
        <w:t>the surface, and so it is thought that</w:t>
      </w:r>
      <w:r w:rsidR="00BF096C">
        <w:t xml:space="preserve"> </w:t>
      </w:r>
      <w:r w:rsidR="00B93937">
        <w:t>bi</w:t>
      </w:r>
      <w:r w:rsidR="00BF096C">
        <w:t xml:space="preserve">flagellated </w:t>
      </w:r>
      <w:r w:rsidR="006C1302">
        <w:t xml:space="preserve">swarmers </w:t>
      </w:r>
      <w:r w:rsidR="00BF096C">
        <w:t xml:space="preserve"> (</w:t>
      </w:r>
      <w:r w:rsidR="006C1302">
        <w:t>presumably gametes</w:t>
      </w:r>
      <w:r w:rsidR="00BF096C">
        <w:t xml:space="preserve">) are released </w:t>
      </w:r>
      <w:r w:rsidR="006C1EFE">
        <w:t xml:space="preserve">at mesopelagic and </w:t>
      </w:r>
      <w:r w:rsidR="006C1EFE" w:rsidRPr="0091305F">
        <w:t>bathypelagic depths</w:t>
      </w:r>
      <w:r w:rsidR="0091305F">
        <w:t>, either through pores or upon rupture of the cyst wall</w:t>
      </w:r>
      <w:r w:rsidR="00BF096C" w:rsidRPr="0091305F">
        <w:t xml:space="preserve"> </w:t>
      </w:r>
      <w:r w:rsidR="00BF096C" w:rsidRPr="0091305F">
        <w:fldChar w:fldCharType="begin" w:fldLock="1"/>
      </w:r>
      <w:r w:rsidR="00B93937" w:rsidRPr="0091305F">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"http://www.mendeley.com/documents/?uuid=76efd1f3-04d9-447e-8870-e84c765d1d1c" ] } ], "mendeley" : { "formattedCitation" : "(Decelle et al. 2013)", "plainTextFormattedCitation" : "(Decelle et al. 2013)", "previouslyFormattedCitation" : "(Decelle et al. 2013)" }, "properties" : {  }, "schema" : "https://github.com/citation-style-language/schema/raw/master/csl-citation.json" }</w:instrText>
      </w:r>
      <w:r w:rsidR="00BF096C" w:rsidRPr="0091305F">
        <w:fldChar w:fldCharType="separate"/>
      </w:r>
      <w:r w:rsidR="00BF096C" w:rsidRPr="0091305F">
        <w:rPr>
          <w:noProof/>
        </w:rPr>
        <w:t>(Decelle et al. 2013)</w:t>
      </w:r>
      <w:r w:rsidR="00BF096C" w:rsidRPr="0091305F">
        <w:fldChar w:fldCharType="end"/>
      </w:r>
      <w:r w:rsidR="006C1EFE" w:rsidRPr="0091305F">
        <w:t xml:space="preserve">. The </w:t>
      </w:r>
      <w:r w:rsidR="006C1EFE">
        <w:t xml:space="preserve">reason for the release of swarmers at depth is not yet fully understood </w:t>
      </w:r>
      <w:r w:rsidR="006C1EFE">
        <w:fldChar w:fldCharType="begin" w:fldLock="1"/>
      </w:r>
      <w:r w:rsidR="00B93937">
        <w:instrText>ADDIN CSL_CITATION { "citationItems" : [ { "id" : "ITEM-1", "itemData" : { "DOI" : "10.1002/9780470015902.a0002102.pub2", "ISBN" : "9780470015902", "author" : [ { "dropping-particle" : "", "family" : "Decelle", "given" : "Johan", "non-dropping-particle" : "", "parse-names" : false, "suffix" : "" }, { "dropping-particle" : "", "family" : "Not", "given" : "Fabrice", "non-dropping-particle" : "", "parse-names" : false, "suffix" : "" } ], "container-title" : "eLS", "id" : "ITEM-1", "issued" : { "date-parts" : [ [ "2015" ] ] }, "publisher" : "John Wiley &amp; Sons, Ltd", "publisher-place" : "Chichester", "title" : "Acantharia", "type" : "chapter" }, "uris" : [ "http://www.mendeley.com/documents/?uuid=6d95b82d-b5c2-413a-bded-dca3466f7a41", "http://www.mendeley.com/documents/?uuid=a11465e5-7511-4f9b-804c-500acf55ac8c" ] }, { "id" : "ITEM-2",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"ITEM-2",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Decelle and Not 2015)", "plainTextFormattedCitation" : "(Martin et al. 2010; Decelle and Not 2015)", "previouslyFormattedCitation" : "(Martin et al. 2010; Decelle and Not 2015)" }, "properties" : {  }, "schema" : "https://github.com/citation-style-language/schema/raw/master/csl-citation.json" }</w:instrText>
      </w:r>
      <w:r w:rsidR="006C1EFE">
        <w:fldChar w:fldCharType="separate"/>
      </w:r>
      <w:r w:rsidR="000C32D3" w:rsidRPr="000C32D3">
        <w:rPr>
          <w:noProof/>
        </w:rPr>
        <w:t>(Martin et al. 2010; Decelle and Not 2015)</w:t>
      </w:r>
      <w:r w:rsidR="006C1EFE">
        <w:fldChar w:fldCharType="end"/>
      </w:r>
      <w:r w:rsidR="006C1EFE">
        <w:t xml:space="preserve">, but </w:t>
      </w:r>
      <w:r w:rsidR="00340B8B">
        <w:t xml:space="preserve">as these cysts contain particulate organic carbon (POC) </w:t>
      </w:r>
      <w:r w:rsidR="006C1EFE">
        <w:t xml:space="preserve">and </w:t>
      </w:r>
      <w:r w:rsidR="00340B8B">
        <w:t xml:space="preserve">have </w:t>
      </w:r>
      <w:r w:rsidR="006C1EFE">
        <w:t>high sinking speeds</w:t>
      </w:r>
      <w:r w:rsidR="00340B8B">
        <w:t>,</w:t>
      </w:r>
      <w:r w:rsidR="006C1EFE">
        <w:t xml:space="preserve"> they have the potential to ballast </w:t>
      </w:r>
      <w:r w:rsidR="00340B8B">
        <w:t>POC</w:t>
      </w:r>
      <w:r w:rsidR="006C1EFE">
        <w:t xml:space="preserve"> to depth if they can survive dissolution in seawater.</w:t>
      </w:r>
    </w:p>
    <w:p w14:paraId="38503940" w14:textId="255D8B6E" w:rsidR="0021550C" w:rsidRDefault="0021550C" w:rsidP="0021550C">
      <w:pPr>
        <w:spacing w:line="360" w:lineRule="auto"/>
      </w:pPr>
      <w:r>
        <w:t xml:space="preserve">Unlike much of the Southern Ocean, the Scotia Sea is highly productive, with large and long lasting phytoplankton blooms particularly in the region of </w:t>
      </w:r>
      <w:r w:rsidRPr="007F1AD4">
        <w:t xml:space="preserve">South Georgia </w:t>
      </w:r>
      <w:r w:rsidRPr="007F1AD4">
        <w:fldChar w:fldCharType="begin" w:fldLock="1"/>
      </w:r>
      <w:r w:rsidR="00B93937">
        <w:instrText>ADDIN CSL_CITATION { "citationItems" : [ { "id" : "ITEM-1", "itemData" : { "DOI" : "10.1098/rstb.2006.1957", "ISSN" : "0962-8436", "author" : [ { "dropping-particle" : "", "family" : "Murphy", "given" : "E. J", "non-dropping-particle" : "", "parse-names" : false, "suffix" : "" }, { "dropping-particle" : "", "family" : "Watkins", "given" : "J. L", "non-dropping-particle" : "", "parse-names" : false, "suffix" : "" }, { "dropping-particle" : "", "family" : "Trathan", "given" : "P. N", "non-dropping-particle" : "", "parse-names" : false, "suffix" : "" }, { "dropping-particle" : "", "family" : "Reid", "given" : "K", "non-dropping-particle" : "", "parse-names" : false, "suffix" : "" }, { "dropping-particle" : "", "family" : "Meredith", "given" : "M. P", "non-dropping-particle" : "", "parse-names" : false, "suffix" : "" }, { "dropping-particle" : "", "family" : "Thorpe", "given" : "S. E", "non-dropping-particle" : "", "parse-names" : false, "suffix" : "" }, { "dropping-particle" : "", "family" : "Johnston", "given" : "N. M", "non-dropping-particle" : "", "parse-names" : false, "suffix" : "" }, { "dropping-particle" : "", "family" : "Clarke", "given" : "A", "non-dropping-particle" : "", "parse-names" : false, "suffix" : "" }, { "dropping-particle" : "", "family" : "Tarling", "given" : "G. A", "non-dropping-particle" : "", "parse-names" : false, "suffix" : "" }, { "dropping-particle" : "", "family" : "Collins", "given" : "M. A", "non-dropping-particle" : "", "parse-names" : false, "suffix" : "" }, { "dropping-particle" : "", "family" : "Forcada", "given" : "J", "non-dropping-particle" : "", "parse-names" : false, "suffix" : "" }, { "dropping-particle" : "", "family" : "Shreeve", "given" : "R. S", "non-dropping-particle" : "", "parse-names" : false, "suffix" : "" }, { "dropping-particle" : "", "family" : "Atkinson", "given" : "A", "non-dropping-particle" : "", "parse-names" : false, "suffix" : "" }, { "dropping-particle" : "", "family" : "Korb", "given" : "R", "non-dropping-particle" : "", "parse-names" : false, "suffix" : "" }, { "dropping-particle" : "", "family" : "Whitehouse", "given" : "M. J", "non-dropping-particle" : "", "parse-names" : false, "suffix" : "" }, { "dropping-particle" : "", "family" : "Ward", "given" : "P", "non-dropping-particle" : "", "parse-names" : false, "suffix" : "" }, { "dropping-particle" : "", "family" : "Rodhouse", "given" : "P. G", "non-dropping-particle" : "", "parse-names" : false, "suffix" : "" }, { "dropping-particle" : "", "family" : "Enderlein", "given" : "P", "non-dropping-particle" : "", "parse-names" : false, "suffix" : "" }, { "dropping-particle" : "", "family" : "Hirst", "given" : "A. G", "non-dropping-particle" : "", "parse-names" : false, "suffix" : "" }, { "dropping-particle" : "", "family" : "Martin", "given" : "A. R", "non-dropping-particle" : "", "parse-names" : false, "suffix" : "" }, { "dropping-particle" : "", "family" : "Hill", "given" : "S. L", "non-dropping-particle" : "", "parse-names" : false, "suffix" : "" }, { "dropping-particle" : "", "family" : "Staniland", "given" : "I. J", "non-dropping-particle" : "", "parse-names" : false, "suffix" : "" }, { "dropping-particle" : "", "family" : "Pond", "given" : "D. W", "non-dropping-particle" : "", "parse-names" : false, "suffix" : "" }, { "dropping-particle" : "", "family" : "Briggs", "given" : "D. R", "non-dropping-particle" : "", "parse-names" : false, "suffix" : "" }, { "dropping-particle" : "", "family" : "Cunningham", "given" : "N. J", "non-dropping-particle" : "", "parse-names" : false, "suffix" : "" }, { "dropping-particle" : "", "family" : "Fleming", "given" : "A. H", "non-dropping-particle" : "", "parse-names" : false, "suffix" : "" } ], "container-title" : "Philosophical Transactions of the Royal Society B: Biological Sciences", "id" : "ITEM-1", "issue" : "1477", "issued" : { "date-parts" : [ [ "2007", "1", "29" ] ] }, "page" : "113-148", "title" : "Spatial and temporal operation of the Scotia Sea ecosystem: a review of large-scale links in a krill centred food web", "type" : "article-journal", "volume" : "362" }, "uris" : [ "http://www.mendeley.com/documents/?uuid=e52eb7b9-fffe-4d87-a449-8761f1e13e76" ] }, { "id" : "ITEM-2", "itemData" : { "DOI" : "10.1016/j.dsr.2010.01.004", "ISSN" : "09670637", "author" : [ { "dropping-particle" : "", "family" : "Park", "given" : "Jisoo", "non-dropping-particle" : "", "parse-names" : false, "suffix" : "" }, { "dropping-particle" : "", "family" : "Oh", "given" : "Im-Sang", "non-dropping-particle" : "", "parse-names" : false, "suffix" : "" }, { "dropping-particle" : "", "family" : "Kim", "given" : "Hyun-Cheol", "non-dropping-particle" : "", "parse-names" : false, "suffix" : "" }, { "dropping-particle" : "", "family" : "Yoo", "given" : "Sinjae", "non-dropping-particle" : "", "parse-names" : false, "suffix" : "" } ], "container-title" : "Deep Sea Research Part I: Oceanographic Research Papers", "id" : "ITEM-2", "issue" : "4", "issued" : { "date-parts" : [ [ "2010", "4" ] ] }, "page" : "604-620", "publisher" : "Elsevier", "title" : "Variability of SeaWiFs chlorophyll-a in the southwest Atlantic sector of the Southern Ocean: Strong topographic effects and weak seasonality", "type" : "article-journal", "volume" : "57" }, "uris" : [ "http://www.mendeley.com/documents/?uuid=7b32a146-9c70-47cc-b1be-6f46aa4dce4a" ] } ], "mendeley" : { "formattedCitation" : "(Murphy et al. 2007b; Park et al. 2010)", "plainTextFormattedCitation" : "(Murphy et al. 2007b; Park et al. 2010)", "previouslyFormattedCitation" : "(Murphy et al. 2007b; Park et al. 2010)" }, "properties" : {  }, "schema" : "https://github.com/citation-style-language/schema/raw/master/csl-citation.json" }</w:instrText>
      </w:r>
      <w:r w:rsidRPr="007F1AD4">
        <w:fldChar w:fldCharType="separate"/>
      </w:r>
      <w:r w:rsidRPr="007F1AD4">
        <w:rPr>
          <w:noProof/>
        </w:rPr>
        <w:t>(Murphy et al. 2007b; Park et al. 2010)</w:t>
      </w:r>
      <w:r w:rsidRPr="007F1AD4">
        <w:fldChar w:fldCharType="end"/>
      </w:r>
      <w:r w:rsidRPr="007F1AD4">
        <w:t>. High fluxes of sinking particles have</w:t>
      </w:r>
      <w:r>
        <w:t xml:space="preserve"> previously</w:t>
      </w:r>
      <w:r w:rsidRPr="007F1AD4">
        <w:t xml:space="preserve"> been recorded in this region, with faecal pellets </w:t>
      </w:r>
      <w:r>
        <w:t>highlighted as one of the main</w:t>
      </w:r>
      <w:r w:rsidRPr="007F1AD4">
        <w:t xml:space="preserve"> contribut</w:t>
      </w:r>
      <w:r>
        <w:t xml:space="preserve">ors </w:t>
      </w:r>
      <w:r w:rsidRPr="007F1AD4">
        <w:t xml:space="preserve">to the </w:t>
      </w:r>
      <w:r>
        <w:t>POC</w:t>
      </w:r>
      <w:r w:rsidRPr="007F1AD4">
        <w:t xml:space="preserve"> flux </w:t>
      </w:r>
      <w:r w:rsidR="00E6123D">
        <w:t>, contributing</w:t>
      </w:r>
      <w:r w:rsidR="00C712CD">
        <w:t xml:space="preserve"> between 36 and 2534 faecal pellets m</w:t>
      </w:r>
      <w:r w:rsidR="00C712CD" w:rsidRPr="00C712CD">
        <w:rPr>
          <w:vertAlign w:val="superscript"/>
        </w:rPr>
        <w:t>-2</w:t>
      </w:r>
      <w:r w:rsidR="00C712CD">
        <w:t xml:space="preserve"> d</w:t>
      </w:r>
      <w:r w:rsidR="00C712CD" w:rsidRPr="00C712CD">
        <w:rPr>
          <w:vertAlign w:val="superscript"/>
        </w:rPr>
        <w:t>-1</w:t>
      </w:r>
      <w:r w:rsidR="00E6123D">
        <w:rPr>
          <w:vertAlign w:val="superscript"/>
        </w:rPr>
        <w:t xml:space="preserve"> </w:t>
      </w:r>
      <w:r w:rsidR="00E6123D" w:rsidRPr="007F1AD4">
        <w:fldChar w:fldCharType="begin" w:fldLock="1"/>
      </w:r>
      <w:r w:rsidR="00E6123D">
        <w:instrText>ADDIN CSL_CITATION { "citationItems" : [ { "id" : "ITEM-1", "itemData" : { "DOI" : "10.5194/bg-12-1955-2015", "ISSN" : "1726-4189", "author" : [ { "dropping-particle" : "", "family" : "Manno", "given" : "C.", "non-dropping-particle" : "", "parse-names" : false, "suffix" : "" }, { "dropping-particle" : "", "family" : "Stowasser", "given" : "G.", "non-dropping-particle" : "", "parse-names" : false, "suffix" : "" }, { "dropping-particle" : "", "family" : "Enderlein", "given" : "P.", "non-dropping-particle" : "", "parse-names" : false, "suffix" : "" }, { "dropping-particle" : "", "family" : "Fielding", "given" : "S.", "non-dropping-particle" : "", "parse-names" : false, "suffix" : "" }, { "dropping-particle" : "", "family" : "Tarling", "given" : "G. A.", "non-dropping-particle" : "", "parse-names" : false, "suffix" : "" } ], "container-title" : "Biogeosciences", "id" : "ITEM-1", "issue" : "6", "issued" : { "date-parts" : [ [ "2015", "3", "25" ] ] }, "page" : "1955-1965", "title" : "The contribution of zooplankton faecal pellets to deep-carbon transport in the Scotia Sea (Southern Ocean)", "type" : "article-journal", "volume" : "12" }, "uris" : [ "http://www.mendeley.com/documents/?uuid=7d8919a0-6197-4f06-a8bc-db544e507d4e" ] }, { "id" : "ITEM-2", "itemData" : { "DOI" : "10.5194/bg-14-1-2017", "author" : [ { "dropping-particle" : "", "family" : "Belcher", "given" : "Anna", "non-dropping-particle" : "", "parse-names" : false, "suffix" : "" }, { "dropping-particle" : "", "family" : "Manno", "given" : "Clara", "non-dropping-particle" : "", "parse-names" : false, "suffix" : "" }, { "dropping-particle" : "", "family" : "Ward", "given" : "Peter", "non-dropping-particle" : "", "parse-names" : false, "suffix" : "" }, { "dropping-particle" : "", "family" : "Henson", "given" : "Stephanie A.", "non-dropping-particle" : "", "parse-names" : false, "suffix" : "" }, { "dropping-particle" : "", "family" : "Sanders", "given" : "Richard", "non-dropping-particle" : "", "parse-names" : false, "suffix" : "" }, { "dropping-particle" : "", "family" : "Tarling", "given" : "Geraint A.", "non-dropping-particle" : "", "parse-names" : false, "suffix" : "" } ], "container-title" : "Biogeosciences", "id" : "ITEM-2", "issued" : { "date-parts" : [ [ "2017" ] ] }, "page" : "1-15", "title" : "Copepod faecal pellet transfer through the meso- and bathypelagic layers in the Southern Ocean in spring", "type" : "article-journal", "volume" : "14" }, "uris" : [ "http://www.mendeley.com/documents/?uuid=bf4bab65-250e-483f-9e95-a5f82fdd55de" ] }, { "id" : "ITEM-3", "itemData" : { "DOI" : "10.1002/lno.10269", "author" : [ { "dropping-particle" : "", "family" : "Belcher", "given" : "A", "non-dropping-particle" : "", "parse-names" : false, "suffix" : "" }, { "dropping-particle" : "", "family" : "Iversen", "given" : "Morten H", "non-dropping-particle" : "", "parse-names" : false, "suffix" : "" }, { "dropping-particle" : "", "family" : "Manno", "given" : "C.", "non-dropping-particle" : "", "parse-names" : false, "suffix" : "" }, { "dropping-particle" : "", "family" : "Henson", "given" : "Stephanie A.", "non-dropping-particle" : "", "parse-names" : false, "suffix" : "" }, { "dropping-particle" : "", "family" : "Tarling", "given" : "Geraint A.", "non-dropping-particle" : "", "parse-names" : false, "suffix" : "" }, { "dropping-particle" : "", "family" : "Sanders", "given" : "Richard", "non-dropping-particle" : "", "parse-names" : false, "suffix" : "" } ], "container-title" : "Limnology and Oceanography", "id" : "ITEM-3", "issue" : "3", "issued" : { "date-parts" : [ [ "2016" ] ] }, "page" : "1049-1064", "title" : "The role of particle associated microbes in remineralization of fecal pellets in the upper mesopelagic of the Scotia Sea, Antarctica", "type" : "article-journal", "volume" : "61" }, "uris" : [ "http://www.mendeley.com/documents/?uuid=7e2da611-0266-4d13-aec3-17a0e52eac0e" ] } ], "mendeley" : { "formattedCitation" : "(Manno et al. 2015; Belcher et al. 2016, 2017)", "plainTextFormattedCitation" : "(Manno et al. 2015; Belcher et al. 2016, 2017)", "previouslyFormattedCitation" : "(Manno et al. 2015; Belcher et al. 2016, 2017)" }, "properties" : {  }, "schema" : "https://github.com/citation-style-language/schema/raw/master/csl-citation.json" }</w:instrText>
      </w:r>
      <w:r w:rsidR="00E6123D" w:rsidRPr="007F1AD4">
        <w:fldChar w:fldCharType="separate"/>
      </w:r>
      <w:r w:rsidR="00E6123D" w:rsidRPr="007F1AD4">
        <w:rPr>
          <w:noProof/>
        </w:rPr>
        <w:t>(Manno et al. 2015; Belcher et al. 2016, 2017)</w:t>
      </w:r>
      <w:r w:rsidR="00E6123D" w:rsidRPr="007F1AD4">
        <w:fldChar w:fldCharType="end"/>
      </w:r>
      <w:r w:rsidRPr="007F1AD4">
        <w:t xml:space="preserve">. </w:t>
      </w:r>
      <w:r>
        <w:t>The Southern Ocean has an important role in global ventilation and the supply of pre</w:t>
      </w:r>
      <w:r w:rsidR="00A13FAA">
        <w:t>-</w:t>
      </w:r>
      <w:r>
        <w:t xml:space="preserve">formed nutrients to the global ocean </w:t>
      </w:r>
      <w:r>
        <w:fldChar w:fldCharType="begin" w:fldLock="1"/>
      </w:r>
      <w:r w:rsidR="00B93937">
        <w:instrText>ADDIN CSL_CITATION { "citationItems" : [ { "id" : "ITEM-1", "itemData" : { "DOI" : "10.1038/nature10605", "ISBN" : "0028-0836", "ISSN" : "0028-0836", "PMID" : "14702082", "abstract" : "The ocean's biological pump strips nutrients out of the surface waters and exports them into the thermocline and deep waters. If there were no return path of nutrients from deep waters, the biological pump would eventually deplete the surface waters and thermocline of nutrients; surface biological productivity would plummet. Here we make use of the combined distributions of silicic acid and nitrate to trace the main nutrient return path from deep waters by upwelling in the Southern Ocean and subsequent entrainment into subantarctic mode water. We show that the subantarctic mode water, which spreads throughout the entire Southern Hemisphere and North Atlantic Ocean, is the main source of nutrients for the thermocline. We also find that an additional return path exists in the northwest corner of the Pacific Ocean, where enhanced vertical mixing, perhaps driven by tides, brings abyssal nutrients to the surface and supplies them to the thermocline of the North Pacific. Our analysis has important implications for our understanding of large-scale controls on the nature and magnitude of low-latitude biological productivity and its sensitivity to climate change.", "author" : [ { "dropping-particle" : "", "family" : "Sarmiento", "given" : "J L", "non-dropping-particle" : "", "parse-names" : false, "suffix" : "" }, { "dropping-particle" : "", "family" : "Gruber", "given" : "N", "non-dropping-particle" : "", "parse-names" : false, "suffix" : "" }, { "dropping-particle" : "", "family" : "Brzezinski", "given" : "M A", "non-dropping-particle" : "", "parse-names" : false, "suffix" : "" }, { "dropping-particle" : "", "family" : "Dunne", "given" : "J P", "non-dropping-particle" : "", "parse-names" : false, "suffix" : "" } ], "container-title" : "Nature", "id" : "ITEM-1", "issue" : "6969", "issued" : { "date-parts" : [ [ "2004" ] ] }, "page" : "56-60", "title" : "High-latitude controls of thermocline nutrients and low latitude biological productivity.", "type" : "article-journal", "volume" : "427" }, "uris" : [ "http://www.mendeley.com/documents/?uuid=0dddcf1a-430c-41df-8e0e-2a6fe1850925" ] } ], "mendeley" : { "formattedCitation" : "(Sarmiento et al. 2004)", "plainTextFormattedCitation" : "(Sarmiento et al. 2004)", "previouslyFormattedCitation" : "(Sarmiento et al. 2004)" }, "properties" : {  }, "schema" : "https://github.com/citation-style-language/schema/raw/master/csl-citation.json" }</w:instrText>
      </w:r>
      <w:r>
        <w:fldChar w:fldCharType="separate"/>
      </w:r>
      <w:r w:rsidRPr="00685B74">
        <w:rPr>
          <w:noProof/>
        </w:rPr>
        <w:t>(Sarmiento et al. 2004)</w:t>
      </w:r>
      <w:r>
        <w:fldChar w:fldCharType="end"/>
      </w:r>
      <w:r>
        <w:t xml:space="preserve"> and it is therefore particularly important to identify the drivers of high POC flux in this region. </w:t>
      </w:r>
      <w:r w:rsidR="004474B0">
        <w:t>Strontium fluxes were previously measured in sediment traps</w:t>
      </w:r>
      <w:r w:rsidR="00571EEF">
        <w:t xml:space="preserve"> in </w:t>
      </w:r>
      <w:r w:rsidR="004474B0">
        <w:t xml:space="preserve">the Scotia Sea, highlighting that Acantharia can contribute to POC fluxes here </w:t>
      </w:r>
      <w:r w:rsidR="004474B0">
        <w:fldChar w:fldCharType="begin" w:fldLock="1"/>
      </w:r>
      <w:r w:rsidR="004474B0">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 } ], "mendeley" : { "formattedCitation" : "(Decelle et al. 2013)", "plainTextFormattedCitation" : "(Decelle et al. 2013)", "previouslyFormattedCitation" : "(Decelle et al. 2013)" }, "properties" : {  }, "schema" : "https://github.com/citation-style-language/schema/raw/master/csl-citation.json" }</w:instrText>
      </w:r>
      <w:r w:rsidR="004474B0">
        <w:fldChar w:fldCharType="separate"/>
      </w:r>
      <w:r w:rsidR="004474B0" w:rsidRPr="004474B0">
        <w:rPr>
          <w:noProof/>
        </w:rPr>
        <w:t>(Decelle et al. 2013)</w:t>
      </w:r>
      <w:r w:rsidR="004474B0">
        <w:fldChar w:fldCharType="end"/>
      </w:r>
      <w:r w:rsidR="004474B0">
        <w:t xml:space="preserve">. </w:t>
      </w:r>
      <w:r>
        <w:t>In this study</w:t>
      </w:r>
      <w:r w:rsidR="00E6123D">
        <w:t>,</w:t>
      </w:r>
      <w:r>
        <w:t xml:space="preserve"> we</w:t>
      </w:r>
      <w:r w:rsidR="004474B0">
        <w:t xml:space="preserve"> make direct counts of Acanthari</w:t>
      </w:r>
      <w:r w:rsidR="00571EEF">
        <w:t>a</w:t>
      </w:r>
      <w:r w:rsidR="004474B0">
        <w:t xml:space="preserve"> cysts, reporting</w:t>
      </w:r>
      <w:r>
        <w:t xml:space="preserve"> for the first time extremely high numbers</w:t>
      </w:r>
      <w:r w:rsidR="00E6123D">
        <w:t xml:space="preserve"> </w:t>
      </w:r>
      <w:r>
        <w:t xml:space="preserve">in sediment traps deployed in the bathypelagic </w:t>
      </w:r>
      <w:r w:rsidR="00DF002B">
        <w:t xml:space="preserve">zone </w:t>
      </w:r>
      <w:r>
        <w:t>of the Scotia Sea, Southern Ocean</w:t>
      </w:r>
      <w:r w:rsidR="00BB19EE">
        <w:t>. We</w:t>
      </w:r>
      <w:r>
        <w:t xml:space="preserve"> determine the seasonal variability in their flux, as well as their contribution to the POC flux. We show that acantharian cysts can make a significant contribution to the POC flux to the bathypelagic </w:t>
      </w:r>
      <w:r w:rsidR="00404B07">
        <w:t xml:space="preserve">waters of the </w:t>
      </w:r>
      <w:r>
        <w:t>Southern Ocean, highlighting the need for future research to identify the environmental factors that could drive the reoccurrence of this type of high POC flux event over long timescales.</w:t>
      </w:r>
    </w:p>
    <w:p w14:paraId="45828775" w14:textId="77777777" w:rsidR="00834163" w:rsidRPr="0090311E" w:rsidRDefault="00834163" w:rsidP="000C32D3">
      <w:pPr>
        <w:spacing w:line="360" w:lineRule="auto"/>
        <w:rPr>
          <w:b/>
        </w:rPr>
      </w:pPr>
      <w:r w:rsidRPr="0090311E">
        <w:rPr>
          <w:b/>
        </w:rPr>
        <w:t>Methods</w:t>
      </w:r>
    </w:p>
    <w:p w14:paraId="73F1E740" w14:textId="6B2D2EF1" w:rsidR="004C4A09" w:rsidRDefault="00834163" w:rsidP="000C32D3">
      <w:pPr>
        <w:spacing w:line="360" w:lineRule="auto"/>
      </w:pPr>
      <w:r w:rsidRPr="0090311E">
        <w:rPr>
          <w:b/>
        </w:rPr>
        <w:t xml:space="preserve">Sediment </w:t>
      </w:r>
      <w:r w:rsidR="00BF3381">
        <w:rPr>
          <w:b/>
        </w:rPr>
        <w:t>t</w:t>
      </w:r>
      <w:r w:rsidRPr="0090311E">
        <w:rPr>
          <w:b/>
        </w:rPr>
        <w:t xml:space="preserve">rap </w:t>
      </w:r>
      <w:r w:rsidR="00BF3381">
        <w:rPr>
          <w:b/>
        </w:rPr>
        <w:t>d</w:t>
      </w:r>
      <w:r w:rsidRPr="0090311E">
        <w:rPr>
          <w:b/>
        </w:rPr>
        <w:t>eployment</w:t>
      </w:r>
    </w:p>
    <w:p w14:paraId="2371A826" w14:textId="06B6CE4C" w:rsidR="00834163" w:rsidRDefault="00834163" w:rsidP="000C32D3">
      <w:pPr>
        <w:spacing w:line="360" w:lineRule="auto"/>
      </w:pPr>
      <w:r w:rsidRPr="0090311E">
        <w:t xml:space="preserve">A sediment trap was deployed </w:t>
      </w:r>
      <w:r w:rsidR="00A95B7E" w:rsidRPr="0090311E">
        <w:t xml:space="preserve">at </w:t>
      </w:r>
      <w:r w:rsidR="00F2693F">
        <w:t>a long term mooring site, P2</w:t>
      </w:r>
      <w:r w:rsidR="00A95B7E" w:rsidRPr="0090311E">
        <w:t xml:space="preserve"> (-55.248 </w:t>
      </w:r>
      <w:r w:rsidR="00A95B7E" w:rsidRPr="0090311E">
        <w:rPr>
          <w:b/>
        </w:rPr>
        <w:t>°</w:t>
      </w:r>
      <w:r w:rsidR="00A95B7E" w:rsidRPr="0090311E">
        <w:t xml:space="preserve">N, -41.265 </w:t>
      </w:r>
      <w:r w:rsidR="00A95B7E" w:rsidRPr="0090311E">
        <w:rPr>
          <w:b/>
        </w:rPr>
        <w:t>°</w:t>
      </w:r>
      <w:r w:rsidR="00A95B7E" w:rsidRPr="0090311E">
        <w:t>E</w:t>
      </w:r>
      <w:r w:rsidR="00F2693F">
        <w:t xml:space="preserve">, </w:t>
      </w:r>
      <w:hyperlink r:id="rId8" w:history="1">
        <w:r w:rsidR="007C4231" w:rsidRPr="0084141E">
          <w:rPr>
            <w:rStyle w:val="Hyperlink"/>
            <w:rFonts w:eastAsiaTheme="minorEastAsia"/>
          </w:rPr>
          <w:t>https://www.bas.ac.uk/project/scoobies/</w:t>
        </w:r>
      </w:hyperlink>
      <w:r w:rsidR="007C4231">
        <w:rPr>
          <w:rFonts w:eastAsiaTheme="minorEastAsia"/>
        </w:rPr>
        <w:t>,</w:t>
      </w:r>
      <w:r w:rsidR="00FE0510">
        <w:rPr>
          <w:rFonts w:eastAsiaTheme="minorEastAsia"/>
        </w:rPr>
        <w:t xml:space="preserve"> Fig. 1</w:t>
      </w:r>
      <w:r w:rsidR="00A95B7E" w:rsidRPr="0090311E">
        <w:t>)</w:t>
      </w:r>
      <w:r w:rsidR="0062387C">
        <w:t>,</w:t>
      </w:r>
      <w:r w:rsidR="009762FC">
        <w:t xml:space="preserve"> in the Scotia Sea</w:t>
      </w:r>
      <w:r w:rsidR="00E5608C" w:rsidRPr="0090311E">
        <w:t xml:space="preserve"> </w:t>
      </w:r>
      <w:r w:rsidRPr="0090311E">
        <w:t>on 8</w:t>
      </w:r>
      <w:r w:rsidRPr="0090311E">
        <w:rPr>
          <w:vertAlign w:val="superscript"/>
        </w:rPr>
        <w:t>th</w:t>
      </w:r>
      <w:r w:rsidRPr="0090311E">
        <w:t xml:space="preserve"> December 201</w:t>
      </w:r>
      <w:r w:rsidR="00AE7A3A">
        <w:t>2</w:t>
      </w:r>
      <w:r w:rsidRPr="0090311E">
        <w:t xml:space="preserve"> during cruise JR280 aboard the </w:t>
      </w:r>
      <w:r w:rsidRPr="0090311E">
        <w:rPr>
          <w:i/>
        </w:rPr>
        <w:t>R.R.S. James Clark Ross</w:t>
      </w:r>
      <w:r w:rsidRPr="0090311E">
        <w:t xml:space="preserve">, and recovered </w:t>
      </w:r>
      <w:r w:rsidR="00E5608C" w:rsidRPr="0090311E">
        <w:t>on 2</w:t>
      </w:r>
      <w:r w:rsidR="00E5608C" w:rsidRPr="0090311E">
        <w:rPr>
          <w:vertAlign w:val="superscript"/>
        </w:rPr>
        <w:t>nd</w:t>
      </w:r>
      <w:r w:rsidR="00E5608C" w:rsidRPr="0090311E">
        <w:t xml:space="preserve"> </w:t>
      </w:r>
      <w:r w:rsidRPr="0090311E">
        <w:t>December 2013 on cruise JR291.</w:t>
      </w:r>
      <w:r w:rsidR="00E5608C" w:rsidRPr="0090311E">
        <w:t xml:space="preserve"> The sediment trap was </w:t>
      </w:r>
      <w:r w:rsidR="009762FC">
        <w:t xml:space="preserve">deployed at 1500 m </w:t>
      </w:r>
      <w:r w:rsidR="00F2693F">
        <w:t xml:space="preserve">in </w:t>
      </w:r>
      <w:r w:rsidR="00570620">
        <w:t xml:space="preserve">a </w:t>
      </w:r>
      <w:r w:rsidR="00F2693F">
        <w:t xml:space="preserve">water </w:t>
      </w:r>
      <w:r w:rsidR="00F2693F" w:rsidRPr="00F54C0A">
        <w:t>depth of</w:t>
      </w:r>
      <w:r w:rsidR="00F54C0A">
        <w:t xml:space="preserve"> 3350</w:t>
      </w:r>
      <w:r w:rsidR="00F2693F">
        <w:t xml:space="preserve"> m </w:t>
      </w:r>
      <w:r w:rsidR="009762FC">
        <w:t xml:space="preserve">and was </w:t>
      </w:r>
      <w:r w:rsidR="00E5608C" w:rsidRPr="0090311E">
        <w:t>comprised of a plastic funnel with a baffle at the top (0.5 m</w:t>
      </w:r>
      <w:r w:rsidR="00E5608C" w:rsidRPr="0090311E">
        <w:rPr>
          <w:vertAlign w:val="superscript"/>
        </w:rPr>
        <w:t xml:space="preserve">2 </w:t>
      </w:r>
      <w:r w:rsidR="00E5608C" w:rsidRPr="0090311E">
        <w:t>surface area) and a narrow opening at the bottom, through which particles fall into 1 L sampling cups (</w:t>
      </w:r>
      <w:r w:rsidR="00E5608C" w:rsidRPr="0090311E">
        <w:rPr>
          <w:rFonts w:cs="Times New Roman"/>
        </w:rPr>
        <w:t xml:space="preserve">McClane, PARFLUX Mark </w:t>
      </w:r>
      <w:r w:rsidR="00E5608C" w:rsidRPr="0090311E">
        <w:rPr>
          <w:rFonts w:cs="Times New Roman"/>
          <w:color w:val="000000"/>
        </w:rPr>
        <w:t xml:space="preserve">78H-21). </w:t>
      </w:r>
      <w:r w:rsidR="00E5608C" w:rsidRPr="0090311E">
        <w:t>T</w:t>
      </w:r>
      <w:r w:rsidR="001A25E4">
        <w:t>o prevent diffusion of the cup solution to the surrounding water</w:t>
      </w:r>
      <w:r w:rsidR="00406164">
        <w:t>,</w:t>
      </w:r>
      <w:r w:rsidR="00923701">
        <w:t xml:space="preserve"> </w:t>
      </w:r>
      <w:r w:rsidR="001A25E4">
        <w:t xml:space="preserve">sodium chloride was added </w:t>
      </w:r>
      <w:r w:rsidR="00923701">
        <w:t xml:space="preserve">prior to deployment </w:t>
      </w:r>
      <w:r w:rsidR="001A25E4">
        <w:t xml:space="preserve">to </w:t>
      </w:r>
      <w:r w:rsidR="001A25E4">
        <w:lastRenderedPageBreak/>
        <w:t xml:space="preserve">achieve a salinity of 40 psu. </w:t>
      </w:r>
      <w:r w:rsidR="00A13FAA">
        <w:t>Mercuric c</w:t>
      </w:r>
      <w:r w:rsidR="00E5608C" w:rsidRPr="0090311E">
        <w:t>hloride</w:t>
      </w:r>
      <w:r w:rsidR="001A25E4">
        <w:t xml:space="preserve"> (</w:t>
      </w:r>
      <w:r w:rsidR="001A25E4" w:rsidRPr="0090311E">
        <w:t>0.01%</w:t>
      </w:r>
      <w:r w:rsidR="001A25E4">
        <w:t>)</w:t>
      </w:r>
      <w:r w:rsidR="00EE242A">
        <w:t xml:space="preserve"> was added to prevent microorganism induced biodegradation.</w:t>
      </w:r>
      <w:r w:rsidR="00FD7E81" w:rsidRPr="0090311E">
        <w:t xml:space="preserve"> Celestite is highly soluble in seawater and hence SrCl</w:t>
      </w:r>
      <w:r w:rsidR="00FD7E81" w:rsidRPr="0090311E">
        <w:rPr>
          <w:vertAlign w:val="subscript"/>
        </w:rPr>
        <w:t>2</w:t>
      </w:r>
      <w:r w:rsidR="00FD7E81" w:rsidRPr="0090311E">
        <w:t xml:space="preserve"> can be added to sediment trap preservatives to prevent the dissolution of </w:t>
      </w:r>
      <w:r w:rsidR="006578F6">
        <w:t>A</w:t>
      </w:r>
      <w:r w:rsidR="00FD7E81" w:rsidRPr="0090311E">
        <w:t xml:space="preserve">cantharia </w:t>
      </w:r>
      <w:r w:rsidR="00FD7E81" w:rsidRPr="0090311E">
        <w:fldChar w:fldCharType="begin" w:fldLock="1"/>
      </w:r>
      <w:r w:rsidR="00B93937">
        <w:instrText>ADDIN CSL_CITATION { "citationItems" : [ { "id" : "ITEM-1", "itemData" : { "DOI" : "10.1029/GM063p0369", "author" : [ { "dropping-particle" : "", "family" : "Bernstein", "given" : "Renate E", "non-dropping-particle" : "", "parse-names" : false, "suffix" : "" }, { "dropping-particle" : "", "family" : "Betzer", "given" : "Peter R", "non-dropping-particle" : "", "parse-names" : false, "suffix" : "" } ], "container-title" : "Marine Particles: Analysis and Characterization", "editor" : [ { "dropping-particle" : "", "family" : "Hurd", "given" : "D C", "non-dropping-particle" : "", "parse-names" : false, "suffix" : "" }, { "dropping-particle" : "", "family" : "W", "given" : "Spencer D", "non-dropping-particle" : "", "parse-names" : false, "suffix" : "" } ], "id" : "ITEM-1", "issued" : { "date-parts" : [ [ "1991" ] ] }, "page" : "369-374", "publisher" : "American Geophysical Union", "publisher-place" : "Washington, DC", "title" : "Labile phases and the ocean's strontium cycle: A method of sediment trap sampling for acantharians", "type" : "chapter" }, "uris" : [ "http://www.mendeley.com/documents/?uuid=b12e71a0-bf66-4879-bd9a-d405aac3c8c8", "http://www.mendeley.com/documents/?uuid=45f85b7e-713f-40b6-a24a-2f6147e4260e" ] }, { "id" : "ITEM-2", "itemData" : { "DOI" : "10.4319/lo.1970.15.5.0825", "author" : [ { "dropping-particle" : "", "family" : "Beers", "given" : "J R", "non-dropping-particle" : "", "parse-names" : false, "suffix" : "" }, { "dropping-particle" : "", "family" : "Steward", "given" : "G L", "non-dropping-particle" : "", "parse-names" : false, "suffix" : "" } ], "container-title" : "Limnology and Oceanography", "id" : "ITEM-2", "issued" : { "date-parts" : [ [ "1970" ] ] }, "page" : "825-827", "title" : "The preservation of acantharians in fixed plankton samples", "type" : "article-journal", "volume" : "15" }, "uris" : [ "http://www.mendeley.com/documents/?uuid=5cfe4cd8-3634-4bba-9d34-0e5d7ae738f5", "http://www.mendeley.com/documents/?uuid=85fd1ff1-42c8-46e6-933b-2b0d7abfebb6" ] } ], "mendeley" : { "formattedCitation" : "(Beers and Steward 1970; Bernstein and Betzer 1991)", "plainTextFormattedCitation" : "(Beers and Steward 1970; Bernstein and Betzer 1991)", "previouslyFormattedCitation" : "(Beers and Steward 1970; Bernstein and Betzer 1991)" }, "properties" : {  }, "schema" : "https://github.com/citation-style-language/schema/raw/master/csl-citation.json" }</w:instrText>
      </w:r>
      <w:r w:rsidR="00FD7E81" w:rsidRPr="0090311E">
        <w:fldChar w:fldCharType="separate"/>
      </w:r>
      <w:r w:rsidR="000C32D3" w:rsidRPr="000C32D3">
        <w:rPr>
          <w:noProof/>
        </w:rPr>
        <w:t>(Beers and Steward 1970; Bernstein and Betzer 1991)</w:t>
      </w:r>
      <w:r w:rsidR="00FD7E81" w:rsidRPr="0090311E">
        <w:fldChar w:fldCharType="end"/>
      </w:r>
      <w:r w:rsidR="0011405C" w:rsidRPr="0090311E">
        <w:t xml:space="preserve">. However, this was not added as the sediment trap was not deployed with the aim </w:t>
      </w:r>
      <w:r w:rsidR="00E6123D">
        <w:t>of</w:t>
      </w:r>
      <w:r w:rsidR="0011405C" w:rsidRPr="0090311E">
        <w:t xml:space="preserve"> study</w:t>
      </w:r>
      <w:r w:rsidR="00E6123D">
        <w:t>ing</w:t>
      </w:r>
      <w:r w:rsidR="0011405C" w:rsidRPr="0090311E">
        <w:t xml:space="preserve"> </w:t>
      </w:r>
      <w:r w:rsidR="006578F6">
        <w:t>A</w:t>
      </w:r>
      <w:r w:rsidR="0011405C" w:rsidRPr="0090311E">
        <w:t>cantharia</w:t>
      </w:r>
      <w:r w:rsidR="00604F22">
        <w:t xml:space="preserve">, and hence we likely underestimate the flux of </w:t>
      </w:r>
      <w:r w:rsidR="00C55000">
        <w:t xml:space="preserve">acantharian </w:t>
      </w:r>
      <w:r w:rsidR="00604F22">
        <w:t xml:space="preserve">cysts as we cannot account for any dissolution that may have </w:t>
      </w:r>
      <w:r w:rsidR="007C4231">
        <w:t>occurred</w:t>
      </w:r>
      <w:r w:rsidR="0011405C" w:rsidRPr="0090311E">
        <w:t xml:space="preserve">. </w:t>
      </w:r>
      <w:r w:rsidR="00E5608C" w:rsidRPr="0090311E">
        <w:rPr>
          <w:rFonts w:cs="Times New Roman"/>
          <w:color w:val="000000"/>
        </w:rPr>
        <w:t xml:space="preserve">The sampling cups </w:t>
      </w:r>
      <w:r w:rsidR="00E5608C" w:rsidRPr="0090311E">
        <w:rPr>
          <w:rFonts w:cs="Times New Roman"/>
        </w:rPr>
        <w:t>were programmed to rotate after 14 to 31 days,</w:t>
      </w:r>
      <w:r w:rsidR="00E5608C" w:rsidRPr="0090311E">
        <w:t xml:space="preserve"> with shorter periods set to coincide with expected periods of high productivity. Upon recovery of the sediment trap, the pH in each cup was recorded and the whole cup photographed. Swimmers, defined as zooplankton that were alive and intact on entering the trap, were picked out using tweezers and removed from the sample. </w:t>
      </w:r>
      <w:r w:rsidR="001C1228">
        <w:t xml:space="preserve">Swimmers were not included in flux calculations. </w:t>
      </w:r>
      <w:r w:rsidR="00E5608C" w:rsidRPr="0090311E">
        <w:t>A rotary splitter</w:t>
      </w:r>
      <w:r w:rsidR="00981394">
        <w:t>,</w:t>
      </w:r>
      <w:r w:rsidR="00E5608C" w:rsidRPr="0090311E">
        <w:t xml:space="preserve"> McClane Wet Sample Divider (WSD-10)</w:t>
      </w:r>
      <w:r w:rsidR="00981394">
        <w:t>,</w:t>
      </w:r>
      <w:r w:rsidR="00E5608C" w:rsidRPr="0090311E">
        <w:t xml:space="preserve"> was used to split each sample into a number of equal aliquots for further </w:t>
      </w:r>
      <w:r w:rsidR="00E5608C" w:rsidRPr="007C4231">
        <w:t>analysis.</w:t>
      </w:r>
      <w:r w:rsidR="003B71B9" w:rsidRPr="007C4231">
        <w:t xml:space="preserve"> Mean current velocities at the P2 site in 2013 (measured with a Nortek Aquadopp current meter deployed </w:t>
      </w:r>
      <w:r w:rsidR="0062387C">
        <w:t xml:space="preserve">on the mooring </w:t>
      </w:r>
      <w:r w:rsidR="003B71B9" w:rsidRPr="007C4231">
        <w:t xml:space="preserve">just below the </w:t>
      </w:r>
      <w:r w:rsidR="0062387C">
        <w:t>sediment trap</w:t>
      </w:r>
      <w:r w:rsidR="003B71B9" w:rsidRPr="007C4231">
        <w:t>) were 0.11 (±0.06) m s</w:t>
      </w:r>
      <w:r w:rsidR="003B71B9" w:rsidRPr="007C4231">
        <w:rPr>
          <w:vertAlign w:val="superscript"/>
        </w:rPr>
        <w:t>-1</w:t>
      </w:r>
      <w:r w:rsidR="007B6F00">
        <w:t>. H</w:t>
      </w:r>
      <w:r w:rsidR="003B71B9" w:rsidRPr="007C4231">
        <w:t>ence we assume</w:t>
      </w:r>
      <w:r w:rsidR="00E6123D">
        <w:t>d</w:t>
      </w:r>
      <w:r w:rsidR="003B71B9" w:rsidRPr="007C4231">
        <w:t xml:space="preserve"> that effects of lateral advection </w:t>
      </w:r>
      <w:r w:rsidR="00C55000">
        <w:t>we</w:t>
      </w:r>
      <w:r w:rsidR="003B71B9" w:rsidRPr="007C4231">
        <w:t>re minimal</w:t>
      </w:r>
      <w:r w:rsidR="00802F28">
        <w:t xml:space="preserve"> and d</w:t>
      </w:r>
      <w:r w:rsidR="00E6123D">
        <w:t>id</w:t>
      </w:r>
      <w:r w:rsidR="00802F28">
        <w:t xml:space="preserve"> not affect sediment trap collecting efficiencies </w:t>
      </w:r>
      <w:r w:rsidR="00802F28">
        <w:fldChar w:fldCharType="begin" w:fldLock="1"/>
      </w:r>
      <w:r w:rsidR="00B93937">
        <w:instrText>ADDIN CSL_CITATION { "citationItems" : [ { "id" : "ITEM-1", "itemData" : { "DOI" : "10.1357/002224007781567621", "ISSN" : "00222402", "author" : [ { "dropping-particle" : "", "family" : "Buesseler", "given" : "Ken O.", "non-dropping-particle" : "", "parse-names" : false, "suffix" : "" }, { "dropping-particle" : "", "family" : "Antia", "given" : "Avan N.", "non-dropping-particle" : "", "parse-names" : false, "suffix" : "" }, { "dropping-particle" : "", "family" : "Chen", "given" : "Min", "non-dropping-particle" : "", "parse-names" : false, "suffix" : "" }, { "dropping-particle" : "", "family" : "Fowler", "given" : "Scott W.", "non-dropping-particle" : "", "parse-names" : false, "suffix" : "" }, { "dropping-particle" : "", "family" : "Gardner", "given" : "Wilford D.", "non-dropping-particle" : "", "parse-names" : false, "suffix" : "" }, { "dropping-particle" : "", "family" : "Gustafsson", "given" : "Orjan", "non-dropping-particle" : "", "parse-names" : false, "suffix" : "" }, { "dropping-particle" : "", "family" : "Harada", "given" : "Koh", "non-dropping-particle" : "", "parse-names" : false, "suffix" : "" }, { "dropping-particle" : "", "family" : "Michaels", "given" : "Anthony F.", "non-dropping-particle" : "", "parse-names" : false, "suffix" : "" }, { "dropping-particle" : "", "family" : "Rutgers van der Loeff", "given" : "Michiel", "non-dropping-particle" : "", "parse-names" : false, "suffix" : "" }, { "dropping-particle" : "", "family" : "Sarin", "given" : "Manmohan", "non-dropping-particle" : "", "parse-names" : false, "suffix" : "" }, { "dropping-particle" : "", "family" : "Steinberg", "given" : "Deborah K.", "non-dropping-particle" : "", "parse-names" : false, "suffix" : "" }, { "dropping-particle" : "", "family" : "Trull", "given" : "Thomas", "non-dropping-particle" : "", "parse-names" : false, "suffix" : "" } ], "container-title" : "Journal of Marine Research", "id" : "ITEM-1", "issue" : "3", "issued" : { "date-parts" : [ [ "2007", "5", "1" ] ] }, "page" : "345-416", "title" : "An assessment of the use of sediment traps for estimating upper ocean particle fluxes", "type" : "article-journal", "volume" : "65" }, "uris" : [ "http://www.mendeley.com/documents/?uuid=f3343827-b115-47ea-b1b5-e674ee1d3977" ] } ], "mendeley" : { "formattedCitation" : "(Buesseler et al. 2007)", "plainTextFormattedCitation" : "(Buesseler et al. 2007)", "previouslyFormattedCitation" : "(Buesseler et al. 2007)" }, "properties" : {  }, "schema" : "https://github.com/citation-style-language/schema/raw/master/csl-citation.json" }</w:instrText>
      </w:r>
      <w:r w:rsidR="00802F28">
        <w:fldChar w:fldCharType="separate"/>
      </w:r>
      <w:r w:rsidR="00802F28" w:rsidRPr="00802F28">
        <w:rPr>
          <w:noProof/>
        </w:rPr>
        <w:t>(Buesseler et al. 2007)</w:t>
      </w:r>
      <w:r w:rsidR="00802F28">
        <w:fldChar w:fldCharType="end"/>
      </w:r>
      <w:r w:rsidR="00802F28">
        <w:t>,</w:t>
      </w:r>
      <w:r w:rsidR="003B71B9" w:rsidRPr="007C4231">
        <w:t xml:space="preserve"> and</w:t>
      </w:r>
      <w:r w:rsidR="00E6123D">
        <w:t>,</w:t>
      </w:r>
      <w:r w:rsidR="003B71B9" w:rsidRPr="007C4231">
        <w:t xml:space="preserve"> as such</w:t>
      </w:r>
      <w:r w:rsidR="00E6123D">
        <w:t>,</w:t>
      </w:r>
      <w:r w:rsidR="003B71B9" w:rsidRPr="007C4231">
        <w:t xml:space="preserve"> </w:t>
      </w:r>
      <w:r w:rsidR="00406164">
        <w:t xml:space="preserve">they </w:t>
      </w:r>
      <w:r w:rsidR="003B71B9" w:rsidRPr="007C4231">
        <w:t>are not considered in this study.</w:t>
      </w:r>
    </w:p>
    <w:p w14:paraId="6496333A" w14:textId="6E113F93" w:rsidR="008378B4" w:rsidRDefault="00D434CB" w:rsidP="000C32D3">
      <w:pPr>
        <w:spacing w:line="360" w:lineRule="auto"/>
      </w:pPr>
      <w:r w:rsidRPr="00D434CB">
        <w:rPr>
          <w:noProof/>
          <w:lang w:eastAsia="en-GB"/>
        </w:rPr>
        <w:drawing>
          <wp:inline distT="0" distB="0" distL="0" distR="0" wp14:anchorId="27E7787D" wp14:editId="7CD22DCC">
            <wp:extent cx="5270500" cy="3158032"/>
            <wp:effectExtent l="0" t="0" r="6350" b="4445"/>
            <wp:docPr id="2" name="Picture 2" descr="C:\Users\annbel\Documents\PhD\Cruises\Acantharia work\acantharia_map_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bel\Documents\PhD\Cruises\Acantharia work\acantharia_map_label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158032"/>
                    </a:xfrm>
                    <a:prstGeom prst="rect">
                      <a:avLst/>
                    </a:prstGeom>
                    <a:noFill/>
                    <a:ln>
                      <a:noFill/>
                    </a:ln>
                  </pic:spPr>
                </pic:pic>
              </a:graphicData>
            </a:graphic>
          </wp:inline>
        </w:drawing>
      </w:r>
    </w:p>
    <w:p w14:paraId="7AE41476" w14:textId="556C82CD" w:rsidR="008378B4" w:rsidRDefault="008378B4" w:rsidP="007C4231">
      <w:pPr>
        <w:pStyle w:val="Caption"/>
      </w:pPr>
      <w:bookmarkStart w:id="0" w:name="_Ref504483627"/>
      <w:r>
        <w:t>Fi</w:t>
      </w:r>
      <w:r w:rsidR="00632C48">
        <w:t>g.</w:t>
      </w:r>
      <w:r>
        <w:t xml:space="preserve"> </w:t>
      </w:r>
      <w:fldSimple w:instr=" SEQ Figure \* ARABIC ">
        <w:r w:rsidR="007B6F00">
          <w:rPr>
            <w:noProof/>
          </w:rPr>
          <w:t>1</w:t>
        </w:r>
      </w:fldSimple>
      <w:bookmarkEnd w:id="0"/>
      <w:r>
        <w:t xml:space="preserve">: Location of sediment trap mooring (P2) in the Scotia Sea, Southern Ocean. </w:t>
      </w:r>
      <w:r w:rsidR="007C4231">
        <w:t>White lines display mean frontal positions of the Antarctic Polar Front (</w:t>
      </w:r>
      <w:r w:rsidR="007C4231" w:rsidRPr="00694572">
        <w:t>APF)</w:t>
      </w:r>
      <w:r w:rsidR="000C5052" w:rsidRPr="00694572">
        <w:fldChar w:fldCharType="begin" w:fldLock="1"/>
      </w:r>
      <w:r w:rsidR="000C5052" w:rsidRPr="00694572">
        <w:instrText>ADDIN CSL_CITATION { "citationItems" : [ { "id" : "ITEM-1", "itemData" : { "DOI" : "10.1029/1998JC900032", "ISBN" : "0148-0227", "ISSN" : "01480227", "PMID" : "6850", "abstract" : "The location of the Antarctic Polar Front (PF) was mapped over a 7-year period (1987\u20131993) within images of satellite-derived sea surface temperature. The mean path of the PF is strongly steered by the topographic features of the Southern Ocean. The topography places vorticity constraints on the dynamics of the PF that strongly affect spatial and temporal variability. Over the deep ocean basins the surface expression of the PF is weakened, and the PF meanders over a wide latitudinal range. Near large topographic features, width and temperature change across the front increase, and large- scale meandering is inhibited. Elevated mesoscale variability is seen within and downstream of these areas and may be the result of baroclinic instabilities initiated where the PF encounters large topographic features. The strong correlations between topography and PF dynamics can be understood in the context of the planetary potential vorticity (PPV or f/H) field. Mean PPV at the PF varies by more than a factor of 2 along its circumpolar path. However, at the mesoscale the PF remains within a relatively narrow range of PPV values around the local mean. Away from large topographic features, the PF returns to a preferred PPV value of ?25 ? 10?9 m?1 s?1 despite large latitudinal shifts. The mean paths of the surface and subsurface expressions of the PF are closely coupled over much of the Southern Ocean.", "author" : [ { "dropping-particle" : "", "family" : "Moore", "given" : "J. Keith", "non-dropping-particle" : "", "parse-names" : false, "suffix" : "" }, { "dropping-particle" : "", "family" : "Abbott", "given" : "Mark R.", "non-dropping-particle" : "", "parse-names" : false, "suffix" : "" }, { "dropping-particle" : "", "family" : "Richman", "given" : "James G.", "non-dropping-particle" : "", "parse-names" : false, "suffix" : "" } ], "container-title" : "Journal of Geophysical Research: Oceans", "id" : "ITEM-1", "issue" : "C2", "issued" : { "date-parts" : [ [ "1999" ] ] }, "page" : "3059-3073", "title" : "Location and dynamics of the Antarctic Polar Front from satellite sea surface temperature data", "type" : "article-journal", "volume" : "104" }, "uris" : [ "http://www.mendeley.com/documents/?uuid=ea4f0c0d-6896-4c2f-ba67-2448a2756b35" ] } ], "mendeley" : { "formattedCitation" : "(Moore et al. 1999)", "plainTextFormattedCitation" : "(Moore et al. 1999)", "previouslyFormattedCitation" : "(Moore et al. 1999)" }, "properties" : {  }, "schema" : "https://github.com/citation-style-language/schema/raw/master/csl-citation.json" }</w:instrText>
      </w:r>
      <w:r w:rsidR="000C5052" w:rsidRPr="00694572">
        <w:fldChar w:fldCharType="separate"/>
      </w:r>
      <w:r w:rsidR="000C5052" w:rsidRPr="00694572">
        <w:rPr>
          <w:noProof/>
        </w:rPr>
        <w:t>(Moore et al. 1999)</w:t>
      </w:r>
      <w:r w:rsidR="000C5052" w:rsidRPr="00694572">
        <w:fldChar w:fldCharType="end"/>
      </w:r>
      <w:r w:rsidR="007C4231">
        <w:t xml:space="preserve">, Southern Antarctic Circumpolar Current Front (SACCF) </w:t>
      </w:r>
      <w:r w:rsidR="007C4231">
        <w:fldChar w:fldCharType="begin" w:fldLock="1"/>
      </w:r>
      <w:r w:rsidR="00B93937">
        <w:instrText>ADDIN CSL_CITATION { "citationItems" : [ { "id" : "ITEM-1", "itemData" : { "DOI" : "10.1016/S0924-7963(02)00197-5", "ISSN" : "09247963", "author" : [ { "dropping-particle" : "", "family" : "Thorpe", "given" : "Sally E", "non-dropping-particle" : "", "parse-names" : false, "suffix" : "" }, { "dropping-particle" : "", "family" : "Heywood", "given" : "Karen J", "non-dropping-particle" : "", "parse-names" : false, "suffix" : "" }, { "dropping-particle" : "", "family" : "Brandon", "given" : "Mark A", "non-dropping-particle" : "", "parse-names" : false, "suffix" : "" }, { "dropping-particle" : "", "family" : "Stevens", "given" : "David P", "non-dropping-particle" : "", "parse-names" : false, "suffix" : "" } ], "container-title" : "Journal of Marine Systems", "id" : "ITEM-1", "issue" : "1-3", "issued" : { "date-parts" : [ [ "2002", "11" ] ] }, "page" : "87-105", "title" : "Variability of the southern Antarctic Circumpolar Current front north of South Georgia", "type" : "article-journal", "volume" : "37" }, "uris" : [ "http://www.mendeley.com/documents/?uuid=becabe53-18c6-43d6-bc29-80822b1b8784" ] } ], "mendeley" : { "formattedCitation" : "(Thorpe et al. 2002)", "plainTextFormattedCitation" : "(Thorpe et al. 2002)", "previouslyFormattedCitation" : "(Thorpe et al. 2002)" }, "properties" : {  }, "schema" : "https://github.com/citation-style-language/schema/raw/master/csl-citation.json" }</w:instrText>
      </w:r>
      <w:r w:rsidR="007C4231">
        <w:fldChar w:fldCharType="separate"/>
      </w:r>
      <w:r w:rsidR="007C4231" w:rsidRPr="007C4231">
        <w:rPr>
          <w:noProof/>
        </w:rPr>
        <w:t>(Thorpe et al. 2002)</w:t>
      </w:r>
      <w:r w:rsidR="007C4231">
        <w:fldChar w:fldCharType="end"/>
      </w:r>
      <w:r w:rsidR="007C4231">
        <w:t xml:space="preserve">, and </w:t>
      </w:r>
      <w:r w:rsidR="00A13FAA">
        <w:t xml:space="preserve">of </w:t>
      </w:r>
      <w:r w:rsidR="007C4231">
        <w:t xml:space="preserve">the Southern Boundary- Antarctic Circumpolar Current (SB-ACC) </w:t>
      </w:r>
      <w:r w:rsidR="007C4231">
        <w:fldChar w:fldCharType="begin" w:fldLock="1"/>
      </w:r>
      <w:r w:rsidR="00B93937">
        <w:instrText>ADDIN CSL_CITATION { "citationItems" : [ { "id" : "ITEM-1", "itemData" : { "DOI" : "10.1016/0967-0637(95)00021-W", "author" : [ { "dropping-particle" : "", "family" : "Orsi", "given" : "H", "non-dropping-particle" : "", "parse-names" : false, "suffix" : "" }, { "dropping-particle" : "", "family" : "Whitworth III", "given" : "Thomas", "non-dropping-particle" : "", "parse-names" : false, "suffix" : "" }, { "dropping-particle" : "", "family" : "Nowlin Jr", "given" : "Worth D", "non-dropping-particle" : "", "parse-names" : false, "suffix" : "" } ], "container-title" : "Deep Sea Research Part I: Oceanographic Research Papers", "id" : "ITEM-1", "issue" : "5", "issued" : { "date-parts" : [ [ "1995" ] ] }, "page" : "641-673", "title" : "On the meridional extent and fronts of the Antarctic Circumpolar Current", "type" : "article-journal", "volume" : "42" }, "uris" : [ "http://www.mendeley.com/documents/?uuid=13760d78-1b15-466d-9f72-d671b981f3aa" ] } ], "mendeley" : { "formattedCitation" : "(Orsi et al. 1995)", "plainTextFormattedCitation" : "(Orsi et al. 1995)", "previouslyFormattedCitation" : "(Orsi et al. 1995)" }, "properties" : {  }, "schema" : "https://github.com/citation-style-language/schema/raw/master/csl-citation.json" }</w:instrText>
      </w:r>
      <w:r w:rsidR="007C4231">
        <w:fldChar w:fldCharType="separate"/>
      </w:r>
      <w:r w:rsidR="007C4231" w:rsidRPr="007C4231">
        <w:rPr>
          <w:noProof/>
        </w:rPr>
        <w:t>(Orsi et al. 1995)</w:t>
      </w:r>
      <w:r w:rsidR="007C4231">
        <w:fldChar w:fldCharType="end"/>
      </w:r>
      <w:r w:rsidR="007C4231">
        <w:t xml:space="preserve">. </w:t>
      </w:r>
      <w:r w:rsidRPr="000C5052">
        <w:t>Bathymetry data</w:t>
      </w:r>
      <w:r w:rsidR="00694572">
        <w:t xml:space="preserve"> (v18.1, released 2014)</w:t>
      </w:r>
      <w:r w:rsidRPr="000C5052">
        <w:t xml:space="preserve"> from </w:t>
      </w:r>
      <w:r w:rsidR="000C5052" w:rsidRPr="00694572">
        <w:fldChar w:fldCharType="begin" w:fldLock="1"/>
      </w:r>
      <w:r w:rsidR="00694572">
        <w:instrText>ADDIN CSL_CITATION { "citationItems" : [ { "id" : "ITEM-1", "itemData" : { "author" : [ { "dropping-particle" : "", "family" : "Smith", "given" : "W H F", "non-dropping-particle" : "", "parse-names" : false, "suffix" : "" }, { "dropping-particle" : "", "family" : "Sandwell", "given" : "D T", "non-dropping-particle" : "", "parse-names" : false, "suffix" : "" } ], "container-title" : "Science", "id" : "ITEM-1", "issue" : "September", "issued" : { "date-parts" : [ [ "1997" ] ] }, "page" : "1956-1962", "title" : "Global seafloor topography from satellite altimetry and ship depth sounding", "type" : "article-journal", "volume" : "277" }, "uris" : [ "http://www.mendeley.com/documents/?uuid=52d62c11-5d01-4436-bf84-21c531fd433e" ] } ], "mendeley" : { "formattedCitation" : "(Smith and Sandwell 1997)", "manualFormatting" : "Smith and Sandwell (1997)", "plainTextFormattedCitation" : "(Smith and Sandwell 1997)", "previouslyFormattedCitation" : "(Smith and Sandwell 1997)" }, "properties" : {  }, "schema" : "https://github.com/citation-style-language/schema/raw/master/csl-citation.json" }</w:instrText>
      </w:r>
      <w:r w:rsidR="000C5052" w:rsidRPr="00694572">
        <w:fldChar w:fldCharType="separate"/>
      </w:r>
      <w:r w:rsidR="000C5052" w:rsidRPr="00694572">
        <w:rPr>
          <w:noProof/>
        </w:rPr>
        <w:t xml:space="preserve">Smith and Sandwell </w:t>
      </w:r>
      <w:r w:rsidR="00694572">
        <w:rPr>
          <w:noProof/>
        </w:rPr>
        <w:t>(</w:t>
      </w:r>
      <w:r w:rsidR="000C5052" w:rsidRPr="00694572">
        <w:rPr>
          <w:noProof/>
        </w:rPr>
        <w:t>1997)</w:t>
      </w:r>
      <w:r w:rsidR="000C5052" w:rsidRPr="00694572">
        <w:fldChar w:fldCharType="end"/>
      </w:r>
      <w:r w:rsidR="00694572">
        <w:t>.</w:t>
      </w:r>
    </w:p>
    <w:p w14:paraId="6B5D418B" w14:textId="77777777" w:rsidR="007C4231" w:rsidRPr="004F75E9" w:rsidRDefault="007C4231" w:rsidP="007C4231">
      <w:pPr>
        <w:autoSpaceDE w:val="0"/>
        <w:autoSpaceDN w:val="0"/>
        <w:adjustRightInd w:val="0"/>
        <w:spacing w:after="0" w:line="240" w:lineRule="auto"/>
      </w:pPr>
    </w:p>
    <w:p w14:paraId="5A4C8555" w14:textId="3EF361CE" w:rsidR="00E5608C" w:rsidRPr="0090311E" w:rsidRDefault="00E5608C" w:rsidP="000C32D3">
      <w:pPr>
        <w:spacing w:line="360" w:lineRule="auto"/>
        <w:rPr>
          <w:b/>
        </w:rPr>
      </w:pPr>
      <w:r w:rsidRPr="0090311E">
        <w:rPr>
          <w:b/>
        </w:rPr>
        <w:t>Particulate organic carbon flux</w:t>
      </w:r>
    </w:p>
    <w:p w14:paraId="44A3EB51" w14:textId="01453EBB" w:rsidR="00E5608C" w:rsidRPr="0090311E" w:rsidRDefault="00E5608C" w:rsidP="000C32D3">
      <w:pPr>
        <w:spacing w:line="360" w:lineRule="auto"/>
      </w:pPr>
      <w:r w:rsidRPr="0090311E">
        <w:t xml:space="preserve">For each sediment trap sample, 2-3 splits were analysed for particulate organic carbon (POC). The material in the split was filtered onto pre-combusted (450 °C, 24 h) glass fibre filters (25 mm diameter GF/F, Whatman), and oven dried at 50 °C. Filters were </w:t>
      </w:r>
      <w:r w:rsidR="002007E7" w:rsidRPr="0090311E">
        <w:t>then</w:t>
      </w:r>
      <w:r w:rsidRPr="0090311E">
        <w:t xml:space="preserve"> fumed with 37% HCl in a vacuum desiccator for 24 hours, and dried for 24 hours at 50 °C. Filters and filter blanks were </w:t>
      </w:r>
      <w:r w:rsidR="002007E7" w:rsidRPr="0090311E">
        <w:t xml:space="preserve">then </w:t>
      </w:r>
      <w:r w:rsidRPr="0090311E">
        <w:t xml:space="preserve">placed in pre-combusted (450 </w:t>
      </w:r>
      <w:bookmarkStart w:id="1" w:name="OLE_LINK1"/>
      <w:bookmarkStart w:id="2" w:name="OLE_LINK2"/>
      <w:r w:rsidRPr="0090311E">
        <w:t>°C</w:t>
      </w:r>
      <w:bookmarkEnd w:id="1"/>
      <w:bookmarkEnd w:id="2"/>
      <w:r w:rsidRPr="0090311E">
        <w:t xml:space="preserve">, 24 h) tin capsules </w:t>
      </w:r>
      <w:r w:rsidR="002007E7" w:rsidRPr="0090311E">
        <w:t>(</w:t>
      </w:r>
      <w:r w:rsidRPr="0090311E">
        <w:fldChar w:fldCharType="begin" w:fldLock="1"/>
      </w:r>
      <w:r w:rsidR="00B93937">
        <w:instrText>ADDIN CSL_CITATION { "citationItems" : [ { "id" : "ITEM-1", "itemData" : { "DOI" : "10.1007/BF00014221", "author" : [ { "dropping-particle" : "", "family" : "Hilton", "given" : "J", "non-dropping-particle" : "", "parse-names" : false, "suffix" : "" }, { "dropping-particle" : "", "family" : "Lishman", "given" : "J P", "non-dropping-particle" : "", "parse-names" : false, "suffix" : "" }, { "dropping-particle" : "", "family" : "Mackness", "given" : "S", "non-dropping-particle" : "", "parse-names" : false, "suffix" : "" }, { "dropping-particle" : "", "family" : "Heaney", "given" : "S I", "non-dropping-particle" : "", "parse-names" : false, "suffix" : "" } ], "container-title" : "Hydrobiologia", "id" : "ITEM-1", "issued" : { "date-parts" : [ [ "1986" ] ] }, "page" : "269-271", "title" : "An automated method for the analysis of 'particulate' carbon and nitrogen in natural waters", "type" : "article-journal", "volume" : "141" }, "uris" : [ "http://www.mendeley.com/documents/?uuid=06a50dbd-cad1-4399-a3c4-105e01f26dd7" ] } ], "mendeley" : { "formattedCitation" : "(Hilton et al. 1986)", "manualFormatting" : "Hilton et al. 1986)", "plainTextFormattedCitation" : "(Hilton et al. 1986)", "previouslyFormattedCitation" : "(Hilton et al. 1986)" }, "properties" : {  }, "schema" : "https://github.com/citation-style-language/schema/raw/master/csl-citation.json" }</w:instrText>
      </w:r>
      <w:r w:rsidRPr="0090311E">
        <w:fldChar w:fldCharType="separate"/>
      </w:r>
      <w:r w:rsidRPr="0090311E">
        <w:rPr>
          <w:noProof/>
        </w:rPr>
        <w:t>Hilton et al</w:t>
      </w:r>
      <w:r w:rsidR="002007E7" w:rsidRPr="0090311E">
        <w:rPr>
          <w:noProof/>
        </w:rPr>
        <w:t xml:space="preserve">. </w:t>
      </w:r>
      <w:r w:rsidRPr="0090311E">
        <w:rPr>
          <w:noProof/>
        </w:rPr>
        <w:t>1986)</w:t>
      </w:r>
      <w:r w:rsidRPr="0090311E">
        <w:fldChar w:fldCharType="end"/>
      </w:r>
      <w:r w:rsidRPr="0090311E">
        <w:t xml:space="preserve">, and POC measured </w:t>
      </w:r>
      <w:r w:rsidR="002007E7" w:rsidRPr="0090311E">
        <w:t>on</w:t>
      </w:r>
      <w:r w:rsidRPr="0090311E">
        <w:t xml:space="preserve"> a CE-440 Elemental analyser (Exeter Analytical.285 Inc).</w:t>
      </w:r>
    </w:p>
    <w:p w14:paraId="58489B8C" w14:textId="77777777" w:rsidR="00F80C9E" w:rsidRDefault="002007E7" w:rsidP="000C32D3">
      <w:pPr>
        <w:spacing w:line="360" w:lineRule="auto"/>
      </w:pPr>
      <w:r w:rsidRPr="0090311E">
        <w:t>The flux of POC (</w:t>
      </w:r>
      <w:r w:rsidRPr="00A13FAA">
        <w:rPr>
          <w:i/>
        </w:rPr>
        <w:t>F</w:t>
      </w:r>
      <w:r w:rsidRPr="0090311E">
        <w:t>) captured in each sediment trap sample cup was calculated as follows:</w:t>
      </w:r>
    </w:p>
    <w:p w14:paraId="164E4B8E" w14:textId="41D41503" w:rsidR="00F80C9E" w:rsidRPr="00F80C9E" w:rsidRDefault="00F80C9E" w:rsidP="000C32D3">
      <w:pPr>
        <w:spacing w:line="360" w:lineRule="auto"/>
      </w:pPr>
      <m:oMath>
        <m:r>
          <w:rPr>
            <w:rFonts w:ascii="Cambria Math" w:hAnsi="Cambria Math"/>
          </w:rPr>
          <m:t>F</m:t>
        </m:r>
        <m:r>
          <m:rPr>
            <m:sty m:val="p"/>
          </m:rPr>
          <w:rPr>
            <w:rFonts w:ascii="Cambria Math" w:hAnsi="Cambria Math"/>
          </w:rPr>
          <m:t xml:space="preserve"> </m:t>
        </m:r>
        <m:d>
          <m:dPr>
            <m:ctrlPr>
              <w:rPr>
                <w:rFonts w:ascii="Cambria Math" w:hAnsi="Cambria Math"/>
              </w:rPr>
            </m:ctrlPr>
          </m:dPr>
          <m:e>
            <m:r>
              <w:rPr>
                <w:rFonts w:ascii="Cambria Math" w:hAnsi="Cambria Math"/>
              </w:rPr>
              <m:t>mg C</m:t>
            </m:r>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sSup>
              <m:sSupPr>
                <m:ctrlPr>
                  <w:rPr>
                    <w:rFonts w:ascii="Cambria Math" w:hAnsi="Cambria Math"/>
                  </w:rPr>
                </m:ctrlPr>
              </m:sSupPr>
              <m:e>
                <m:r>
                  <w:rPr>
                    <w:rFonts w:ascii="Cambria Math" w:hAnsi="Cambria Math"/>
                  </w:rPr>
                  <m:t>d</m:t>
                </m:r>
              </m:e>
              <m:sup>
                <m:r>
                  <m:rPr>
                    <m:sty m:val="p"/>
                  </m:rPr>
                  <w:rPr>
                    <w:rFonts w:ascii="Cambria Math" w:hAnsi="Cambria Math"/>
                  </w:rPr>
                  <m:t>-1</m:t>
                </m:r>
              </m:sup>
            </m:sSup>
          </m:e>
        </m:d>
        <m:r>
          <m:rPr>
            <m:sty m:val="p"/>
          </m:rPr>
          <w:rPr>
            <w:rFonts w:ascii="Cambria Math" w:hAnsi="Cambria Math"/>
          </w:rPr>
          <m:t>=</m:t>
        </m:r>
        <m:f>
          <m:fPr>
            <m:type m:val="lin"/>
            <m:ctrlPr>
              <w:rPr>
                <w:rFonts w:ascii="Cambria Math" w:hAnsi="Cambria Math"/>
                <w:i/>
              </w:rPr>
            </m:ctrlPr>
          </m:fPr>
          <m:num>
            <m:r>
              <w:rPr>
                <w:rFonts w:ascii="Cambria Math" w:hAnsi="Cambria Math"/>
              </w:rPr>
              <m:t>m</m:t>
            </m:r>
          </m:num>
          <m:den>
            <m:d>
              <m:dPr>
                <m:ctrlPr>
                  <w:rPr>
                    <w:rFonts w:ascii="Cambria Math" w:hAnsi="Cambria Math"/>
                    <w:i/>
                  </w:rPr>
                </m:ctrlPr>
              </m:dPr>
              <m:e>
                <m:r>
                  <w:rPr>
                    <w:rFonts w:ascii="Cambria Math" w:hAnsi="Cambria Math"/>
                  </w:rPr>
                  <m:t>A×d</m:t>
                </m:r>
              </m:e>
            </m:d>
          </m:den>
        </m:f>
      </m:oMath>
      <w:r w:rsidR="00A13FAA">
        <w:rPr>
          <w:rFonts w:eastAsiaTheme="minorEastAsia"/>
        </w:rPr>
        <w:t>,</w:t>
      </w:r>
    </w:p>
    <w:p w14:paraId="64142F18" w14:textId="62204640" w:rsidR="002007E7" w:rsidRPr="0090311E" w:rsidRDefault="002007E7" w:rsidP="000C32D3">
      <w:pPr>
        <w:spacing w:line="360" w:lineRule="auto"/>
        <w:rPr>
          <w:rFonts w:eastAsiaTheme="minorEastAsia"/>
        </w:rPr>
      </w:pPr>
      <w:r w:rsidRPr="0090311E">
        <w:rPr>
          <w:rFonts w:eastAsiaTheme="minorEastAsia"/>
        </w:rPr>
        <w:tab/>
      </w:r>
      <w:r w:rsidRPr="0090311E">
        <w:rPr>
          <w:rFonts w:eastAsiaTheme="minorEastAsia"/>
        </w:rPr>
        <w:tab/>
      </w:r>
      <w:r w:rsidRPr="0090311E">
        <w:rPr>
          <w:rFonts w:eastAsiaTheme="minorEastAsia"/>
        </w:rPr>
        <w:tab/>
      </w:r>
      <w:r w:rsidRPr="0090311E">
        <w:rPr>
          <w:rFonts w:eastAsiaTheme="minorEastAsia"/>
        </w:rPr>
        <w:tab/>
      </w:r>
      <w:r w:rsidRPr="0090311E">
        <w:rPr>
          <w:rFonts w:eastAsiaTheme="minorEastAsia"/>
        </w:rPr>
        <w:tab/>
      </w:r>
      <w:r w:rsidRPr="0090311E">
        <w:rPr>
          <w:rFonts w:eastAsiaTheme="minorEastAsia"/>
        </w:rPr>
        <w:tab/>
      </w:r>
      <w:r w:rsidRPr="0090311E">
        <w:rPr>
          <w:rFonts w:eastAsiaTheme="minorEastAsia"/>
        </w:rPr>
        <w:tab/>
      </w:r>
    </w:p>
    <w:p w14:paraId="755F8BEC" w14:textId="418C1C6B" w:rsidR="002007E7" w:rsidRPr="0090311E" w:rsidRDefault="002007E7" w:rsidP="000C32D3">
      <w:pPr>
        <w:spacing w:line="360" w:lineRule="auto"/>
        <w:rPr>
          <w:rFonts w:eastAsiaTheme="minorEastAsia"/>
        </w:rPr>
      </w:pPr>
      <w:r w:rsidRPr="0090311E">
        <w:rPr>
          <w:rFonts w:eastAsiaTheme="minorEastAsia"/>
        </w:rPr>
        <w:t xml:space="preserve">where </w:t>
      </w:r>
      <w:r w:rsidRPr="0090311E">
        <w:rPr>
          <w:rFonts w:eastAsiaTheme="minorEastAsia"/>
          <w:i/>
        </w:rPr>
        <w:t>m</w:t>
      </w:r>
      <w:r w:rsidRPr="0090311E">
        <w:rPr>
          <w:rFonts w:eastAsiaTheme="minorEastAsia"/>
        </w:rPr>
        <w:t xml:space="preserve"> is the mass of POC in the sample cup, </w:t>
      </w:r>
      <w:r w:rsidRPr="0090311E">
        <w:rPr>
          <w:rFonts w:eastAsiaTheme="minorEastAsia"/>
          <w:i/>
        </w:rPr>
        <w:t>d</w:t>
      </w:r>
      <w:r w:rsidRPr="0090311E">
        <w:rPr>
          <w:rFonts w:eastAsiaTheme="minorEastAsia"/>
        </w:rPr>
        <w:t xml:space="preserve"> is the number of days that the trap was open (</w:t>
      </w:r>
      <w:r w:rsidR="009A5DA0">
        <w:rPr>
          <w:rFonts w:eastAsiaTheme="minorEastAsia"/>
        </w:rPr>
        <w:t>14</w:t>
      </w:r>
      <w:r w:rsidR="00DD38ED">
        <w:rPr>
          <w:rFonts w:eastAsiaTheme="minorEastAsia"/>
        </w:rPr>
        <w:t>-3</w:t>
      </w:r>
      <w:r w:rsidR="009A5DA0">
        <w:rPr>
          <w:rFonts w:eastAsiaTheme="minorEastAsia"/>
        </w:rPr>
        <w:t>1</w:t>
      </w:r>
      <w:r w:rsidR="00DD38ED">
        <w:rPr>
          <w:rFonts w:eastAsiaTheme="minorEastAsia"/>
        </w:rPr>
        <w:t xml:space="preserve"> </w:t>
      </w:r>
      <w:r w:rsidRPr="0090311E">
        <w:rPr>
          <w:rFonts w:eastAsiaTheme="minorEastAsia"/>
        </w:rPr>
        <w:t xml:space="preserve">days) and </w:t>
      </w:r>
      <w:r w:rsidRPr="0090311E">
        <w:rPr>
          <w:rFonts w:eastAsiaTheme="minorEastAsia"/>
          <w:i/>
        </w:rPr>
        <w:t>A</w:t>
      </w:r>
      <w:r w:rsidRPr="0090311E">
        <w:rPr>
          <w:rFonts w:eastAsiaTheme="minorEastAsia"/>
        </w:rPr>
        <w:t xml:space="preserve"> is the area of the sediment trap opening (</w:t>
      </w:r>
      <w:r w:rsidRPr="0090311E">
        <w:t>0.5 m</w:t>
      </w:r>
      <w:r w:rsidRPr="0090311E">
        <w:rPr>
          <w:vertAlign w:val="superscript"/>
        </w:rPr>
        <w:t>2</w:t>
      </w:r>
      <w:r w:rsidRPr="0090311E">
        <w:t>).</w:t>
      </w:r>
    </w:p>
    <w:p w14:paraId="6D87E5A0" w14:textId="6FFEB72F" w:rsidR="002007E7" w:rsidRPr="0090311E" w:rsidRDefault="002007E7" w:rsidP="000C32D3">
      <w:pPr>
        <w:spacing w:line="360" w:lineRule="auto"/>
        <w:rPr>
          <w:b/>
        </w:rPr>
      </w:pPr>
      <w:r w:rsidRPr="0090311E">
        <w:rPr>
          <w:b/>
        </w:rPr>
        <w:t>Acantharia flux</w:t>
      </w:r>
      <w:r w:rsidR="00A7698B">
        <w:rPr>
          <w:b/>
        </w:rPr>
        <w:t xml:space="preserve"> and carbon contribution</w:t>
      </w:r>
    </w:p>
    <w:p w14:paraId="69BFC974" w14:textId="534B825C" w:rsidR="00A7698B" w:rsidRPr="00A7698B" w:rsidRDefault="00A7698B" w:rsidP="000C32D3">
      <w:pPr>
        <w:spacing w:line="360" w:lineRule="auto"/>
      </w:pPr>
      <w:r w:rsidRPr="00DD38ED">
        <w:t>Acantharia</w:t>
      </w:r>
      <w:r w:rsidR="00C55000">
        <w:t>n</w:t>
      </w:r>
      <w:r w:rsidRPr="00A7698B">
        <w:t xml:space="preserve"> cys</w:t>
      </w:r>
      <w:r w:rsidRPr="00DD38ED">
        <w:t xml:space="preserve">ts were identified at the order level using a combination of light microscopy </w:t>
      </w:r>
      <w:r w:rsidRPr="00DD38ED">
        <w:rPr>
          <w:rFonts w:ascii="Times New Roman" w:hAnsi="Times New Roman"/>
          <w:sz w:val="24"/>
          <w:szCs w:val="24"/>
        </w:rPr>
        <w:t xml:space="preserve">(Olympus SZX16) </w:t>
      </w:r>
      <w:r w:rsidRPr="00DD38ED">
        <w:t xml:space="preserve">and scanning electron microscopy (SEM </w:t>
      </w:r>
      <w:r w:rsidRPr="00A7698B">
        <w:rPr>
          <w:rFonts w:ascii="Times New Roman" w:hAnsi="Times New Roman"/>
          <w:sz w:val="24"/>
          <w:szCs w:val="24"/>
          <w:shd w:val="clear" w:color="auto" w:fill="FFFFFF"/>
        </w:rPr>
        <w:t>TM3000, Hitachi</w:t>
      </w:r>
      <w:r w:rsidRPr="00DD38ED">
        <w:t xml:space="preserve">). </w:t>
      </w:r>
      <w:r w:rsidR="003A7076">
        <w:t xml:space="preserve">In this study we focus only on acantharian cysts, and their importance for flux, as adult stages did not make a significant contribution to trap samples. </w:t>
      </w:r>
      <w:r w:rsidRPr="00DD38ED">
        <w:t>Acant</w:t>
      </w:r>
      <w:r>
        <w:t>h</w:t>
      </w:r>
      <w:r w:rsidRPr="00DD38ED">
        <w:t>aria</w:t>
      </w:r>
      <w:r w:rsidR="00C55000">
        <w:t>n</w:t>
      </w:r>
      <w:r w:rsidRPr="00DD38ED">
        <w:t xml:space="preserve"> cysts were counted and visu</w:t>
      </w:r>
      <w:r w:rsidRPr="00A7698B">
        <w:t>ally categorized by shape into two</w:t>
      </w:r>
      <w:r w:rsidRPr="00DD38ED">
        <w:t xml:space="preserve"> categories (oval and round</w:t>
      </w:r>
      <w:r w:rsidR="00C55000">
        <w:t>,</w:t>
      </w:r>
      <w:r w:rsidR="00FE0510">
        <w:t xml:space="preserve"> Fig. 2</w:t>
      </w:r>
      <w:r w:rsidRPr="00DD38ED">
        <w:t>)</w:t>
      </w:r>
      <w:r>
        <w:t>.</w:t>
      </w:r>
      <w:r w:rsidRPr="00A7698B">
        <w:t xml:space="preserve"> </w:t>
      </w:r>
      <w:r w:rsidR="00A715F8">
        <w:t xml:space="preserve">We confirm that the cysts belong to Acantharia by conducting </w:t>
      </w:r>
      <w:r w:rsidR="006C1302">
        <w:t>scanning electron microscope energy-</w:t>
      </w:r>
      <w:r w:rsidR="00A715F8">
        <w:t xml:space="preserve">dispersive X-ray (SEM-EDX) analysis (Fig. S1). </w:t>
      </w:r>
      <w:r w:rsidRPr="00A7698B">
        <w:t xml:space="preserve">For </w:t>
      </w:r>
      <w:r>
        <w:t>each sample, t</w:t>
      </w:r>
      <w:r w:rsidRPr="00DD38ED">
        <w:t>he dimensions of each morphological type observed were measured using an ocular micrometer. Acantharia</w:t>
      </w:r>
      <w:r w:rsidR="00C92F36">
        <w:t>n cysts</w:t>
      </w:r>
      <w:r w:rsidRPr="00DD38ED">
        <w:t xml:space="preserve"> were then further categorised as small (&lt;0.2</w:t>
      </w:r>
      <w:r w:rsidR="00C92F36">
        <w:t xml:space="preserve"> </w:t>
      </w:r>
      <w:r w:rsidRPr="00DD38ED">
        <w:t>mm</w:t>
      </w:r>
      <w:r w:rsidR="00F2693F">
        <w:t>) and large (&gt;0.2</w:t>
      </w:r>
      <w:r w:rsidR="00C92F36">
        <w:t xml:space="preserve"> </w:t>
      </w:r>
      <w:r w:rsidR="00F2693F">
        <w:t>mm) on the basis</w:t>
      </w:r>
      <w:r w:rsidRPr="00DD38ED">
        <w:t xml:space="preserve"> of shell length</w:t>
      </w:r>
      <w:r w:rsidR="008127FA">
        <w:t xml:space="preserve">. </w:t>
      </w:r>
      <w:r w:rsidR="00F80C9E">
        <w:t>150-200</w:t>
      </w:r>
      <w:r w:rsidR="00513E23">
        <w:t xml:space="preserve"> cysts were measured for each category.</w:t>
      </w:r>
      <w:r w:rsidR="00DD38ED" w:rsidRPr="00DD38ED">
        <w:t xml:space="preserve"> Ac</w:t>
      </w:r>
      <w:r w:rsidRPr="00DD38ED">
        <w:t>ant</w:t>
      </w:r>
      <w:r>
        <w:t>h</w:t>
      </w:r>
      <w:r w:rsidRPr="00DD38ED">
        <w:t>aria</w:t>
      </w:r>
      <w:r w:rsidR="000F3B2B">
        <w:t>n</w:t>
      </w:r>
      <w:r w:rsidRPr="00DD38ED">
        <w:t xml:space="preserve"> volume was calculated (mm</w:t>
      </w:r>
      <w:r w:rsidRPr="00DD38ED">
        <w:rPr>
          <w:vertAlign w:val="superscript"/>
        </w:rPr>
        <w:t>3</w:t>
      </w:r>
      <w:r w:rsidRPr="00DD38ED">
        <w:t xml:space="preserve">) by the geometrical </w:t>
      </w:r>
      <w:r w:rsidR="00D058F7" w:rsidRPr="00DD38ED">
        <w:t>formula</w:t>
      </w:r>
      <w:r w:rsidR="00D058F7">
        <w:t>e</w:t>
      </w:r>
      <w:r w:rsidRPr="00DD38ED">
        <w:t xml:space="preserve"> associated with the shapes using the following equations</w:t>
      </w:r>
      <w:r>
        <w:t xml:space="preserve">, where </w:t>
      </w:r>
      <w:r w:rsidRPr="00802F28">
        <w:rPr>
          <w:i/>
        </w:rPr>
        <w:t>r</w:t>
      </w:r>
      <w:r w:rsidR="00802F28" w:rsidRPr="00802F28">
        <w:rPr>
          <w:i/>
          <w:vertAlign w:val="subscript"/>
        </w:rPr>
        <w:t>n</w:t>
      </w:r>
      <w:r>
        <w:t xml:space="preserve"> is the radius</w:t>
      </w:r>
      <w:r w:rsidR="00802F28">
        <w:t xml:space="preserve"> along each dimension</w:t>
      </w:r>
      <w:r w:rsidRPr="00A7698B">
        <w:t>:</w:t>
      </w:r>
    </w:p>
    <w:p w14:paraId="5EDA54D7" w14:textId="3D095CAD" w:rsidR="00A7698B" w:rsidRPr="0059430E" w:rsidRDefault="00A7698B" w:rsidP="000C32D3">
      <w:pPr>
        <w:spacing w:line="360" w:lineRule="auto"/>
        <w:rPr>
          <w:rFonts w:eastAsiaTheme="minorEastAsia"/>
        </w:rPr>
      </w:pPr>
      <m:oMathPara>
        <m:oMathParaPr>
          <m:jc m:val="left"/>
        </m:oMathParaPr>
        <m:oMath>
          <m:r>
            <w:rPr>
              <w:rFonts w:ascii="Cambria Math" w:hAnsi="Cambria Math"/>
            </w:rPr>
            <m:t xml:space="preserve">Round cyst volume= </m:t>
          </m:r>
          <m:f>
            <m:fPr>
              <m:type m:val="lin"/>
              <m:ctrlPr>
                <w:rPr>
                  <w:rFonts w:ascii="Cambria Math" w:hAnsi="Cambria Math"/>
                  <w:i/>
                </w:rPr>
              </m:ctrlPr>
            </m:fPr>
            <m:num>
              <m:r>
                <w:rPr>
                  <w:rFonts w:ascii="Cambria Math" w:hAnsi="Cambria Math"/>
                </w:rPr>
                <m:t>4</m:t>
              </m:r>
            </m:num>
            <m:den>
              <m:r>
                <w:rPr>
                  <w:rFonts w:ascii="Cambria Math" w:hAnsi="Cambria Math"/>
                </w:rPr>
                <m:t xml:space="preserve">3 π </m:t>
              </m:r>
              <m:sSup>
                <m:sSupPr>
                  <m:ctrlPr>
                    <w:rPr>
                      <w:rFonts w:ascii="Cambria Math" w:hAnsi="Cambria Math"/>
                      <w:i/>
                    </w:rPr>
                  </m:ctrlPr>
                </m:sSupPr>
                <m:e>
                  <m:r>
                    <w:rPr>
                      <w:rFonts w:ascii="Cambria Math" w:hAnsi="Cambria Math"/>
                    </w:rPr>
                    <m:t>r</m:t>
                  </m:r>
                </m:e>
                <m:sup>
                  <m:r>
                    <w:rPr>
                      <w:rFonts w:ascii="Cambria Math" w:hAnsi="Cambria Math"/>
                    </w:rPr>
                    <m:t>3</m:t>
                  </m:r>
                </m:sup>
              </m:sSup>
            </m:den>
          </m:f>
        </m:oMath>
      </m:oMathPara>
    </w:p>
    <w:p w14:paraId="5CCAAF5D" w14:textId="3051395B" w:rsidR="00A7698B" w:rsidRPr="0059430E" w:rsidRDefault="00A7698B" w:rsidP="000C32D3">
      <w:pPr>
        <w:spacing w:line="360" w:lineRule="auto"/>
      </w:pPr>
      <m:oMathPara>
        <m:oMathParaPr>
          <m:jc m:val="left"/>
        </m:oMathParaPr>
        <m:oMath>
          <m:r>
            <w:rPr>
              <w:rFonts w:ascii="Cambria Math" w:hAnsi="Cambria Math"/>
            </w:rPr>
            <m:t xml:space="preserve">Oval cyst volume= </m:t>
          </m:r>
          <m:f>
            <m:fPr>
              <m:type m:val="lin"/>
              <m:ctrlPr>
                <w:rPr>
                  <w:rFonts w:ascii="Cambria Math" w:hAnsi="Cambria Math"/>
                  <w:i/>
                </w:rPr>
              </m:ctrlPr>
            </m:fPr>
            <m:num>
              <m:r>
                <w:rPr>
                  <w:rFonts w:ascii="Cambria Math" w:hAnsi="Cambria Math"/>
                </w:rPr>
                <m:t>4</m:t>
              </m:r>
            </m:num>
            <m:den>
              <m:r>
                <w:rPr>
                  <w:rFonts w:ascii="Cambria Math" w:hAnsi="Cambria Math"/>
                </w:rPr>
                <m:t xml:space="preserve">3 π </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den>
          </m:f>
        </m:oMath>
      </m:oMathPara>
    </w:p>
    <w:p w14:paraId="71D8BB4E" w14:textId="37122636" w:rsidR="002007E7" w:rsidRPr="0090311E" w:rsidRDefault="00D826CB" w:rsidP="000C32D3">
      <w:pPr>
        <w:spacing w:line="360" w:lineRule="auto"/>
      </w:pPr>
      <w:r w:rsidRPr="0090311E">
        <w:lastRenderedPageBreak/>
        <w:t xml:space="preserve">Number fluxes of </w:t>
      </w:r>
      <w:r w:rsidR="00C55000">
        <w:t>a</w:t>
      </w:r>
      <w:r w:rsidRPr="0090311E">
        <w:t>cantharia</w:t>
      </w:r>
      <w:r w:rsidR="00C55000">
        <w:t>n</w:t>
      </w:r>
      <w:r w:rsidRPr="0090311E">
        <w:t xml:space="preserve"> </w:t>
      </w:r>
      <w:r w:rsidR="00AC6A57">
        <w:t xml:space="preserve">cysts </w:t>
      </w:r>
      <w:r w:rsidRPr="0090311E">
        <w:t>(</w:t>
      </w:r>
      <w:r w:rsidRPr="004F75E9">
        <w:rPr>
          <w:i/>
        </w:rPr>
        <w:t>F</w:t>
      </w:r>
      <w:r w:rsidRPr="004F75E9">
        <w:rPr>
          <w:i/>
          <w:vertAlign w:val="subscript"/>
        </w:rPr>
        <w:t>A</w:t>
      </w:r>
      <w:r w:rsidR="00FC6836" w:rsidRPr="004F75E9">
        <w:rPr>
          <w:i/>
          <w:vertAlign w:val="subscript"/>
        </w:rPr>
        <w:t>C</w:t>
      </w:r>
      <w:r w:rsidRPr="0090311E">
        <w:t>) were calculated using the following equation</w:t>
      </w:r>
      <w:r w:rsidR="00FC6836" w:rsidRPr="0090311E">
        <w:t>:</w:t>
      </w:r>
    </w:p>
    <w:p w14:paraId="2296A4DC" w14:textId="2C246AE8" w:rsidR="00D826CB" w:rsidRPr="0090311E" w:rsidRDefault="00B106AD" w:rsidP="000C32D3">
      <w:pPr>
        <w:spacing w:line="360" w:lineRule="auto"/>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AC</m:t>
            </m:r>
          </m:sub>
        </m:sSub>
        <m:r>
          <m:rPr>
            <m:sty m:val="p"/>
          </m:rPr>
          <w:rPr>
            <w:rFonts w:ascii="Cambria Math" w:hAnsi="Cambria Math"/>
          </w:rPr>
          <m:t xml:space="preserve"> </m:t>
        </m:r>
        <m:d>
          <m:dPr>
            <m:ctrlPr>
              <w:rPr>
                <w:rFonts w:ascii="Cambria Math" w:hAnsi="Cambria Math"/>
              </w:rPr>
            </m:ctrlPr>
          </m:dPr>
          <m:e>
            <m:r>
              <w:rPr>
                <w:rFonts w:ascii="Cambria Math" w:hAnsi="Cambria Math"/>
              </w:rPr>
              <m:t>ind</m:t>
            </m:r>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sSup>
              <m:sSupPr>
                <m:ctrlPr>
                  <w:rPr>
                    <w:rFonts w:ascii="Cambria Math" w:hAnsi="Cambria Math"/>
                  </w:rPr>
                </m:ctrlPr>
              </m:sSupPr>
              <m:e>
                <m:r>
                  <w:rPr>
                    <w:rFonts w:ascii="Cambria Math" w:hAnsi="Cambria Math"/>
                  </w:rPr>
                  <m:t>d</m:t>
                </m:r>
              </m:e>
              <m:sup>
                <m:r>
                  <m:rPr>
                    <m:sty m:val="p"/>
                  </m:rPr>
                  <w:rPr>
                    <w:rFonts w:ascii="Cambria Math" w:hAnsi="Cambria Math"/>
                  </w:rPr>
                  <m:t>-1</m:t>
                </m:r>
              </m:sup>
            </m:sSup>
          </m:e>
        </m:d>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AC</m:t>
                </m:r>
              </m:sub>
            </m:sSub>
          </m:num>
          <m:den>
            <m:d>
              <m:dPr>
                <m:ctrlPr>
                  <w:rPr>
                    <w:rFonts w:ascii="Cambria Math" w:hAnsi="Cambria Math"/>
                    <w:i/>
                  </w:rPr>
                </m:ctrlPr>
              </m:dPr>
              <m:e>
                <m:r>
                  <w:rPr>
                    <w:rFonts w:ascii="Cambria Math" w:hAnsi="Cambria Math"/>
                  </w:rPr>
                  <m:t>A×d</m:t>
                </m:r>
              </m:e>
            </m:d>
          </m:den>
        </m:f>
        <m:r>
          <w:rPr>
            <w:rFonts w:ascii="Cambria Math" w:hAnsi="Cambria Math"/>
          </w:rPr>
          <m:t>,</m:t>
        </m:r>
      </m:oMath>
      <w:r w:rsidR="00D826CB" w:rsidRPr="0090311E">
        <w:rPr>
          <w:rFonts w:eastAsiaTheme="minorEastAsia"/>
        </w:rPr>
        <w:tab/>
      </w:r>
      <w:r w:rsidR="00D826CB" w:rsidRPr="0090311E">
        <w:rPr>
          <w:rFonts w:eastAsiaTheme="minorEastAsia"/>
        </w:rPr>
        <w:tab/>
      </w:r>
      <w:r w:rsidR="00D826CB" w:rsidRPr="0090311E">
        <w:rPr>
          <w:rFonts w:eastAsiaTheme="minorEastAsia"/>
        </w:rPr>
        <w:tab/>
      </w:r>
      <w:r w:rsidR="00D826CB" w:rsidRPr="0090311E">
        <w:rPr>
          <w:rFonts w:eastAsiaTheme="minorEastAsia"/>
        </w:rPr>
        <w:tab/>
      </w:r>
      <w:r w:rsidR="00D826CB" w:rsidRPr="0090311E">
        <w:rPr>
          <w:rFonts w:eastAsiaTheme="minorEastAsia"/>
        </w:rPr>
        <w:tab/>
      </w:r>
      <w:r w:rsidR="00D826CB" w:rsidRPr="0090311E">
        <w:rPr>
          <w:rFonts w:eastAsiaTheme="minorEastAsia"/>
        </w:rPr>
        <w:tab/>
      </w:r>
      <w:r w:rsidR="00D826CB" w:rsidRPr="0090311E">
        <w:rPr>
          <w:rFonts w:eastAsiaTheme="minorEastAsia"/>
        </w:rPr>
        <w:tab/>
      </w:r>
    </w:p>
    <w:p w14:paraId="083F59C7" w14:textId="28931E75" w:rsidR="00D826CB" w:rsidRPr="0090311E" w:rsidRDefault="00D826CB" w:rsidP="000C32D3">
      <w:pPr>
        <w:spacing w:line="360" w:lineRule="auto"/>
        <w:rPr>
          <w:rFonts w:eastAsiaTheme="minorEastAsia"/>
        </w:rPr>
      </w:pPr>
      <w:r w:rsidRPr="0090311E">
        <w:rPr>
          <w:rFonts w:eastAsiaTheme="minorEastAsia"/>
        </w:rPr>
        <w:t xml:space="preserve">where </w:t>
      </w:r>
      <w:r w:rsidR="00802F28">
        <w:rPr>
          <w:rFonts w:eastAsiaTheme="minorEastAsia"/>
          <w:i/>
        </w:rPr>
        <w:t>N</w:t>
      </w:r>
      <w:r w:rsidR="00802F28" w:rsidRPr="00802F28">
        <w:rPr>
          <w:rFonts w:eastAsiaTheme="minorEastAsia"/>
          <w:i/>
          <w:vertAlign w:val="subscript"/>
        </w:rPr>
        <w:t>AC</w:t>
      </w:r>
      <w:r w:rsidR="00FC6836" w:rsidRPr="00802F28">
        <w:rPr>
          <w:rFonts w:eastAsiaTheme="minorEastAsia"/>
          <w:vertAlign w:val="subscript"/>
        </w:rPr>
        <w:t xml:space="preserve"> </w:t>
      </w:r>
      <w:r w:rsidR="00FC6836" w:rsidRPr="0090311E">
        <w:rPr>
          <w:rFonts w:eastAsiaTheme="minorEastAsia"/>
        </w:rPr>
        <w:t>is the number of individual cysts</w:t>
      </w:r>
      <w:r w:rsidR="00B51DE8">
        <w:rPr>
          <w:rFonts w:eastAsiaTheme="minorEastAsia"/>
        </w:rPr>
        <w:t xml:space="preserve"> (the average of 2-4 replicate counts)</w:t>
      </w:r>
      <w:r w:rsidR="00FC6836" w:rsidRPr="0090311E">
        <w:rPr>
          <w:rFonts w:eastAsiaTheme="minorEastAsia"/>
          <w:i/>
        </w:rPr>
        <w:t xml:space="preserve">. </w:t>
      </w:r>
      <w:r w:rsidR="00FC6836" w:rsidRPr="0090311E">
        <w:rPr>
          <w:rFonts w:eastAsiaTheme="minorEastAsia"/>
        </w:rPr>
        <w:t>Volume fluxes were then calculated based on the dimensions of each class of acantharia</w:t>
      </w:r>
      <w:r w:rsidR="00C55000">
        <w:rPr>
          <w:rFonts w:eastAsiaTheme="minorEastAsia"/>
        </w:rPr>
        <w:t>n</w:t>
      </w:r>
      <w:r w:rsidR="00FC6836" w:rsidRPr="0090311E">
        <w:rPr>
          <w:rFonts w:eastAsiaTheme="minorEastAsia"/>
        </w:rPr>
        <w:t xml:space="preserve"> cyst</w:t>
      </w:r>
      <w:r w:rsidR="00C761D9">
        <w:rPr>
          <w:rFonts w:eastAsiaTheme="minorEastAsia"/>
        </w:rPr>
        <w:t>.</w:t>
      </w:r>
      <w:r w:rsidR="00A95B7E" w:rsidRPr="0090311E">
        <w:rPr>
          <w:rFonts w:eastAsiaTheme="minorEastAsia"/>
        </w:rPr>
        <w:t xml:space="preserve"> The carbon flux </w:t>
      </w:r>
      <w:r w:rsidR="00FD7E81" w:rsidRPr="0090311E">
        <w:rPr>
          <w:rFonts w:eastAsiaTheme="minorEastAsia"/>
        </w:rPr>
        <w:t>associated</w:t>
      </w:r>
      <w:r w:rsidR="00A95B7E" w:rsidRPr="0090311E">
        <w:rPr>
          <w:rFonts w:eastAsiaTheme="minorEastAsia"/>
        </w:rPr>
        <w:t xml:space="preserve"> with sinking acantharia</w:t>
      </w:r>
      <w:r w:rsidR="00C55000">
        <w:rPr>
          <w:rFonts w:eastAsiaTheme="minorEastAsia"/>
        </w:rPr>
        <w:t>n</w:t>
      </w:r>
      <w:r w:rsidR="00A95B7E" w:rsidRPr="0090311E">
        <w:rPr>
          <w:rFonts w:eastAsiaTheme="minorEastAsia"/>
        </w:rPr>
        <w:t xml:space="preserve"> </w:t>
      </w:r>
      <w:r w:rsidR="00605E97" w:rsidRPr="0090311E">
        <w:rPr>
          <w:rFonts w:eastAsiaTheme="minorEastAsia"/>
        </w:rPr>
        <w:t>c</w:t>
      </w:r>
      <w:r w:rsidR="00605E97">
        <w:rPr>
          <w:rFonts w:eastAsiaTheme="minorEastAsia"/>
        </w:rPr>
        <w:t>ysts</w:t>
      </w:r>
      <w:r w:rsidR="00605E97" w:rsidRPr="0090311E">
        <w:rPr>
          <w:rFonts w:eastAsiaTheme="minorEastAsia"/>
        </w:rPr>
        <w:t xml:space="preserve"> </w:t>
      </w:r>
      <w:r w:rsidR="00A95B7E" w:rsidRPr="0090311E">
        <w:rPr>
          <w:rFonts w:eastAsiaTheme="minorEastAsia"/>
        </w:rPr>
        <w:t xml:space="preserve">was estimated </w:t>
      </w:r>
      <w:r w:rsidR="00FD7E81" w:rsidRPr="0090311E">
        <w:rPr>
          <w:rFonts w:eastAsiaTheme="minorEastAsia"/>
        </w:rPr>
        <w:t>using</w:t>
      </w:r>
      <w:r w:rsidR="00A95B7E" w:rsidRPr="0090311E">
        <w:rPr>
          <w:rFonts w:eastAsiaTheme="minorEastAsia"/>
        </w:rPr>
        <w:t xml:space="preserve"> a conversion factor of 0.048 mg C mm</w:t>
      </w:r>
      <w:r w:rsidR="00A95B7E" w:rsidRPr="0090311E">
        <w:rPr>
          <w:rFonts w:eastAsiaTheme="minorEastAsia"/>
          <w:vertAlign w:val="superscript"/>
        </w:rPr>
        <w:t xml:space="preserve">-3 </w:t>
      </w:r>
      <w:r w:rsidR="00FD7E81" w:rsidRPr="0090311E">
        <w:rPr>
          <w:rFonts w:eastAsiaTheme="minorEastAsia"/>
        </w:rPr>
        <w:t>based on measurements made on acantharia</w:t>
      </w:r>
      <w:r w:rsidR="00C55000">
        <w:rPr>
          <w:rFonts w:eastAsiaTheme="minorEastAsia"/>
        </w:rPr>
        <w:t>n</w:t>
      </w:r>
      <w:r w:rsidR="00FD7E81" w:rsidRPr="0090311E">
        <w:rPr>
          <w:rFonts w:eastAsiaTheme="minorEastAsia"/>
        </w:rPr>
        <w:t xml:space="preserve"> cysts in the East Greenland Sea </w:t>
      </w:r>
      <w:r w:rsidR="00FD7E81" w:rsidRPr="0090311E">
        <w:rPr>
          <w:rFonts w:eastAsiaTheme="minorEastAsia"/>
        </w:rPr>
        <w:fldChar w:fldCharType="begin" w:fldLock="1"/>
      </w:r>
      <w:r w:rsidR="00B93937">
        <w:rPr>
          <w:rFonts w:eastAsiaTheme="minorEastAsia"/>
        </w:rPr>
        <w:instrText>ADDIN CSL_CITATION { "citationItems" : [ { "id" : "ITEM-1",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"ITEM-1", "issue" : "1", "issued" : { "date-parts" : [ [ "1993" ] ] }, "page" : "99-114", "title" : "Abundance, encystment and sedimentation of acantharia during autumn 1990 in the East Greenland Sea", "type" : "article-journal", "volume" : "15" }, "uris" : [ "http://www.mendeley.com/documents/?uuid=26c32220-bbd7-4ed1-98f3-5fb9f6766313", "http://www.mendeley.com/documents/?uuid=c9084f0a-f6ac-4816-9bff-fbc3e65ef859" ] } ], "mendeley" : { "formattedCitation" : "(Antia et al. 1993)", "plainTextFormattedCitation" : "(Antia et al. 1993)", "previouslyFormattedCitation" : "(Antia et al. 1993)" }, "properties" : {  }, "schema" : "https://github.com/citation-style-language/schema/raw/master/csl-citation.json" }</w:instrText>
      </w:r>
      <w:r w:rsidR="00FD7E81" w:rsidRPr="0090311E">
        <w:rPr>
          <w:rFonts w:eastAsiaTheme="minorEastAsia"/>
        </w:rPr>
        <w:fldChar w:fldCharType="separate"/>
      </w:r>
      <w:r w:rsidR="0055768E" w:rsidRPr="0055768E">
        <w:rPr>
          <w:rFonts w:eastAsiaTheme="minorEastAsia"/>
          <w:noProof/>
        </w:rPr>
        <w:t>(Antia et al. 1993)</w:t>
      </w:r>
      <w:r w:rsidR="00FD7E81" w:rsidRPr="0090311E">
        <w:rPr>
          <w:rFonts w:eastAsiaTheme="minorEastAsia"/>
        </w:rPr>
        <w:fldChar w:fldCharType="end"/>
      </w:r>
      <w:r w:rsidR="00FD7E81" w:rsidRPr="0090311E">
        <w:rPr>
          <w:rFonts w:eastAsiaTheme="minorEastAsia"/>
        </w:rPr>
        <w:t>.</w:t>
      </w:r>
      <w:r w:rsidR="0011405C" w:rsidRPr="0090311E">
        <w:rPr>
          <w:rFonts w:eastAsiaTheme="minorEastAsia"/>
        </w:rPr>
        <w:t xml:space="preserve"> </w:t>
      </w:r>
      <w:r w:rsidR="00E6123D">
        <w:rPr>
          <w:rFonts w:eastAsiaTheme="minorEastAsia"/>
        </w:rPr>
        <w:t>Although t</w:t>
      </w:r>
      <w:r w:rsidR="00DF551B">
        <w:rPr>
          <w:rFonts w:eastAsiaTheme="minorEastAsia"/>
        </w:rPr>
        <w:t xml:space="preserve">he carbon content of cysts may vary </w:t>
      </w:r>
      <w:r w:rsidR="00E6123D">
        <w:rPr>
          <w:rFonts w:eastAsiaTheme="minorEastAsia"/>
        </w:rPr>
        <w:t xml:space="preserve">according to region and species, </w:t>
      </w:r>
      <w:r w:rsidR="00DF551B">
        <w:rPr>
          <w:rFonts w:eastAsiaTheme="minorEastAsia"/>
        </w:rPr>
        <w:t xml:space="preserve">we believe the conversion factor of Antia et al. (1993) to be the most appropriate for our high latitude site. </w:t>
      </w:r>
      <w:r w:rsidR="0011405C" w:rsidRPr="0090311E">
        <w:rPr>
          <w:rFonts w:eastAsiaTheme="minorEastAsia"/>
        </w:rPr>
        <w:t xml:space="preserve">As dissolved Sr was not measured in the preservative, we make no correction for the possible loss of </w:t>
      </w:r>
      <w:r w:rsidR="006578F6">
        <w:rPr>
          <w:rFonts w:eastAsiaTheme="minorEastAsia"/>
        </w:rPr>
        <w:t>A</w:t>
      </w:r>
      <w:r w:rsidR="0011405C" w:rsidRPr="0090311E">
        <w:rPr>
          <w:rFonts w:eastAsiaTheme="minorEastAsia"/>
        </w:rPr>
        <w:t>cantharia via dissolution. The fluxes calculated here are therefore a lower bound estimate</w:t>
      </w:r>
      <w:r w:rsidR="00C55000">
        <w:rPr>
          <w:rFonts w:eastAsiaTheme="minorEastAsia"/>
        </w:rPr>
        <w:t>.</w:t>
      </w:r>
    </w:p>
    <w:p w14:paraId="240CC636" w14:textId="77777777" w:rsidR="00CF2C4B" w:rsidRDefault="00CF2C4B" w:rsidP="000C32D3">
      <w:pPr>
        <w:spacing w:line="360" w:lineRule="auto"/>
        <w:rPr>
          <w:rFonts w:eastAsiaTheme="minorEastAsia"/>
          <w:b/>
        </w:rPr>
      </w:pPr>
      <w:r>
        <w:rPr>
          <w:rFonts w:eastAsiaTheme="minorEastAsia"/>
          <w:b/>
        </w:rPr>
        <w:t>Environmental</w:t>
      </w:r>
      <w:r w:rsidR="00802F28">
        <w:rPr>
          <w:rFonts w:eastAsiaTheme="minorEastAsia"/>
          <w:b/>
        </w:rPr>
        <w:t xml:space="preserve"> context</w:t>
      </w:r>
    </w:p>
    <w:p w14:paraId="3F53CE61" w14:textId="70B60AA6" w:rsidR="00CF2C4B" w:rsidRDefault="00802F28" w:rsidP="000C32D3">
      <w:pPr>
        <w:spacing w:line="360" w:lineRule="auto"/>
        <w:rPr>
          <w:rFonts w:eastAsiaTheme="minorEastAsia"/>
        </w:rPr>
      </w:pPr>
      <w:r>
        <w:rPr>
          <w:rFonts w:eastAsiaTheme="minorEastAsia"/>
        </w:rPr>
        <w:t xml:space="preserve">Mean monthly chlorophyll </w:t>
      </w:r>
      <w:r w:rsidRPr="00DE0DC2">
        <w:rPr>
          <w:rFonts w:eastAsiaTheme="minorEastAsia"/>
          <w:i/>
        </w:rPr>
        <w:t>a</w:t>
      </w:r>
      <w:r>
        <w:rPr>
          <w:rFonts w:eastAsiaTheme="minorEastAsia"/>
        </w:rPr>
        <w:t xml:space="preserve"> and sea surface temperature (SST) data at 9</w:t>
      </w:r>
      <w:r w:rsidR="00C92F36">
        <w:rPr>
          <w:rFonts w:eastAsiaTheme="minorEastAsia"/>
        </w:rPr>
        <w:t xml:space="preserve"> </w:t>
      </w:r>
      <w:r>
        <w:rPr>
          <w:rFonts w:eastAsiaTheme="minorEastAsia"/>
        </w:rPr>
        <w:t>km resolution from the MODIS-Aqua Level-3 dataset were obtained from NASA Goddard Space Flight Center, Ocean Biology Processing Group (</w:t>
      </w:r>
      <w:hyperlink r:id="rId10" w:history="1">
        <w:r w:rsidRPr="00603A96">
          <w:rPr>
            <w:rStyle w:val="Hyperlink"/>
            <w:rFonts w:eastAsiaTheme="minorEastAsia"/>
          </w:rPr>
          <w:t>https://oceancolor.gsfc.nasa.gov/cgi/l3</w:t>
        </w:r>
      </w:hyperlink>
      <w:r>
        <w:rPr>
          <w:rFonts w:eastAsiaTheme="minorEastAsia"/>
        </w:rPr>
        <w:t>) for the period 2008-2015. Monthly values for the P2 site were derived by averaging the data values in a 55 km x 55 km box around P2.</w:t>
      </w:r>
    </w:p>
    <w:p w14:paraId="71249D06" w14:textId="6649FBF5" w:rsidR="00D826CB" w:rsidRDefault="0011405C" w:rsidP="000C32D3">
      <w:pPr>
        <w:spacing w:line="360" w:lineRule="auto"/>
        <w:rPr>
          <w:b/>
        </w:rPr>
      </w:pPr>
      <w:r w:rsidRPr="0090311E">
        <w:rPr>
          <w:b/>
        </w:rPr>
        <w:t>Results</w:t>
      </w:r>
      <w:r w:rsidR="007C4231">
        <w:rPr>
          <w:b/>
        </w:rPr>
        <w:t xml:space="preserve"> and Discussion</w:t>
      </w:r>
    </w:p>
    <w:p w14:paraId="24A8E44B" w14:textId="1F6E26C2" w:rsidR="0090311E" w:rsidRDefault="0090311E" w:rsidP="000C32D3">
      <w:pPr>
        <w:spacing w:line="360" w:lineRule="auto"/>
        <w:rPr>
          <w:b/>
        </w:rPr>
      </w:pPr>
      <w:r>
        <w:rPr>
          <w:b/>
        </w:rPr>
        <w:t>Acantharia</w:t>
      </w:r>
      <w:r w:rsidR="00C55000">
        <w:rPr>
          <w:b/>
        </w:rPr>
        <w:t>n</w:t>
      </w:r>
      <w:r>
        <w:rPr>
          <w:b/>
        </w:rPr>
        <w:t xml:space="preserve"> </w:t>
      </w:r>
      <w:r w:rsidR="005A2DCC">
        <w:rPr>
          <w:b/>
        </w:rPr>
        <w:t xml:space="preserve">cyst </w:t>
      </w:r>
      <w:r>
        <w:rPr>
          <w:b/>
        </w:rPr>
        <w:t>flux</w:t>
      </w:r>
    </w:p>
    <w:p w14:paraId="1E31DD18" w14:textId="6D310542" w:rsidR="00516E98" w:rsidRDefault="007C55F3" w:rsidP="000C32D3">
      <w:pPr>
        <w:spacing w:line="360" w:lineRule="auto"/>
      </w:pPr>
      <w:r>
        <w:t xml:space="preserve">High </w:t>
      </w:r>
      <w:r w:rsidR="00C44A0E">
        <w:t>fluxes</w:t>
      </w:r>
      <w:r>
        <w:t xml:space="preserve"> of </w:t>
      </w:r>
      <w:r w:rsidR="00124D15">
        <w:t>acantharia</w:t>
      </w:r>
      <w:r w:rsidR="00C55000">
        <w:t>n</w:t>
      </w:r>
      <w:r w:rsidR="00124D15">
        <w:t xml:space="preserve"> cyst</w:t>
      </w:r>
      <w:r w:rsidR="002344F9">
        <w:t xml:space="preserve">s </w:t>
      </w:r>
      <w:r>
        <w:t xml:space="preserve">were observed in the sediment trap samples, </w:t>
      </w:r>
      <w:r w:rsidR="00124D15">
        <w:t>reaching a peak of 27</w:t>
      </w:r>
      <w:r w:rsidR="009A0F37">
        <w:t>0</w:t>
      </w:r>
      <w:r w:rsidR="0098139D">
        <w:t>6</w:t>
      </w:r>
      <w:r w:rsidR="00124D15">
        <w:t xml:space="preserve"> ind. m</w:t>
      </w:r>
      <w:r w:rsidR="00124D15" w:rsidRPr="00124D15">
        <w:rPr>
          <w:vertAlign w:val="superscript"/>
        </w:rPr>
        <w:t>-2</w:t>
      </w:r>
      <w:r w:rsidR="00124D15">
        <w:t xml:space="preserve"> d</w:t>
      </w:r>
      <w:r w:rsidR="00124D15" w:rsidRPr="00124D15">
        <w:rPr>
          <w:vertAlign w:val="superscript"/>
        </w:rPr>
        <w:t>-1</w:t>
      </w:r>
      <w:r w:rsidR="00124D15">
        <w:t xml:space="preserve"> at the end of December 2012</w:t>
      </w:r>
      <w:r w:rsidR="006517E6">
        <w:t xml:space="preserve"> (</w:t>
      </w:r>
      <w:r w:rsidR="00951D42">
        <w:t>Table 1</w:t>
      </w:r>
      <w:r w:rsidR="006517E6">
        <w:t>)</w:t>
      </w:r>
      <w:r w:rsidR="00124D15">
        <w:t>. Acantharia</w:t>
      </w:r>
      <w:r w:rsidR="00C55000">
        <w:t>n</w:t>
      </w:r>
      <w:r w:rsidR="00124D15">
        <w:t xml:space="preserve"> cyst fluxes </w:t>
      </w:r>
      <w:r w:rsidR="00D11A20">
        <w:t xml:space="preserve">decreased </w:t>
      </w:r>
      <w:r w:rsidR="00124D15">
        <w:t>into January 2013, before reaching a second peak of 102</w:t>
      </w:r>
      <w:r w:rsidR="009A0F37">
        <w:t>9</w:t>
      </w:r>
      <w:r w:rsidR="00124D15">
        <w:t xml:space="preserve"> ind. m</w:t>
      </w:r>
      <w:r w:rsidR="00124D15" w:rsidRPr="00124D15">
        <w:rPr>
          <w:vertAlign w:val="superscript"/>
        </w:rPr>
        <w:t>-2</w:t>
      </w:r>
      <w:r w:rsidR="00124D15">
        <w:t xml:space="preserve"> d</w:t>
      </w:r>
      <w:r w:rsidR="00124D15" w:rsidRPr="00124D15">
        <w:rPr>
          <w:vertAlign w:val="superscript"/>
        </w:rPr>
        <w:t>-1</w:t>
      </w:r>
      <w:r w:rsidR="00124D15">
        <w:t xml:space="preserve"> at the end of February. From March </w:t>
      </w:r>
      <w:r w:rsidR="002344F9">
        <w:t>to the end of November</w:t>
      </w:r>
      <w:r w:rsidR="00D11A20">
        <w:t xml:space="preserve"> 2013</w:t>
      </w:r>
      <w:r w:rsidR="00E6123D">
        <w:t>,</w:t>
      </w:r>
      <w:r w:rsidR="002344F9">
        <w:t xml:space="preserve"> total fluxes of acantharia</w:t>
      </w:r>
      <w:r w:rsidR="00C55000">
        <w:t>n</w:t>
      </w:r>
      <w:r w:rsidR="002344F9">
        <w:t xml:space="preserve"> </w:t>
      </w:r>
      <w:r w:rsidR="005A2DCC">
        <w:t xml:space="preserve">cysts </w:t>
      </w:r>
      <w:r w:rsidR="002344F9">
        <w:t>were low at &lt; 45 ind. m</w:t>
      </w:r>
      <w:r w:rsidR="002344F9" w:rsidRPr="00124D15">
        <w:rPr>
          <w:vertAlign w:val="superscript"/>
        </w:rPr>
        <w:t>-2</w:t>
      </w:r>
      <w:r w:rsidR="002344F9">
        <w:t xml:space="preserve"> d</w:t>
      </w:r>
      <w:r w:rsidR="002344F9" w:rsidRPr="00124D15">
        <w:rPr>
          <w:vertAlign w:val="superscript"/>
        </w:rPr>
        <w:t>-1</w:t>
      </w:r>
      <w:r w:rsidR="002344F9" w:rsidRPr="002344F9">
        <w:t>.</w:t>
      </w:r>
      <w:r w:rsidR="002344F9">
        <w:t xml:space="preserve"> We refer to the period December 2012-February 2013 as period 1, and March-November 2013 as period 2</w:t>
      </w:r>
      <w:r w:rsidR="006517E6">
        <w:t xml:space="preserve"> (</w:t>
      </w:r>
      <w:r w:rsidR="00951D42">
        <w:t>Table 1</w:t>
      </w:r>
      <w:r w:rsidR="006517E6">
        <w:t>)</w:t>
      </w:r>
      <w:r w:rsidR="002344F9">
        <w:t>.</w:t>
      </w:r>
    </w:p>
    <w:p w14:paraId="5F9D640A" w14:textId="27CCBE53" w:rsidR="006517E6" w:rsidRDefault="006517E6" w:rsidP="006517E6">
      <w:pPr>
        <w:pStyle w:val="Caption"/>
      </w:pPr>
      <w:bookmarkStart w:id="3" w:name="_Ref505242426"/>
      <w:r>
        <w:t>Table</w:t>
      </w:r>
      <w:bookmarkEnd w:id="3"/>
      <w:r w:rsidR="00951D42">
        <w:t xml:space="preserve"> 1</w:t>
      </w:r>
      <w:r>
        <w:t xml:space="preserve">: Fluxes of </w:t>
      </w:r>
      <w:r w:rsidR="0096146A">
        <w:t xml:space="preserve">particulate organic carbon (POC) and </w:t>
      </w:r>
      <w:r>
        <w:t xml:space="preserve">acantharian cysts recorded in a </w:t>
      </w:r>
      <w:r w:rsidRPr="0090311E">
        <w:rPr>
          <w:rFonts w:eastAsiaTheme="minorEastAsia"/>
        </w:rPr>
        <w:t xml:space="preserve">sediment trap in the </w:t>
      </w:r>
      <w:r>
        <w:rPr>
          <w:rFonts w:eastAsiaTheme="minorEastAsia"/>
        </w:rPr>
        <w:t xml:space="preserve">north-east </w:t>
      </w:r>
      <w:r w:rsidRPr="0090311E">
        <w:rPr>
          <w:rFonts w:eastAsiaTheme="minorEastAsia"/>
        </w:rPr>
        <w:t xml:space="preserve">Scotia Sea, </w:t>
      </w:r>
      <w:r>
        <w:rPr>
          <w:rFonts w:eastAsiaTheme="minorEastAsia"/>
        </w:rPr>
        <w:t>Southern Ocean, Dec 2012-Dec 2013</w:t>
      </w:r>
      <w:r w:rsidR="00BB19EE">
        <w:rPr>
          <w:rFonts w:eastAsiaTheme="minorEastAsia"/>
        </w:rPr>
        <w:t>.</w:t>
      </w:r>
    </w:p>
    <w:tbl>
      <w:tblPr>
        <w:tblStyle w:val="TableGrid"/>
        <w:tblW w:w="8359" w:type="dxa"/>
        <w:jc w:val="center"/>
        <w:tblLook w:val="04A0" w:firstRow="1" w:lastRow="0" w:firstColumn="1" w:lastColumn="0" w:noHBand="0" w:noVBand="1"/>
      </w:tblPr>
      <w:tblGrid>
        <w:gridCol w:w="1409"/>
        <w:gridCol w:w="1411"/>
        <w:gridCol w:w="1464"/>
        <w:gridCol w:w="1580"/>
        <w:gridCol w:w="1599"/>
        <w:gridCol w:w="896"/>
      </w:tblGrid>
      <w:tr w:rsidR="00DE0DC2" w14:paraId="6D4269ED" w14:textId="77777777" w:rsidTr="00981394">
        <w:trPr>
          <w:trHeight w:val="430"/>
          <w:jc w:val="center"/>
        </w:trPr>
        <w:tc>
          <w:tcPr>
            <w:tcW w:w="2820" w:type="dxa"/>
            <w:gridSpan w:val="2"/>
            <w:vAlign w:val="center"/>
          </w:tcPr>
          <w:p w14:paraId="4DC1EF4B" w14:textId="07A60185" w:rsidR="00CF2C4B" w:rsidRPr="0096146A" w:rsidRDefault="007F1AD4" w:rsidP="00DE0DC2">
            <w:pPr>
              <w:spacing w:after="0" w:line="360" w:lineRule="auto"/>
              <w:jc w:val="center"/>
              <w:rPr>
                <w:rFonts w:ascii="Cambria" w:hAnsi="Cambria"/>
                <w:b/>
              </w:rPr>
            </w:pPr>
            <w:r>
              <w:rPr>
                <w:rFonts w:ascii="Cambria" w:hAnsi="Cambria"/>
                <w:b/>
              </w:rPr>
              <w:t>Cup collection</w:t>
            </w:r>
            <w:r w:rsidRPr="0096146A">
              <w:rPr>
                <w:rFonts w:ascii="Cambria" w:hAnsi="Cambria"/>
                <w:b/>
              </w:rPr>
              <w:t xml:space="preserve"> </w:t>
            </w:r>
            <w:r w:rsidR="00DE0DC2">
              <w:rPr>
                <w:rFonts w:ascii="Cambria" w:hAnsi="Cambria"/>
                <w:b/>
              </w:rPr>
              <w:t>p</w:t>
            </w:r>
            <w:r w:rsidR="00DE0DC2" w:rsidRPr="0096146A">
              <w:rPr>
                <w:rFonts w:ascii="Cambria" w:hAnsi="Cambria"/>
                <w:b/>
              </w:rPr>
              <w:t>eriod</w:t>
            </w:r>
          </w:p>
        </w:tc>
        <w:tc>
          <w:tcPr>
            <w:tcW w:w="1464" w:type="dxa"/>
            <w:vMerge w:val="restart"/>
            <w:vAlign w:val="center"/>
          </w:tcPr>
          <w:p w14:paraId="5343F1FF" w14:textId="77777777" w:rsidR="00CF2C4B" w:rsidRPr="0096146A" w:rsidRDefault="00CF2C4B" w:rsidP="0096146A">
            <w:pPr>
              <w:spacing w:after="0" w:line="360" w:lineRule="auto"/>
              <w:jc w:val="center"/>
              <w:rPr>
                <w:rFonts w:ascii="Cambria" w:hAnsi="Cambria"/>
                <w:b/>
              </w:rPr>
            </w:pPr>
            <w:r w:rsidRPr="0096146A">
              <w:rPr>
                <w:rFonts w:ascii="Cambria" w:hAnsi="Cambria"/>
                <w:b/>
              </w:rPr>
              <w:t>Acantharian cysts</w:t>
            </w:r>
          </w:p>
          <w:p w14:paraId="2405EA3D" w14:textId="24BEEC32" w:rsidR="00CF2C4B" w:rsidRPr="0096146A" w:rsidRDefault="00CF2C4B" w:rsidP="0096146A">
            <w:pPr>
              <w:spacing w:after="0" w:line="360" w:lineRule="auto"/>
              <w:jc w:val="center"/>
              <w:rPr>
                <w:rFonts w:ascii="Cambria" w:hAnsi="Cambria"/>
                <w:b/>
              </w:rPr>
            </w:pPr>
            <w:r w:rsidRPr="0096146A">
              <w:rPr>
                <w:rFonts w:ascii="Cambria" w:hAnsi="Cambria"/>
                <w:b/>
              </w:rPr>
              <w:t>(ind. m</w:t>
            </w:r>
            <w:r w:rsidRPr="0096146A">
              <w:rPr>
                <w:rFonts w:ascii="Cambria" w:hAnsi="Cambria"/>
                <w:b/>
                <w:vertAlign w:val="superscript"/>
              </w:rPr>
              <w:t xml:space="preserve">-2 </w:t>
            </w:r>
            <w:r w:rsidRPr="0096146A">
              <w:rPr>
                <w:rFonts w:ascii="Cambria" w:hAnsi="Cambria"/>
                <w:b/>
              </w:rPr>
              <w:t>d</w:t>
            </w:r>
            <w:r w:rsidRPr="0096146A">
              <w:rPr>
                <w:rFonts w:ascii="Cambria" w:hAnsi="Cambria"/>
                <w:b/>
                <w:vertAlign w:val="superscript"/>
              </w:rPr>
              <w:t>-1</w:t>
            </w:r>
            <w:r w:rsidRPr="0096146A">
              <w:rPr>
                <w:rFonts w:ascii="Cambria" w:hAnsi="Cambria"/>
                <w:b/>
              </w:rPr>
              <w:t>)</w:t>
            </w:r>
          </w:p>
        </w:tc>
        <w:tc>
          <w:tcPr>
            <w:tcW w:w="1580" w:type="dxa"/>
            <w:vMerge w:val="restart"/>
            <w:shd w:val="clear" w:color="auto" w:fill="auto"/>
            <w:vAlign w:val="center"/>
          </w:tcPr>
          <w:p w14:paraId="29B0DBDB" w14:textId="77777777" w:rsidR="00CF2C4B" w:rsidRPr="0096146A" w:rsidRDefault="00CF2C4B" w:rsidP="0096146A">
            <w:pPr>
              <w:spacing w:after="0" w:line="360" w:lineRule="auto"/>
              <w:jc w:val="center"/>
              <w:rPr>
                <w:rFonts w:ascii="Cambria" w:hAnsi="Cambria"/>
                <w:b/>
              </w:rPr>
            </w:pPr>
            <w:r w:rsidRPr="0096146A">
              <w:rPr>
                <w:rFonts w:ascii="Cambria" w:hAnsi="Cambria"/>
                <w:b/>
              </w:rPr>
              <w:t>Acantharian cyst carbon flux</w:t>
            </w:r>
          </w:p>
          <w:p w14:paraId="625032FB" w14:textId="6F479F22" w:rsidR="00CF2C4B" w:rsidRPr="0096146A" w:rsidRDefault="00CF2C4B" w:rsidP="0096146A">
            <w:pPr>
              <w:spacing w:after="0" w:line="360" w:lineRule="auto"/>
              <w:jc w:val="center"/>
              <w:rPr>
                <w:rFonts w:ascii="Cambria" w:hAnsi="Cambria"/>
                <w:b/>
              </w:rPr>
            </w:pPr>
            <w:r w:rsidRPr="0096146A">
              <w:rPr>
                <w:rFonts w:ascii="Cambria" w:hAnsi="Cambria"/>
                <w:b/>
              </w:rPr>
              <w:t>(mg C m</w:t>
            </w:r>
            <w:r w:rsidRPr="0096146A">
              <w:rPr>
                <w:rFonts w:ascii="Cambria" w:hAnsi="Cambria"/>
                <w:b/>
                <w:vertAlign w:val="superscript"/>
              </w:rPr>
              <w:t xml:space="preserve">-2 </w:t>
            </w:r>
            <w:r w:rsidRPr="0096146A">
              <w:rPr>
                <w:rFonts w:ascii="Cambria" w:hAnsi="Cambria"/>
                <w:b/>
              </w:rPr>
              <w:t>d</w:t>
            </w:r>
            <w:r w:rsidRPr="0096146A">
              <w:rPr>
                <w:rFonts w:ascii="Cambria" w:hAnsi="Cambria"/>
                <w:b/>
                <w:vertAlign w:val="superscript"/>
              </w:rPr>
              <w:t>-1</w:t>
            </w:r>
            <w:r w:rsidRPr="0096146A">
              <w:rPr>
                <w:rFonts w:ascii="Cambria" w:hAnsi="Cambria"/>
                <w:b/>
              </w:rPr>
              <w:t>)</w:t>
            </w:r>
          </w:p>
        </w:tc>
        <w:tc>
          <w:tcPr>
            <w:tcW w:w="1599" w:type="dxa"/>
            <w:vMerge w:val="restart"/>
            <w:vAlign w:val="center"/>
          </w:tcPr>
          <w:p w14:paraId="70AF659C" w14:textId="77777777" w:rsidR="00CF2C4B" w:rsidRPr="0096146A" w:rsidRDefault="00CF2C4B" w:rsidP="0096146A">
            <w:pPr>
              <w:spacing w:after="0" w:line="360" w:lineRule="auto"/>
              <w:jc w:val="center"/>
              <w:rPr>
                <w:rFonts w:ascii="Cambria" w:hAnsi="Cambria"/>
                <w:b/>
              </w:rPr>
            </w:pPr>
            <w:r w:rsidRPr="0096146A">
              <w:rPr>
                <w:rFonts w:ascii="Cambria" w:hAnsi="Cambria"/>
                <w:b/>
              </w:rPr>
              <w:t>POC flux</w:t>
            </w:r>
          </w:p>
          <w:p w14:paraId="146F059B" w14:textId="53B20D27" w:rsidR="00CF2C4B" w:rsidRPr="0096146A" w:rsidRDefault="00CF2C4B" w:rsidP="0096146A">
            <w:pPr>
              <w:spacing w:after="0" w:line="360" w:lineRule="auto"/>
              <w:jc w:val="center"/>
              <w:rPr>
                <w:rFonts w:ascii="Cambria" w:hAnsi="Cambria"/>
                <w:b/>
              </w:rPr>
            </w:pPr>
            <w:r w:rsidRPr="0096146A">
              <w:rPr>
                <w:rFonts w:ascii="Cambria" w:hAnsi="Cambria"/>
                <w:b/>
              </w:rPr>
              <w:t>(mg C m</w:t>
            </w:r>
            <w:r w:rsidRPr="0096146A">
              <w:rPr>
                <w:rFonts w:ascii="Cambria" w:hAnsi="Cambria"/>
                <w:b/>
                <w:vertAlign w:val="superscript"/>
              </w:rPr>
              <w:t xml:space="preserve">-2 </w:t>
            </w:r>
            <w:r w:rsidRPr="0096146A">
              <w:rPr>
                <w:rFonts w:ascii="Cambria" w:hAnsi="Cambria"/>
                <w:b/>
              </w:rPr>
              <w:t>d</w:t>
            </w:r>
            <w:r w:rsidRPr="0096146A">
              <w:rPr>
                <w:rFonts w:ascii="Cambria" w:hAnsi="Cambria"/>
                <w:b/>
                <w:vertAlign w:val="superscript"/>
              </w:rPr>
              <w:t>-1</w:t>
            </w:r>
            <w:r w:rsidRPr="0096146A">
              <w:rPr>
                <w:rFonts w:ascii="Cambria" w:hAnsi="Cambria"/>
                <w:b/>
              </w:rPr>
              <w:t>)</w:t>
            </w:r>
          </w:p>
        </w:tc>
        <w:tc>
          <w:tcPr>
            <w:tcW w:w="896" w:type="dxa"/>
            <w:vMerge w:val="restart"/>
            <w:vAlign w:val="center"/>
          </w:tcPr>
          <w:p w14:paraId="11F7DF69" w14:textId="10D9F3EA" w:rsidR="00CF2C4B" w:rsidRPr="0096146A" w:rsidRDefault="00CF2C4B" w:rsidP="0096146A">
            <w:pPr>
              <w:spacing w:after="0" w:line="360" w:lineRule="auto"/>
              <w:jc w:val="center"/>
              <w:rPr>
                <w:rFonts w:ascii="Cambria" w:hAnsi="Cambria"/>
                <w:b/>
              </w:rPr>
            </w:pPr>
            <w:r w:rsidRPr="0096146A">
              <w:rPr>
                <w:rFonts w:ascii="Cambria" w:hAnsi="Cambria"/>
                <w:b/>
              </w:rPr>
              <w:t>Period</w:t>
            </w:r>
          </w:p>
        </w:tc>
      </w:tr>
      <w:tr w:rsidR="00DE0DC2" w14:paraId="33BA693F" w14:textId="77777777" w:rsidTr="00981394">
        <w:trPr>
          <w:trHeight w:val="465"/>
          <w:jc w:val="center"/>
        </w:trPr>
        <w:tc>
          <w:tcPr>
            <w:tcW w:w="1409" w:type="dxa"/>
            <w:vAlign w:val="center"/>
          </w:tcPr>
          <w:p w14:paraId="1994AC6B" w14:textId="06950577" w:rsidR="00CF2C4B" w:rsidRPr="0096146A" w:rsidRDefault="00CF2C4B" w:rsidP="00DE0DC2">
            <w:pPr>
              <w:spacing w:after="0" w:line="360" w:lineRule="auto"/>
              <w:jc w:val="center"/>
              <w:rPr>
                <w:rFonts w:ascii="Cambria" w:hAnsi="Cambria"/>
                <w:b/>
              </w:rPr>
            </w:pPr>
            <w:r w:rsidRPr="0096146A">
              <w:rPr>
                <w:rFonts w:ascii="Cambria" w:hAnsi="Cambria"/>
                <w:b/>
              </w:rPr>
              <w:t>Open</w:t>
            </w:r>
          </w:p>
        </w:tc>
        <w:tc>
          <w:tcPr>
            <w:tcW w:w="1411" w:type="dxa"/>
            <w:vAlign w:val="center"/>
          </w:tcPr>
          <w:p w14:paraId="77A73CD7" w14:textId="1DFF57E9" w:rsidR="00CF2C4B" w:rsidRPr="0096146A" w:rsidDel="006517E6" w:rsidRDefault="00CF2C4B" w:rsidP="00DE0DC2">
            <w:pPr>
              <w:spacing w:after="0" w:line="360" w:lineRule="auto"/>
              <w:jc w:val="center"/>
              <w:rPr>
                <w:rFonts w:ascii="Cambria" w:hAnsi="Cambria"/>
                <w:b/>
              </w:rPr>
            </w:pPr>
            <w:r w:rsidRPr="0096146A">
              <w:rPr>
                <w:rFonts w:ascii="Cambria" w:hAnsi="Cambria"/>
                <w:b/>
              </w:rPr>
              <w:t>Closed</w:t>
            </w:r>
          </w:p>
        </w:tc>
        <w:tc>
          <w:tcPr>
            <w:tcW w:w="1464" w:type="dxa"/>
            <w:vMerge/>
            <w:vAlign w:val="center"/>
          </w:tcPr>
          <w:p w14:paraId="65D5F83E" w14:textId="77777777" w:rsidR="00CF2C4B" w:rsidRPr="0096146A" w:rsidRDefault="00CF2C4B" w:rsidP="0096146A">
            <w:pPr>
              <w:spacing w:after="0" w:line="360" w:lineRule="auto"/>
              <w:jc w:val="center"/>
              <w:rPr>
                <w:rFonts w:ascii="Cambria" w:hAnsi="Cambria"/>
              </w:rPr>
            </w:pPr>
          </w:p>
        </w:tc>
        <w:tc>
          <w:tcPr>
            <w:tcW w:w="1580" w:type="dxa"/>
            <w:vMerge/>
            <w:vAlign w:val="center"/>
          </w:tcPr>
          <w:p w14:paraId="2E896DDF" w14:textId="77777777" w:rsidR="00CF2C4B" w:rsidRPr="00981394" w:rsidRDefault="00CF2C4B" w:rsidP="0096146A">
            <w:pPr>
              <w:spacing w:after="0" w:line="360" w:lineRule="auto"/>
              <w:jc w:val="center"/>
              <w:rPr>
                <w:rFonts w:ascii="Cambria" w:hAnsi="Cambria"/>
              </w:rPr>
            </w:pPr>
          </w:p>
        </w:tc>
        <w:tc>
          <w:tcPr>
            <w:tcW w:w="1599" w:type="dxa"/>
            <w:vMerge/>
            <w:vAlign w:val="center"/>
          </w:tcPr>
          <w:p w14:paraId="096BA4D2" w14:textId="77777777" w:rsidR="00CF2C4B" w:rsidRPr="00981394" w:rsidRDefault="00CF2C4B" w:rsidP="0096146A">
            <w:pPr>
              <w:spacing w:after="0" w:line="360" w:lineRule="auto"/>
              <w:jc w:val="center"/>
              <w:rPr>
                <w:rFonts w:ascii="Cambria" w:hAnsi="Cambria"/>
              </w:rPr>
            </w:pPr>
          </w:p>
        </w:tc>
        <w:tc>
          <w:tcPr>
            <w:tcW w:w="896" w:type="dxa"/>
            <w:vMerge/>
            <w:vAlign w:val="center"/>
          </w:tcPr>
          <w:p w14:paraId="5CA15157" w14:textId="0236BFE0" w:rsidR="00CF2C4B" w:rsidRPr="0096146A" w:rsidRDefault="00CF2C4B" w:rsidP="0096146A">
            <w:pPr>
              <w:spacing w:after="0" w:line="360" w:lineRule="auto"/>
              <w:jc w:val="center"/>
              <w:rPr>
                <w:rFonts w:ascii="Cambria" w:hAnsi="Cambria"/>
              </w:rPr>
            </w:pPr>
          </w:p>
        </w:tc>
      </w:tr>
      <w:tr w:rsidR="00DE0DC2" w14:paraId="4F612576" w14:textId="77777777" w:rsidTr="00981394">
        <w:trPr>
          <w:jc w:val="center"/>
        </w:trPr>
        <w:tc>
          <w:tcPr>
            <w:tcW w:w="1409" w:type="dxa"/>
            <w:vAlign w:val="center"/>
          </w:tcPr>
          <w:p w14:paraId="27E69E70" w14:textId="3655DA2F" w:rsidR="00CF2C4B" w:rsidRPr="0096146A" w:rsidRDefault="00CF2C4B" w:rsidP="0096146A">
            <w:pPr>
              <w:spacing w:after="0" w:line="360" w:lineRule="auto"/>
              <w:jc w:val="center"/>
              <w:rPr>
                <w:rFonts w:ascii="Cambria" w:hAnsi="Cambria"/>
              </w:rPr>
            </w:pPr>
            <w:r w:rsidRPr="0096146A">
              <w:rPr>
                <w:rFonts w:ascii="Cambria" w:hAnsi="Cambria"/>
                <w:color w:val="000000"/>
              </w:rPr>
              <w:lastRenderedPageBreak/>
              <w:t>15/12/2012</w:t>
            </w:r>
          </w:p>
        </w:tc>
        <w:tc>
          <w:tcPr>
            <w:tcW w:w="1411" w:type="dxa"/>
            <w:vAlign w:val="center"/>
          </w:tcPr>
          <w:p w14:paraId="5558F38C" w14:textId="6F5C8AAE" w:rsidR="00CF2C4B" w:rsidRPr="0096146A" w:rsidRDefault="00CF2C4B" w:rsidP="0096146A">
            <w:pPr>
              <w:spacing w:after="0" w:line="360" w:lineRule="auto"/>
              <w:jc w:val="center"/>
              <w:rPr>
                <w:rFonts w:ascii="Cambria" w:hAnsi="Cambria"/>
              </w:rPr>
            </w:pPr>
            <w:r w:rsidRPr="0096146A">
              <w:rPr>
                <w:rFonts w:ascii="Cambria" w:hAnsi="Cambria"/>
                <w:color w:val="000000"/>
              </w:rPr>
              <w:t>01/01/2013</w:t>
            </w:r>
          </w:p>
        </w:tc>
        <w:tc>
          <w:tcPr>
            <w:tcW w:w="1464" w:type="dxa"/>
            <w:vAlign w:val="center"/>
          </w:tcPr>
          <w:p w14:paraId="508418ED" w14:textId="1E94A312" w:rsidR="00CF2C4B" w:rsidRPr="0096146A" w:rsidRDefault="00CF2C4B" w:rsidP="009A0F37">
            <w:pPr>
              <w:spacing w:after="0" w:line="360" w:lineRule="auto"/>
              <w:jc w:val="center"/>
              <w:rPr>
                <w:rFonts w:ascii="Cambria" w:hAnsi="Cambria"/>
              </w:rPr>
            </w:pPr>
            <w:r w:rsidRPr="0096146A">
              <w:rPr>
                <w:rFonts w:ascii="Cambria" w:hAnsi="Cambria"/>
                <w:color w:val="000000"/>
              </w:rPr>
              <w:t>27</w:t>
            </w:r>
            <w:r w:rsidR="0098139D">
              <w:rPr>
                <w:rFonts w:ascii="Cambria" w:hAnsi="Cambria"/>
                <w:color w:val="000000"/>
              </w:rPr>
              <w:t>06</w:t>
            </w:r>
          </w:p>
        </w:tc>
        <w:tc>
          <w:tcPr>
            <w:tcW w:w="1580" w:type="dxa"/>
            <w:vAlign w:val="center"/>
          </w:tcPr>
          <w:p w14:paraId="26C7FBAB" w14:textId="4740BA89" w:rsidR="00CF2C4B" w:rsidRPr="0096146A" w:rsidRDefault="00DE0DC2" w:rsidP="009A0F37">
            <w:pPr>
              <w:spacing w:after="0" w:line="360" w:lineRule="auto"/>
              <w:jc w:val="center"/>
              <w:rPr>
                <w:rFonts w:ascii="Cambria" w:hAnsi="Cambria"/>
              </w:rPr>
            </w:pPr>
            <w:r>
              <w:rPr>
                <w:rFonts w:ascii="Cambria" w:hAnsi="Cambria"/>
                <w:color w:val="000000"/>
              </w:rPr>
              <w:t>5.</w:t>
            </w:r>
            <w:r w:rsidR="009A0F37">
              <w:rPr>
                <w:rFonts w:ascii="Cambria" w:hAnsi="Cambria"/>
                <w:color w:val="000000"/>
              </w:rPr>
              <w:t>11</w:t>
            </w:r>
          </w:p>
        </w:tc>
        <w:tc>
          <w:tcPr>
            <w:tcW w:w="1599" w:type="dxa"/>
            <w:vAlign w:val="center"/>
          </w:tcPr>
          <w:p w14:paraId="41C99F76" w14:textId="54978AB7" w:rsidR="00CF2C4B" w:rsidRPr="0096146A" w:rsidRDefault="00CF2C4B" w:rsidP="0096146A">
            <w:pPr>
              <w:spacing w:after="0" w:line="360" w:lineRule="auto"/>
              <w:jc w:val="center"/>
              <w:rPr>
                <w:rFonts w:ascii="Cambria" w:hAnsi="Cambria"/>
              </w:rPr>
            </w:pPr>
            <w:r w:rsidRPr="0096146A">
              <w:rPr>
                <w:rFonts w:ascii="Cambria" w:hAnsi="Cambria"/>
                <w:color w:val="000000"/>
              </w:rPr>
              <w:t>29.58</w:t>
            </w:r>
          </w:p>
        </w:tc>
        <w:tc>
          <w:tcPr>
            <w:tcW w:w="896" w:type="dxa"/>
            <w:vAlign w:val="center"/>
          </w:tcPr>
          <w:p w14:paraId="76BD187B" w14:textId="019EBD1C" w:rsidR="00CF2C4B" w:rsidRPr="0096146A" w:rsidRDefault="00CF2C4B" w:rsidP="0096146A">
            <w:pPr>
              <w:spacing w:after="0" w:line="360" w:lineRule="auto"/>
              <w:jc w:val="center"/>
              <w:rPr>
                <w:rFonts w:ascii="Cambria" w:hAnsi="Cambria"/>
              </w:rPr>
            </w:pPr>
            <w:r w:rsidRPr="0096146A">
              <w:rPr>
                <w:rFonts w:ascii="Cambria" w:hAnsi="Cambria"/>
              </w:rPr>
              <w:t>1</w:t>
            </w:r>
          </w:p>
        </w:tc>
      </w:tr>
      <w:tr w:rsidR="00DE0DC2" w14:paraId="648EB1EF" w14:textId="77777777" w:rsidTr="00981394">
        <w:trPr>
          <w:jc w:val="center"/>
        </w:trPr>
        <w:tc>
          <w:tcPr>
            <w:tcW w:w="1409" w:type="dxa"/>
            <w:vAlign w:val="center"/>
          </w:tcPr>
          <w:p w14:paraId="5CE70698" w14:textId="16A006CE" w:rsidR="00CF2C4B" w:rsidRPr="0096146A" w:rsidRDefault="00CF2C4B" w:rsidP="0096146A">
            <w:pPr>
              <w:spacing w:after="0" w:line="360" w:lineRule="auto"/>
              <w:jc w:val="center"/>
              <w:rPr>
                <w:rFonts w:ascii="Cambria" w:hAnsi="Cambria"/>
              </w:rPr>
            </w:pPr>
            <w:r w:rsidRPr="0096146A">
              <w:rPr>
                <w:rFonts w:ascii="Cambria" w:hAnsi="Cambria"/>
                <w:color w:val="000000"/>
              </w:rPr>
              <w:t>01/01/2013</w:t>
            </w:r>
          </w:p>
        </w:tc>
        <w:tc>
          <w:tcPr>
            <w:tcW w:w="1411" w:type="dxa"/>
            <w:vAlign w:val="center"/>
          </w:tcPr>
          <w:p w14:paraId="25F4D02F" w14:textId="4C412FB8" w:rsidR="00CF2C4B" w:rsidRPr="0096146A" w:rsidRDefault="00CF2C4B" w:rsidP="0096146A">
            <w:pPr>
              <w:spacing w:after="0" w:line="360" w:lineRule="auto"/>
              <w:jc w:val="center"/>
              <w:rPr>
                <w:rFonts w:ascii="Cambria" w:hAnsi="Cambria"/>
              </w:rPr>
            </w:pPr>
            <w:r w:rsidRPr="0096146A">
              <w:rPr>
                <w:rFonts w:ascii="Cambria" w:hAnsi="Cambria"/>
                <w:color w:val="000000"/>
              </w:rPr>
              <w:t>15/01/2013</w:t>
            </w:r>
          </w:p>
        </w:tc>
        <w:tc>
          <w:tcPr>
            <w:tcW w:w="1464" w:type="dxa"/>
            <w:vAlign w:val="center"/>
          </w:tcPr>
          <w:p w14:paraId="3BE3622F" w14:textId="1941012C" w:rsidR="00CF2C4B" w:rsidRPr="0096146A" w:rsidRDefault="009A0F37" w:rsidP="009A0F37">
            <w:pPr>
              <w:spacing w:after="0" w:line="360" w:lineRule="auto"/>
              <w:jc w:val="center"/>
              <w:rPr>
                <w:rFonts w:ascii="Cambria" w:hAnsi="Cambria"/>
              </w:rPr>
            </w:pPr>
            <w:r w:rsidRPr="0096146A">
              <w:rPr>
                <w:rFonts w:ascii="Cambria" w:hAnsi="Cambria"/>
                <w:color w:val="000000"/>
              </w:rPr>
              <w:t>110</w:t>
            </w:r>
            <w:r>
              <w:rPr>
                <w:rFonts w:ascii="Cambria" w:hAnsi="Cambria"/>
                <w:color w:val="000000"/>
              </w:rPr>
              <w:t>7</w:t>
            </w:r>
          </w:p>
        </w:tc>
        <w:tc>
          <w:tcPr>
            <w:tcW w:w="1580" w:type="dxa"/>
            <w:vAlign w:val="center"/>
          </w:tcPr>
          <w:p w14:paraId="08978C83" w14:textId="6DD6C1EF" w:rsidR="00CF2C4B" w:rsidRPr="0096146A" w:rsidRDefault="00DE0DC2" w:rsidP="0096146A">
            <w:pPr>
              <w:spacing w:after="0" w:line="360" w:lineRule="auto"/>
              <w:jc w:val="center"/>
              <w:rPr>
                <w:rFonts w:ascii="Cambria" w:hAnsi="Cambria"/>
              </w:rPr>
            </w:pPr>
            <w:r>
              <w:rPr>
                <w:rFonts w:ascii="Cambria" w:hAnsi="Cambria"/>
                <w:color w:val="000000"/>
              </w:rPr>
              <w:t>2.2</w:t>
            </w:r>
            <w:r w:rsidR="009A0F37">
              <w:rPr>
                <w:rFonts w:ascii="Cambria" w:hAnsi="Cambria"/>
                <w:color w:val="000000"/>
              </w:rPr>
              <w:t>2</w:t>
            </w:r>
          </w:p>
        </w:tc>
        <w:tc>
          <w:tcPr>
            <w:tcW w:w="1599" w:type="dxa"/>
            <w:vAlign w:val="center"/>
          </w:tcPr>
          <w:p w14:paraId="1E3735F1" w14:textId="54B171AF" w:rsidR="00CF2C4B" w:rsidRPr="0096146A" w:rsidRDefault="00CF2C4B" w:rsidP="0096146A">
            <w:pPr>
              <w:spacing w:after="0" w:line="360" w:lineRule="auto"/>
              <w:jc w:val="center"/>
              <w:rPr>
                <w:rFonts w:ascii="Cambria" w:hAnsi="Cambria"/>
              </w:rPr>
            </w:pPr>
            <w:r w:rsidRPr="0096146A">
              <w:rPr>
                <w:rFonts w:ascii="Cambria" w:hAnsi="Cambria"/>
                <w:color w:val="000000"/>
              </w:rPr>
              <w:t>10.07</w:t>
            </w:r>
          </w:p>
        </w:tc>
        <w:tc>
          <w:tcPr>
            <w:tcW w:w="896" w:type="dxa"/>
            <w:vAlign w:val="center"/>
          </w:tcPr>
          <w:p w14:paraId="1D3A6703" w14:textId="6EF73EF5" w:rsidR="00CF2C4B" w:rsidRPr="0096146A" w:rsidRDefault="00CF2C4B" w:rsidP="0096146A">
            <w:pPr>
              <w:spacing w:after="0" w:line="360" w:lineRule="auto"/>
              <w:jc w:val="center"/>
              <w:rPr>
                <w:rFonts w:ascii="Cambria" w:hAnsi="Cambria"/>
              </w:rPr>
            </w:pPr>
            <w:r w:rsidRPr="0096146A">
              <w:rPr>
                <w:rFonts w:ascii="Cambria" w:hAnsi="Cambria"/>
              </w:rPr>
              <w:t>1</w:t>
            </w:r>
          </w:p>
        </w:tc>
      </w:tr>
      <w:tr w:rsidR="00DE0DC2" w14:paraId="165E1BD4" w14:textId="77777777" w:rsidTr="00981394">
        <w:trPr>
          <w:jc w:val="center"/>
        </w:trPr>
        <w:tc>
          <w:tcPr>
            <w:tcW w:w="1409" w:type="dxa"/>
            <w:vAlign w:val="center"/>
          </w:tcPr>
          <w:p w14:paraId="514D017A" w14:textId="1431DC7D" w:rsidR="00CF2C4B" w:rsidRPr="0096146A" w:rsidRDefault="00CF2C4B" w:rsidP="0096146A">
            <w:pPr>
              <w:spacing w:after="0" w:line="360" w:lineRule="auto"/>
              <w:jc w:val="center"/>
              <w:rPr>
                <w:rFonts w:ascii="Cambria" w:hAnsi="Cambria"/>
              </w:rPr>
            </w:pPr>
            <w:r w:rsidRPr="0096146A">
              <w:rPr>
                <w:rFonts w:ascii="Cambria" w:hAnsi="Cambria"/>
                <w:color w:val="000000"/>
              </w:rPr>
              <w:t>15/01/2013</w:t>
            </w:r>
          </w:p>
        </w:tc>
        <w:tc>
          <w:tcPr>
            <w:tcW w:w="1411" w:type="dxa"/>
            <w:vAlign w:val="center"/>
          </w:tcPr>
          <w:p w14:paraId="123E957E" w14:textId="7BD07F14" w:rsidR="00CF2C4B" w:rsidRPr="0096146A" w:rsidRDefault="00CF2C4B" w:rsidP="0096146A">
            <w:pPr>
              <w:spacing w:after="0" w:line="360" w:lineRule="auto"/>
              <w:jc w:val="center"/>
              <w:rPr>
                <w:rFonts w:ascii="Cambria" w:hAnsi="Cambria"/>
              </w:rPr>
            </w:pPr>
            <w:r w:rsidRPr="0096146A">
              <w:rPr>
                <w:rFonts w:ascii="Cambria" w:hAnsi="Cambria"/>
                <w:color w:val="000000"/>
              </w:rPr>
              <w:t>01/02/2013</w:t>
            </w:r>
          </w:p>
        </w:tc>
        <w:tc>
          <w:tcPr>
            <w:tcW w:w="1464" w:type="dxa"/>
            <w:vAlign w:val="center"/>
          </w:tcPr>
          <w:p w14:paraId="05F9B308" w14:textId="62DADC91" w:rsidR="00CF2C4B" w:rsidRPr="0096146A" w:rsidRDefault="00CF2C4B" w:rsidP="0096146A">
            <w:pPr>
              <w:spacing w:after="0" w:line="360" w:lineRule="auto"/>
              <w:jc w:val="center"/>
              <w:rPr>
                <w:rFonts w:ascii="Cambria" w:hAnsi="Cambria"/>
              </w:rPr>
            </w:pPr>
            <w:r w:rsidRPr="0096146A">
              <w:rPr>
                <w:rFonts w:ascii="Cambria" w:hAnsi="Cambria"/>
                <w:color w:val="000000"/>
              </w:rPr>
              <w:t>42</w:t>
            </w:r>
            <w:r w:rsidR="009A0F37">
              <w:rPr>
                <w:rFonts w:ascii="Cambria" w:hAnsi="Cambria"/>
                <w:color w:val="000000"/>
              </w:rPr>
              <w:t>1</w:t>
            </w:r>
          </w:p>
        </w:tc>
        <w:tc>
          <w:tcPr>
            <w:tcW w:w="1580" w:type="dxa"/>
            <w:vAlign w:val="center"/>
          </w:tcPr>
          <w:p w14:paraId="56BCB6BF" w14:textId="014C9280" w:rsidR="00CF2C4B" w:rsidRPr="0096146A" w:rsidRDefault="00DE0DC2" w:rsidP="0096146A">
            <w:pPr>
              <w:spacing w:after="0" w:line="360" w:lineRule="auto"/>
              <w:jc w:val="center"/>
              <w:rPr>
                <w:rFonts w:ascii="Cambria" w:hAnsi="Cambria"/>
              </w:rPr>
            </w:pPr>
            <w:r>
              <w:rPr>
                <w:rFonts w:ascii="Cambria" w:hAnsi="Cambria"/>
                <w:color w:val="000000"/>
              </w:rPr>
              <w:t>0.7</w:t>
            </w:r>
            <w:r w:rsidR="009A0F37">
              <w:rPr>
                <w:rFonts w:ascii="Cambria" w:hAnsi="Cambria"/>
                <w:color w:val="000000"/>
              </w:rPr>
              <w:t>7</w:t>
            </w:r>
          </w:p>
        </w:tc>
        <w:tc>
          <w:tcPr>
            <w:tcW w:w="1599" w:type="dxa"/>
            <w:vAlign w:val="center"/>
          </w:tcPr>
          <w:p w14:paraId="42465CD6" w14:textId="3663334C" w:rsidR="00CF2C4B" w:rsidRPr="0096146A" w:rsidRDefault="00CF2C4B" w:rsidP="0096146A">
            <w:pPr>
              <w:spacing w:after="0" w:line="360" w:lineRule="auto"/>
              <w:jc w:val="center"/>
              <w:rPr>
                <w:rFonts w:ascii="Cambria" w:hAnsi="Cambria"/>
              </w:rPr>
            </w:pPr>
            <w:r w:rsidRPr="0096146A">
              <w:rPr>
                <w:rFonts w:ascii="Cambria" w:hAnsi="Cambria"/>
                <w:color w:val="000000"/>
              </w:rPr>
              <w:t>3.23</w:t>
            </w:r>
          </w:p>
        </w:tc>
        <w:tc>
          <w:tcPr>
            <w:tcW w:w="896" w:type="dxa"/>
            <w:vAlign w:val="center"/>
          </w:tcPr>
          <w:p w14:paraId="5755EC7B" w14:textId="471D189F" w:rsidR="00CF2C4B" w:rsidRPr="0096146A" w:rsidRDefault="00CF2C4B" w:rsidP="0096146A">
            <w:pPr>
              <w:spacing w:after="0" w:line="360" w:lineRule="auto"/>
              <w:jc w:val="center"/>
              <w:rPr>
                <w:rFonts w:ascii="Cambria" w:hAnsi="Cambria"/>
              </w:rPr>
            </w:pPr>
            <w:r w:rsidRPr="0096146A">
              <w:rPr>
                <w:rFonts w:ascii="Cambria" w:hAnsi="Cambria"/>
              </w:rPr>
              <w:t>1</w:t>
            </w:r>
          </w:p>
        </w:tc>
      </w:tr>
      <w:tr w:rsidR="00DE0DC2" w14:paraId="2B07D4F7" w14:textId="77777777" w:rsidTr="00981394">
        <w:trPr>
          <w:jc w:val="center"/>
        </w:trPr>
        <w:tc>
          <w:tcPr>
            <w:tcW w:w="1409" w:type="dxa"/>
            <w:vAlign w:val="center"/>
          </w:tcPr>
          <w:p w14:paraId="335E5222" w14:textId="57E45E1B" w:rsidR="00CF2C4B" w:rsidRPr="0096146A" w:rsidRDefault="00CF2C4B" w:rsidP="0096146A">
            <w:pPr>
              <w:spacing w:after="0" w:line="360" w:lineRule="auto"/>
              <w:jc w:val="center"/>
              <w:rPr>
                <w:rFonts w:ascii="Cambria" w:hAnsi="Cambria"/>
              </w:rPr>
            </w:pPr>
            <w:r w:rsidRPr="0096146A">
              <w:rPr>
                <w:rFonts w:ascii="Cambria" w:hAnsi="Cambria"/>
                <w:color w:val="000000"/>
              </w:rPr>
              <w:t>01/02/2013</w:t>
            </w:r>
          </w:p>
        </w:tc>
        <w:tc>
          <w:tcPr>
            <w:tcW w:w="1411" w:type="dxa"/>
            <w:vAlign w:val="center"/>
          </w:tcPr>
          <w:p w14:paraId="4481AC15" w14:textId="08A82F49" w:rsidR="00CF2C4B" w:rsidRPr="0096146A" w:rsidRDefault="00CF2C4B" w:rsidP="0096146A">
            <w:pPr>
              <w:spacing w:after="0" w:line="360" w:lineRule="auto"/>
              <w:jc w:val="center"/>
              <w:rPr>
                <w:rFonts w:ascii="Cambria" w:hAnsi="Cambria"/>
              </w:rPr>
            </w:pPr>
            <w:r w:rsidRPr="0096146A">
              <w:rPr>
                <w:rFonts w:ascii="Cambria" w:hAnsi="Cambria"/>
                <w:color w:val="000000"/>
              </w:rPr>
              <w:t>15/02/2013</w:t>
            </w:r>
          </w:p>
        </w:tc>
        <w:tc>
          <w:tcPr>
            <w:tcW w:w="1464" w:type="dxa"/>
            <w:vAlign w:val="center"/>
          </w:tcPr>
          <w:p w14:paraId="3DB37147" w14:textId="719CFA96" w:rsidR="00CF2C4B" w:rsidRPr="0096146A" w:rsidRDefault="00CF2C4B" w:rsidP="0096146A">
            <w:pPr>
              <w:spacing w:after="0" w:line="360" w:lineRule="auto"/>
              <w:jc w:val="center"/>
              <w:rPr>
                <w:rFonts w:ascii="Cambria" w:hAnsi="Cambria"/>
              </w:rPr>
            </w:pPr>
            <w:r w:rsidRPr="0096146A">
              <w:rPr>
                <w:rFonts w:ascii="Cambria" w:hAnsi="Cambria"/>
                <w:color w:val="000000"/>
              </w:rPr>
              <w:t>96</w:t>
            </w:r>
            <w:r w:rsidR="009A0F37">
              <w:rPr>
                <w:rFonts w:ascii="Cambria" w:hAnsi="Cambria"/>
                <w:color w:val="000000"/>
              </w:rPr>
              <w:t>5</w:t>
            </w:r>
          </w:p>
        </w:tc>
        <w:tc>
          <w:tcPr>
            <w:tcW w:w="1580" w:type="dxa"/>
            <w:vAlign w:val="center"/>
          </w:tcPr>
          <w:p w14:paraId="56E7A647" w14:textId="28BA2AF1" w:rsidR="00CF2C4B" w:rsidRPr="0096146A" w:rsidRDefault="00DE0DC2" w:rsidP="0096146A">
            <w:pPr>
              <w:spacing w:after="0" w:line="360" w:lineRule="auto"/>
              <w:jc w:val="center"/>
              <w:rPr>
                <w:rFonts w:ascii="Cambria" w:hAnsi="Cambria"/>
              </w:rPr>
            </w:pPr>
            <w:r>
              <w:rPr>
                <w:rFonts w:ascii="Cambria" w:hAnsi="Cambria"/>
                <w:color w:val="000000"/>
              </w:rPr>
              <w:t>1.91</w:t>
            </w:r>
          </w:p>
        </w:tc>
        <w:tc>
          <w:tcPr>
            <w:tcW w:w="1599" w:type="dxa"/>
            <w:vAlign w:val="center"/>
          </w:tcPr>
          <w:p w14:paraId="41D49F95" w14:textId="16B3B398" w:rsidR="00CF2C4B" w:rsidRPr="0096146A" w:rsidRDefault="00CF2C4B" w:rsidP="0096146A">
            <w:pPr>
              <w:spacing w:after="0" w:line="360" w:lineRule="auto"/>
              <w:jc w:val="center"/>
              <w:rPr>
                <w:rFonts w:ascii="Cambria" w:hAnsi="Cambria"/>
              </w:rPr>
            </w:pPr>
            <w:r w:rsidRPr="0096146A">
              <w:rPr>
                <w:rFonts w:ascii="Cambria" w:hAnsi="Cambria"/>
                <w:color w:val="000000"/>
              </w:rPr>
              <w:t>8.28</w:t>
            </w:r>
          </w:p>
        </w:tc>
        <w:tc>
          <w:tcPr>
            <w:tcW w:w="896" w:type="dxa"/>
            <w:vAlign w:val="center"/>
          </w:tcPr>
          <w:p w14:paraId="280D8DDB" w14:textId="206445C0" w:rsidR="00CF2C4B" w:rsidRPr="0096146A" w:rsidRDefault="00CF2C4B" w:rsidP="0096146A">
            <w:pPr>
              <w:spacing w:after="0" w:line="360" w:lineRule="auto"/>
              <w:jc w:val="center"/>
              <w:rPr>
                <w:rFonts w:ascii="Cambria" w:hAnsi="Cambria"/>
              </w:rPr>
            </w:pPr>
            <w:r w:rsidRPr="0096146A">
              <w:rPr>
                <w:rFonts w:ascii="Cambria" w:hAnsi="Cambria"/>
              </w:rPr>
              <w:t>1</w:t>
            </w:r>
          </w:p>
        </w:tc>
      </w:tr>
      <w:tr w:rsidR="00DE0DC2" w14:paraId="606F78B5" w14:textId="77777777" w:rsidTr="00981394">
        <w:trPr>
          <w:jc w:val="center"/>
        </w:trPr>
        <w:tc>
          <w:tcPr>
            <w:tcW w:w="1409" w:type="dxa"/>
            <w:vAlign w:val="center"/>
          </w:tcPr>
          <w:p w14:paraId="6681C95E" w14:textId="6EFB2293" w:rsidR="00CF2C4B" w:rsidRPr="0096146A" w:rsidRDefault="00CF2C4B" w:rsidP="0096146A">
            <w:pPr>
              <w:spacing w:after="0" w:line="360" w:lineRule="auto"/>
              <w:jc w:val="center"/>
              <w:rPr>
                <w:rFonts w:ascii="Cambria" w:hAnsi="Cambria"/>
              </w:rPr>
            </w:pPr>
            <w:r w:rsidRPr="0096146A">
              <w:rPr>
                <w:rFonts w:ascii="Cambria" w:hAnsi="Cambria"/>
                <w:color w:val="000000"/>
              </w:rPr>
              <w:t>15/02/2013</w:t>
            </w:r>
          </w:p>
        </w:tc>
        <w:tc>
          <w:tcPr>
            <w:tcW w:w="1411" w:type="dxa"/>
            <w:vAlign w:val="center"/>
          </w:tcPr>
          <w:p w14:paraId="1C16F97C" w14:textId="372AB14D" w:rsidR="00CF2C4B" w:rsidRPr="0096146A" w:rsidRDefault="00CF2C4B" w:rsidP="0096146A">
            <w:pPr>
              <w:spacing w:after="0" w:line="360" w:lineRule="auto"/>
              <w:jc w:val="center"/>
              <w:rPr>
                <w:rFonts w:ascii="Cambria" w:hAnsi="Cambria"/>
              </w:rPr>
            </w:pPr>
            <w:r w:rsidRPr="0096146A">
              <w:rPr>
                <w:rFonts w:ascii="Cambria" w:hAnsi="Cambria"/>
                <w:color w:val="000000"/>
              </w:rPr>
              <w:t>01/03/2013</w:t>
            </w:r>
          </w:p>
        </w:tc>
        <w:tc>
          <w:tcPr>
            <w:tcW w:w="1464" w:type="dxa"/>
            <w:vAlign w:val="center"/>
          </w:tcPr>
          <w:p w14:paraId="386DD7D3" w14:textId="2E462E47" w:rsidR="00CF2C4B" w:rsidRPr="0096146A" w:rsidRDefault="00CF2C4B" w:rsidP="009A0F37">
            <w:pPr>
              <w:spacing w:after="0" w:line="360" w:lineRule="auto"/>
              <w:jc w:val="center"/>
              <w:rPr>
                <w:rFonts w:ascii="Cambria" w:hAnsi="Cambria"/>
              </w:rPr>
            </w:pPr>
            <w:r w:rsidRPr="0096146A">
              <w:rPr>
                <w:rFonts w:ascii="Cambria" w:hAnsi="Cambria"/>
                <w:color w:val="000000"/>
              </w:rPr>
              <w:t>102</w:t>
            </w:r>
            <w:r w:rsidR="009A0F37">
              <w:rPr>
                <w:rFonts w:ascii="Cambria" w:hAnsi="Cambria"/>
                <w:color w:val="000000"/>
              </w:rPr>
              <w:t>9</w:t>
            </w:r>
          </w:p>
        </w:tc>
        <w:tc>
          <w:tcPr>
            <w:tcW w:w="1580" w:type="dxa"/>
            <w:vAlign w:val="center"/>
          </w:tcPr>
          <w:p w14:paraId="0B1DD25B" w14:textId="556A1A75" w:rsidR="00CF2C4B" w:rsidRPr="0096146A" w:rsidRDefault="00DE0DC2" w:rsidP="0096146A">
            <w:pPr>
              <w:spacing w:after="0" w:line="360" w:lineRule="auto"/>
              <w:jc w:val="center"/>
              <w:rPr>
                <w:rFonts w:ascii="Cambria" w:hAnsi="Cambria"/>
              </w:rPr>
            </w:pPr>
            <w:r>
              <w:rPr>
                <w:rFonts w:ascii="Cambria" w:hAnsi="Cambria"/>
                <w:color w:val="000000"/>
              </w:rPr>
              <w:t>2.7</w:t>
            </w:r>
            <w:r w:rsidR="009A0F37">
              <w:rPr>
                <w:rFonts w:ascii="Cambria" w:hAnsi="Cambria"/>
                <w:color w:val="000000"/>
              </w:rPr>
              <w:t>4</w:t>
            </w:r>
          </w:p>
        </w:tc>
        <w:tc>
          <w:tcPr>
            <w:tcW w:w="1599" w:type="dxa"/>
            <w:vAlign w:val="center"/>
          </w:tcPr>
          <w:p w14:paraId="776BC940" w14:textId="06FD7E8D" w:rsidR="00CF2C4B" w:rsidRPr="0096146A" w:rsidRDefault="00CF2C4B" w:rsidP="0096146A">
            <w:pPr>
              <w:spacing w:after="0" w:line="360" w:lineRule="auto"/>
              <w:jc w:val="center"/>
              <w:rPr>
                <w:rFonts w:ascii="Cambria" w:hAnsi="Cambria"/>
              </w:rPr>
            </w:pPr>
            <w:r w:rsidRPr="0096146A">
              <w:rPr>
                <w:rFonts w:ascii="Cambria" w:hAnsi="Cambria"/>
                <w:color w:val="000000"/>
              </w:rPr>
              <w:t>10.65</w:t>
            </w:r>
          </w:p>
        </w:tc>
        <w:tc>
          <w:tcPr>
            <w:tcW w:w="896" w:type="dxa"/>
            <w:vAlign w:val="center"/>
          </w:tcPr>
          <w:p w14:paraId="68FD81F5" w14:textId="14FADFE3" w:rsidR="00CF2C4B" w:rsidRPr="0096146A" w:rsidRDefault="00CF2C4B" w:rsidP="0096146A">
            <w:pPr>
              <w:spacing w:after="0" w:line="360" w:lineRule="auto"/>
              <w:jc w:val="center"/>
              <w:rPr>
                <w:rFonts w:ascii="Cambria" w:hAnsi="Cambria"/>
              </w:rPr>
            </w:pPr>
            <w:r w:rsidRPr="0096146A">
              <w:rPr>
                <w:rFonts w:ascii="Cambria" w:hAnsi="Cambria"/>
              </w:rPr>
              <w:t>1</w:t>
            </w:r>
          </w:p>
        </w:tc>
      </w:tr>
      <w:tr w:rsidR="00DE0DC2" w14:paraId="7BEE0B46" w14:textId="77777777" w:rsidTr="00981394">
        <w:trPr>
          <w:jc w:val="center"/>
        </w:trPr>
        <w:tc>
          <w:tcPr>
            <w:tcW w:w="1409" w:type="dxa"/>
            <w:vAlign w:val="center"/>
          </w:tcPr>
          <w:p w14:paraId="2F769664" w14:textId="336A4967" w:rsidR="00CF2C4B" w:rsidRPr="0096146A" w:rsidRDefault="00CF2C4B" w:rsidP="0096146A">
            <w:pPr>
              <w:spacing w:after="0" w:line="360" w:lineRule="auto"/>
              <w:jc w:val="center"/>
              <w:rPr>
                <w:rFonts w:ascii="Cambria" w:hAnsi="Cambria"/>
              </w:rPr>
            </w:pPr>
            <w:r w:rsidRPr="0096146A">
              <w:rPr>
                <w:rFonts w:ascii="Cambria" w:hAnsi="Cambria"/>
                <w:color w:val="000000"/>
              </w:rPr>
              <w:t>01/03/2013</w:t>
            </w:r>
          </w:p>
        </w:tc>
        <w:tc>
          <w:tcPr>
            <w:tcW w:w="1411" w:type="dxa"/>
            <w:vAlign w:val="center"/>
          </w:tcPr>
          <w:p w14:paraId="73743D9C" w14:textId="7BE0B022" w:rsidR="00CF2C4B" w:rsidRPr="0096146A" w:rsidRDefault="00CF2C4B" w:rsidP="0096146A">
            <w:pPr>
              <w:spacing w:after="0" w:line="360" w:lineRule="auto"/>
              <w:jc w:val="center"/>
              <w:rPr>
                <w:rFonts w:ascii="Cambria" w:hAnsi="Cambria"/>
              </w:rPr>
            </w:pPr>
            <w:r w:rsidRPr="0096146A">
              <w:rPr>
                <w:rFonts w:ascii="Cambria" w:hAnsi="Cambria"/>
                <w:color w:val="000000"/>
              </w:rPr>
              <w:t>01/04/2013</w:t>
            </w:r>
          </w:p>
        </w:tc>
        <w:tc>
          <w:tcPr>
            <w:tcW w:w="1464" w:type="dxa"/>
            <w:vAlign w:val="center"/>
          </w:tcPr>
          <w:p w14:paraId="4D6C8E38" w14:textId="6285CAFA" w:rsidR="00CF2C4B" w:rsidRPr="0096146A" w:rsidRDefault="00CF2C4B" w:rsidP="0096146A">
            <w:pPr>
              <w:spacing w:after="0" w:line="360" w:lineRule="auto"/>
              <w:jc w:val="center"/>
              <w:rPr>
                <w:rFonts w:ascii="Cambria" w:hAnsi="Cambria"/>
              </w:rPr>
            </w:pPr>
            <w:r w:rsidRPr="0096146A">
              <w:rPr>
                <w:rFonts w:ascii="Cambria" w:hAnsi="Cambria"/>
                <w:color w:val="000000"/>
              </w:rPr>
              <w:t>3</w:t>
            </w:r>
            <w:r w:rsidR="009A0F37">
              <w:rPr>
                <w:rFonts w:ascii="Cambria" w:hAnsi="Cambria"/>
                <w:color w:val="000000"/>
              </w:rPr>
              <w:t>6</w:t>
            </w:r>
          </w:p>
        </w:tc>
        <w:tc>
          <w:tcPr>
            <w:tcW w:w="1580" w:type="dxa"/>
            <w:vAlign w:val="center"/>
          </w:tcPr>
          <w:p w14:paraId="47244DE0" w14:textId="16559794" w:rsidR="00CF2C4B" w:rsidRPr="0096146A" w:rsidRDefault="00DE0DC2" w:rsidP="0096146A">
            <w:pPr>
              <w:spacing w:after="0" w:line="360" w:lineRule="auto"/>
              <w:jc w:val="center"/>
              <w:rPr>
                <w:rFonts w:ascii="Cambria" w:hAnsi="Cambria"/>
              </w:rPr>
            </w:pPr>
            <w:r>
              <w:rPr>
                <w:rFonts w:ascii="Cambria" w:hAnsi="Cambria"/>
                <w:color w:val="000000"/>
              </w:rPr>
              <w:t>0.01</w:t>
            </w:r>
          </w:p>
        </w:tc>
        <w:tc>
          <w:tcPr>
            <w:tcW w:w="1599" w:type="dxa"/>
            <w:vAlign w:val="center"/>
          </w:tcPr>
          <w:p w14:paraId="17C6424A" w14:textId="45ECA0C4" w:rsidR="00CF2C4B" w:rsidRPr="0096146A" w:rsidRDefault="00CF2C4B" w:rsidP="0096146A">
            <w:pPr>
              <w:spacing w:after="0" w:line="360" w:lineRule="auto"/>
              <w:jc w:val="center"/>
              <w:rPr>
                <w:rFonts w:ascii="Cambria" w:hAnsi="Cambria"/>
              </w:rPr>
            </w:pPr>
            <w:r w:rsidRPr="0096146A">
              <w:rPr>
                <w:rFonts w:ascii="Cambria" w:hAnsi="Cambria"/>
                <w:color w:val="000000"/>
              </w:rPr>
              <w:t>1.37</w:t>
            </w:r>
          </w:p>
        </w:tc>
        <w:tc>
          <w:tcPr>
            <w:tcW w:w="896" w:type="dxa"/>
            <w:vAlign w:val="center"/>
          </w:tcPr>
          <w:p w14:paraId="5898E09F" w14:textId="7D148885"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70984491" w14:textId="77777777" w:rsidTr="00981394">
        <w:trPr>
          <w:jc w:val="center"/>
        </w:trPr>
        <w:tc>
          <w:tcPr>
            <w:tcW w:w="1409" w:type="dxa"/>
            <w:vAlign w:val="center"/>
          </w:tcPr>
          <w:p w14:paraId="763382A0" w14:textId="0F8ED2C2" w:rsidR="00CF2C4B" w:rsidRPr="0096146A" w:rsidRDefault="00CF2C4B" w:rsidP="0096146A">
            <w:pPr>
              <w:spacing w:after="0" w:line="360" w:lineRule="auto"/>
              <w:jc w:val="center"/>
              <w:rPr>
                <w:rFonts w:ascii="Cambria" w:hAnsi="Cambria"/>
              </w:rPr>
            </w:pPr>
            <w:r w:rsidRPr="0096146A">
              <w:rPr>
                <w:rFonts w:ascii="Cambria" w:hAnsi="Cambria"/>
                <w:color w:val="000000"/>
              </w:rPr>
              <w:t>01/04/2013</w:t>
            </w:r>
          </w:p>
        </w:tc>
        <w:tc>
          <w:tcPr>
            <w:tcW w:w="1411" w:type="dxa"/>
            <w:vAlign w:val="center"/>
          </w:tcPr>
          <w:p w14:paraId="31271A41" w14:textId="75D20E65" w:rsidR="00CF2C4B" w:rsidRPr="0096146A" w:rsidRDefault="00CF2C4B" w:rsidP="0096146A">
            <w:pPr>
              <w:spacing w:after="0" w:line="360" w:lineRule="auto"/>
              <w:jc w:val="center"/>
              <w:rPr>
                <w:rFonts w:ascii="Cambria" w:hAnsi="Cambria"/>
              </w:rPr>
            </w:pPr>
            <w:r w:rsidRPr="0096146A">
              <w:rPr>
                <w:rFonts w:ascii="Cambria" w:hAnsi="Cambria"/>
                <w:color w:val="000000"/>
              </w:rPr>
              <w:t>01/06/2013</w:t>
            </w:r>
          </w:p>
        </w:tc>
        <w:tc>
          <w:tcPr>
            <w:tcW w:w="1464" w:type="dxa"/>
            <w:vAlign w:val="center"/>
          </w:tcPr>
          <w:p w14:paraId="4426F945" w14:textId="41C8B5CE" w:rsidR="00CF2C4B" w:rsidRPr="0096146A" w:rsidRDefault="00CF2C4B" w:rsidP="0096146A">
            <w:pPr>
              <w:spacing w:after="0" w:line="360" w:lineRule="auto"/>
              <w:jc w:val="center"/>
              <w:rPr>
                <w:rFonts w:ascii="Cambria" w:hAnsi="Cambria"/>
              </w:rPr>
            </w:pPr>
            <w:r w:rsidRPr="0096146A">
              <w:rPr>
                <w:rFonts w:ascii="Cambria" w:hAnsi="Cambria"/>
                <w:color w:val="000000"/>
              </w:rPr>
              <w:t>4</w:t>
            </w:r>
            <w:r w:rsidR="009A0F37">
              <w:rPr>
                <w:rFonts w:ascii="Cambria" w:hAnsi="Cambria"/>
                <w:color w:val="000000"/>
              </w:rPr>
              <w:t>2</w:t>
            </w:r>
          </w:p>
        </w:tc>
        <w:tc>
          <w:tcPr>
            <w:tcW w:w="1580" w:type="dxa"/>
            <w:vAlign w:val="center"/>
          </w:tcPr>
          <w:p w14:paraId="79F3E63C" w14:textId="080775B9" w:rsidR="00CF2C4B" w:rsidRPr="0096146A" w:rsidRDefault="00DE0DC2" w:rsidP="0096146A">
            <w:pPr>
              <w:spacing w:after="0" w:line="360" w:lineRule="auto"/>
              <w:jc w:val="center"/>
              <w:rPr>
                <w:rFonts w:ascii="Cambria" w:hAnsi="Cambria"/>
              </w:rPr>
            </w:pPr>
            <w:r>
              <w:rPr>
                <w:rFonts w:ascii="Cambria" w:hAnsi="Cambria"/>
                <w:color w:val="000000"/>
              </w:rPr>
              <w:t>0.03</w:t>
            </w:r>
          </w:p>
        </w:tc>
        <w:tc>
          <w:tcPr>
            <w:tcW w:w="1599" w:type="dxa"/>
            <w:vAlign w:val="center"/>
          </w:tcPr>
          <w:p w14:paraId="4668DDB1" w14:textId="21E06C3A" w:rsidR="00CF2C4B" w:rsidRPr="0096146A" w:rsidRDefault="00CF2C4B" w:rsidP="0096146A">
            <w:pPr>
              <w:spacing w:after="0" w:line="360" w:lineRule="auto"/>
              <w:jc w:val="center"/>
              <w:rPr>
                <w:rFonts w:ascii="Cambria" w:hAnsi="Cambria"/>
              </w:rPr>
            </w:pPr>
            <w:r w:rsidRPr="0096146A">
              <w:rPr>
                <w:rFonts w:ascii="Cambria" w:hAnsi="Cambria"/>
                <w:color w:val="000000"/>
              </w:rPr>
              <w:t>2.63</w:t>
            </w:r>
          </w:p>
        </w:tc>
        <w:tc>
          <w:tcPr>
            <w:tcW w:w="896" w:type="dxa"/>
            <w:vAlign w:val="center"/>
          </w:tcPr>
          <w:p w14:paraId="263594C0" w14:textId="2BE9E0FC"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29418C00" w14:textId="77777777" w:rsidTr="00981394">
        <w:trPr>
          <w:jc w:val="center"/>
        </w:trPr>
        <w:tc>
          <w:tcPr>
            <w:tcW w:w="1409" w:type="dxa"/>
            <w:vAlign w:val="center"/>
          </w:tcPr>
          <w:p w14:paraId="5D4BE35F" w14:textId="753803E3" w:rsidR="00CF2C4B" w:rsidRPr="0096146A" w:rsidRDefault="00CF2C4B" w:rsidP="0096146A">
            <w:pPr>
              <w:spacing w:after="0" w:line="360" w:lineRule="auto"/>
              <w:jc w:val="center"/>
              <w:rPr>
                <w:rFonts w:ascii="Cambria" w:hAnsi="Cambria"/>
              </w:rPr>
            </w:pPr>
            <w:r w:rsidRPr="0096146A">
              <w:rPr>
                <w:rFonts w:ascii="Cambria" w:hAnsi="Cambria"/>
                <w:color w:val="000000"/>
              </w:rPr>
              <w:t>01/06/2013</w:t>
            </w:r>
          </w:p>
        </w:tc>
        <w:tc>
          <w:tcPr>
            <w:tcW w:w="1411" w:type="dxa"/>
            <w:vAlign w:val="center"/>
          </w:tcPr>
          <w:p w14:paraId="435EA421" w14:textId="167F3740" w:rsidR="00CF2C4B" w:rsidRPr="0096146A" w:rsidRDefault="00CF2C4B" w:rsidP="0096146A">
            <w:pPr>
              <w:spacing w:after="0" w:line="360" w:lineRule="auto"/>
              <w:jc w:val="center"/>
              <w:rPr>
                <w:rFonts w:ascii="Cambria" w:hAnsi="Cambria"/>
              </w:rPr>
            </w:pPr>
            <w:r w:rsidRPr="0096146A">
              <w:rPr>
                <w:rFonts w:ascii="Cambria" w:hAnsi="Cambria"/>
                <w:color w:val="000000"/>
              </w:rPr>
              <w:t>01/07/2013</w:t>
            </w:r>
          </w:p>
        </w:tc>
        <w:tc>
          <w:tcPr>
            <w:tcW w:w="1464" w:type="dxa"/>
            <w:vAlign w:val="center"/>
          </w:tcPr>
          <w:p w14:paraId="20CB600E" w14:textId="4BF389A2" w:rsidR="00CF2C4B" w:rsidRPr="0096146A" w:rsidRDefault="00CF2C4B" w:rsidP="0096146A">
            <w:pPr>
              <w:spacing w:after="0" w:line="360" w:lineRule="auto"/>
              <w:jc w:val="center"/>
              <w:rPr>
                <w:rFonts w:ascii="Cambria" w:hAnsi="Cambria"/>
              </w:rPr>
            </w:pPr>
            <w:r w:rsidRPr="0096146A">
              <w:rPr>
                <w:rFonts w:ascii="Cambria" w:hAnsi="Cambria"/>
                <w:color w:val="000000"/>
              </w:rPr>
              <w:t>3</w:t>
            </w:r>
            <w:r w:rsidR="009A0F37">
              <w:rPr>
                <w:rFonts w:ascii="Cambria" w:hAnsi="Cambria"/>
                <w:color w:val="000000"/>
              </w:rPr>
              <w:t>5</w:t>
            </w:r>
          </w:p>
        </w:tc>
        <w:tc>
          <w:tcPr>
            <w:tcW w:w="1580" w:type="dxa"/>
            <w:vAlign w:val="center"/>
          </w:tcPr>
          <w:p w14:paraId="21D4E4B2" w14:textId="0BA6F00C" w:rsidR="00CF2C4B" w:rsidRPr="0096146A" w:rsidRDefault="00DE0DC2" w:rsidP="0096146A">
            <w:pPr>
              <w:spacing w:after="0" w:line="360" w:lineRule="auto"/>
              <w:jc w:val="center"/>
              <w:rPr>
                <w:rFonts w:ascii="Cambria" w:hAnsi="Cambria"/>
              </w:rPr>
            </w:pPr>
            <w:r>
              <w:rPr>
                <w:rFonts w:ascii="Cambria" w:hAnsi="Cambria"/>
                <w:color w:val="000000"/>
              </w:rPr>
              <w:t>0.02</w:t>
            </w:r>
          </w:p>
        </w:tc>
        <w:tc>
          <w:tcPr>
            <w:tcW w:w="1599" w:type="dxa"/>
            <w:vAlign w:val="center"/>
          </w:tcPr>
          <w:p w14:paraId="66D99EDA" w14:textId="39A4AB90" w:rsidR="00CF2C4B" w:rsidRPr="0096146A" w:rsidRDefault="00CF2C4B" w:rsidP="0096146A">
            <w:pPr>
              <w:spacing w:after="0" w:line="360" w:lineRule="auto"/>
              <w:jc w:val="center"/>
              <w:rPr>
                <w:rFonts w:ascii="Cambria" w:hAnsi="Cambria"/>
              </w:rPr>
            </w:pPr>
            <w:r w:rsidRPr="0096146A">
              <w:rPr>
                <w:rFonts w:ascii="Cambria" w:hAnsi="Cambria"/>
                <w:color w:val="000000"/>
              </w:rPr>
              <w:t>0.54</w:t>
            </w:r>
          </w:p>
        </w:tc>
        <w:tc>
          <w:tcPr>
            <w:tcW w:w="896" w:type="dxa"/>
            <w:vAlign w:val="center"/>
          </w:tcPr>
          <w:p w14:paraId="3530B94D" w14:textId="400DA758"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0C607C92" w14:textId="77777777" w:rsidTr="00981394">
        <w:trPr>
          <w:jc w:val="center"/>
        </w:trPr>
        <w:tc>
          <w:tcPr>
            <w:tcW w:w="1409" w:type="dxa"/>
            <w:vAlign w:val="center"/>
          </w:tcPr>
          <w:p w14:paraId="52A4AB59" w14:textId="00FA0A23" w:rsidR="00CF2C4B" w:rsidRPr="0096146A" w:rsidRDefault="00CF2C4B" w:rsidP="0096146A">
            <w:pPr>
              <w:spacing w:after="0" w:line="360" w:lineRule="auto"/>
              <w:jc w:val="center"/>
              <w:rPr>
                <w:rFonts w:ascii="Cambria" w:hAnsi="Cambria"/>
              </w:rPr>
            </w:pPr>
            <w:r w:rsidRPr="0096146A">
              <w:rPr>
                <w:rFonts w:ascii="Cambria" w:hAnsi="Cambria"/>
                <w:color w:val="000000"/>
              </w:rPr>
              <w:t>01/07/2013</w:t>
            </w:r>
          </w:p>
        </w:tc>
        <w:tc>
          <w:tcPr>
            <w:tcW w:w="1411" w:type="dxa"/>
            <w:vAlign w:val="center"/>
          </w:tcPr>
          <w:p w14:paraId="124E5CE3" w14:textId="29773DC9" w:rsidR="00CF2C4B" w:rsidRPr="0096146A" w:rsidRDefault="00CF2C4B" w:rsidP="0096146A">
            <w:pPr>
              <w:spacing w:after="0" w:line="360" w:lineRule="auto"/>
              <w:jc w:val="center"/>
              <w:rPr>
                <w:rFonts w:ascii="Cambria" w:hAnsi="Cambria"/>
              </w:rPr>
            </w:pPr>
            <w:r w:rsidRPr="0096146A">
              <w:rPr>
                <w:rFonts w:ascii="Cambria" w:hAnsi="Cambria"/>
                <w:color w:val="000000"/>
              </w:rPr>
              <w:t>01/08/2013</w:t>
            </w:r>
          </w:p>
        </w:tc>
        <w:tc>
          <w:tcPr>
            <w:tcW w:w="1464" w:type="dxa"/>
            <w:vAlign w:val="center"/>
          </w:tcPr>
          <w:p w14:paraId="634E24FD" w14:textId="58F3F7F9" w:rsidR="00CF2C4B" w:rsidRPr="0096146A" w:rsidRDefault="00CF2C4B" w:rsidP="0096146A">
            <w:pPr>
              <w:spacing w:after="0" w:line="360" w:lineRule="auto"/>
              <w:jc w:val="center"/>
              <w:rPr>
                <w:rFonts w:ascii="Cambria" w:hAnsi="Cambria"/>
              </w:rPr>
            </w:pPr>
            <w:r w:rsidRPr="0096146A">
              <w:rPr>
                <w:rFonts w:ascii="Cambria" w:hAnsi="Cambria"/>
                <w:color w:val="000000"/>
              </w:rPr>
              <w:t>3</w:t>
            </w:r>
            <w:r w:rsidR="009A0F37">
              <w:rPr>
                <w:rFonts w:ascii="Cambria" w:hAnsi="Cambria"/>
                <w:color w:val="000000"/>
              </w:rPr>
              <w:t>7</w:t>
            </w:r>
          </w:p>
        </w:tc>
        <w:tc>
          <w:tcPr>
            <w:tcW w:w="1580" w:type="dxa"/>
            <w:vAlign w:val="center"/>
          </w:tcPr>
          <w:p w14:paraId="2CD84FB0" w14:textId="2861EA54" w:rsidR="00CF2C4B" w:rsidRPr="0096146A" w:rsidRDefault="00DE0DC2" w:rsidP="0096146A">
            <w:pPr>
              <w:spacing w:after="0" w:line="360" w:lineRule="auto"/>
              <w:jc w:val="center"/>
              <w:rPr>
                <w:rFonts w:ascii="Cambria" w:hAnsi="Cambria"/>
              </w:rPr>
            </w:pPr>
            <w:r>
              <w:rPr>
                <w:rFonts w:ascii="Cambria" w:hAnsi="Cambria"/>
                <w:color w:val="000000"/>
              </w:rPr>
              <w:t>0.03</w:t>
            </w:r>
          </w:p>
        </w:tc>
        <w:tc>
          <w:tcPr>
            <w:tcW w:w="1599" w:type="dxa"/>
            <w:vAlign w:val="center"/>
          </w:tcPr>
          <w:p w14:paraId="0C1A2471" w14:textId="7D567984" w:rsidR="00CF2C4B" w:rsidRPr="0096146A" w:rsidRDefault="00CF2C4B" w:rsidP="0096146A">
            <w:pPr>
              <w:spacing w:after="0" w:line="360" w:lineRule="auto"/>
              <w:jc w:val="center"/>
              <w:rPr>
                <w:rFonts w:ascii="Cambria" w:hAnsi="Cambria"/>
              </w:rPr>
            </w:pPr>
            <w:r w:rsidRPr="0096146A">
              <w:rPr>
                <w:rFonts w:ascii="Cambria" w:hAnsi="Cambria"/>
                <w:color w:val="000000"/>
              </w:rPr>
              <w:t>0.76</w:t>
            </w:r>
          </w:p>
        </w:tc>
        <w:tc>
          <w:tcPr>
            <w:tcW w:w="896" w:type="dxa"/>
            <w:vAlign w:val="center"/>
          </w:tcPr>
          <w:p w14:paraId="47EDE469" w14:textId="45B000C3"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37125DFE" w14:textId="77777777" w:rsidTr="00981394">
        <w:trPr>
          <w:jc w:val="center"/>
        </w:trPr>
        <w:tc>
          <w:tcPr>
            <w:tcW w:w="1409" w:type="dxa"/>
            <w:vAlign w:val="center"/>
          </w:tcPr>
          <w:p w14:paraId="6C979A25" w14:textId="13639F22" w:rsidR="00CF2C4B" w:rsidRPr="0096146A" w:rsidRDefault="00CF2C4B" w:rsidP="0096146A">
            <w:pPr>
              <w:spacing w:after="0" w:line="360" w:lineRule="auto"/>
              <w:jc w:val="center"/>
              <w:rPr>
                <w:rFonts w:ascii="Cambria" w:hAnsi="Cambria"/>
              </w:rPr>
            </w:pPr>
            <w:r w:rsidRPr="0096146A">
              <w:rPr>
                <w:rFonts w:ascii="Cambria" w:hAnsi="Cambria"/>
                <w:color w:val="000000"/>
              </w:rPr>
              <w:t>01/08/2013</w:t>
            </w:r>
          </w:p>
        </w:tc>
        <w:tc>
          <w:tcPr>
            <w:tcW w:w="1411" w:type="dxa"/>
            <w:vAlign w:val="center"/>
          </w:tcPr>
          <w:p w14:paraId="0F01649F" w14:textId="5E8A0FF3" w:rsidR="00CF2C4B" w:rsidRPr="0096146A" w:rsidRDefault="00CF2C4B" w:rsidP="0096146A">
            <w:pPr>
              <w:spacing w:after="0" w:line="360" w:lineRule="auto"/>
              <w:jc w:val="center"/>
              <w:rPr>
                <w:rFonts w:ascii="Cambria" w:hAnsi="Cambria"/>
              </w:rPr>
            </w:pPr>
            <w:r w:rsidRPr="0096146A">
              <w:rPr>
                <w:rFonts w:ascii="Cambria" w:hAnsi="Cambria"/>
                <w:color w:val="000000"/>
              </w:rPr>
              <w:t>01/09/2013</w:t>
            </w:r>
          </w:p>
        </w:tc>
        <w:tc>
          <w:tcPr>
            <w:tcW w:w="1464" w:type="dxa"/>
            <w:vAlign w:val="center"/>
          </w:tcPr>
          <w:p w14:paraId="437DDFE2" w14:textId="062D8CEE" w:rsidR="00CF2C4B" w:rsidRPr="0096146A" w:rsidRDefault="00CF2C4B" w:rsidP="0096146A">
            <w:pPr>
              <w:spacing w:after="0" w:line="360" w:lineRule="auto"/>
              <w:jc w:val="center"/>
              <w:rPr>
                <w:rFonts w:ascii="Cambria" w:hAnsi="Cambria"/>
              </w:rPr>
            </w:pPr>
            <w:r w:rsidRPr="0096146A">
              <w:rPr>
                <w:rFonts w:ascii="Cambria" w:hAnsi="Cambria"/>
                <w:color w:val="000000"/>
              </w:rPr>
              <w:t>2</w:t>
            </w:r>
            <w:r w:rsidR="005D0DDD">
              <w:rPr>
                <w:rFonts w:ascii="Cambria" w:hAnsi="Cambria"/>
                <w:color w:val="000000"/>
              </w:rPr>
              <w:t>2</w:t>
            </w:r>
          </w:p>
        </w:tc>
        <w:tc>
          <w:tcPr>
            <w:tcW w:w="1580" w:type="dxa"/>
            <w:vAlign w:val="center"/>
          </w:tcPr>
          <w:p w14:paraId="1F8B93B3" w14:textId="2CDA2220" w:rsidR="00CF2C4B" w:rsidRPr="0096146A" w:rsidRDefault="00DE0DC2" w:rsidP="0096146A">
            <w:pPr>
              <w:spacing w:after="0" w:line="360" w:lineRule="auto"/>
              <w:jc w:val="center"/>
              <w:rPr>
                <w:rFonts w:ascii="Cambria" w:hAnsi="Cambria"/>
              </w:rPr>
            </w:pPr>
            <w:r>
              <w:rPr>
                <w:rFonts w:ascii="Cambria" w:hAnsi="Cambria"/>
                <w:color w:val="000000"/>
              </w:rPr>
              <w:t>0.02</w:t>
            </w:r>
          </w:p>
        </w:tc>
        <w:tc>
          <w:tcPr>
            <w:tcW w:w="1599" w:type="dxa"/>
            <w:vAlign w:val="center"/>
          </w:tcPr>
          <w:p w14:paraId="0319B595" w14:textId="7980C4B8" w:rsidR="00CF2C4B" w:rsidRPr="0096146A" w:rsidRDefault="00CF2C4B" w:rsidP="0096146A">
            <w:pPr>
              <w:spacing w:after="0" w:line="360" w:lineRule="auto"/>
              <w:jc w:val="center"/>
              <w:rPr>
                <w:rFonts w:ascii="Cambria" w:hAnsi="Cambria"/>
              </w:rPr>
            </w:pPr>
            <w:r w:rsidRPr="0096146A">
              <w:rPr>
                <w:rFonts w:ascii="Cambria" w:hAnsi="Cambria"/>
                <w:color w:val="000000"/>
              </w:rPr>
              <w:t>0.78</w:t>
            </w:r>
          </w:p>
        </w:tc>
        <w:tc>
          <w:tcPr>
            <w:tcW w:w="896" w:type="dxa"/>
            <w:vAlign w:val="center"/>
          </w:tcPr>
          <w:p w14:paraId="4F02BCD0" w14:textId="61F4B03B"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4B36DDA4" w14:textId="77777777" w:rsidTr="00981394">
        <w:trPr>
          <w:jc w:val="center"/>
        </w:trPr>
        <w:tc>
          <w:tcPr>
            <w:tcW w:w="1409" w:type="dxa"/>
            <w:vAlign w:val="center"/>
          </w:tcPr>
          <w:p w14:paraId="56AC985D" w14:textId="6FDC9A97" w:rsidR="00CF2C4B" w:rsidRPr="0096146A" w:rsidRDefault="00CF2C4B" w:rsidP="0096146A">
            <w:pPr>
              <w:spacing w:after="0" w:line="360" w:lineRule="auto"/>
              <w:jc w:val="center"/>
              <w:rPr>
                <w:rFonts w:ascii="Cambria" w:hAnsi="Cambria"/>
              </w:rPr>
            </w:pPr>
            <w:r w:rsidRPr="0096146A">
              <w:rPr>
                <w:rFonts w:ascii="Cambria" w:hAnsi="Cambria"/>
                <w:color w:val="000000"/>
              </w:rPr>
              <w:t>01/09/2013</w:t>
            </w:r>
          </w:p>
        </w:tc>
        <w:tc>
          <w:tcPr>
            <w:tcW w:w="1411" w:type="dxa"/>
            <w:vAlign w:val="center"/>
          </w:tcPr>
          <w:p w14:paraId="365DFF61" w14:textId="7192C580" w:rsidR="00CF2C4B" w:rsidRPr="0096146A" w:rsidRDefault="00CF2C4B" w:rsidP="0096146A">
            <w:pPr>
              <w:spacing w:after="0" w:line="360" w:lineRule="auto"/>
              <w:jc w:val="center"/>
              <w:rPr>
                <w:rFonts w:ascii="Cambria" w:hAnsi="Cambria"/>
              </w:rPr>
            </w:pPr>
            <w:r w:rsidRPr="0096146A">
              <w:rPr>
                <w:rFonts w:ascii="Cambria" w:hAnsi="Cambria"/>
                <w:color w:val="000000"/>
              </w:rPr>
              <w:t>01/10/2013</w:t>
            </w:r>
          </w:p>
        </w:tc>
        <w:tc>
          <w:tcPr>
            <w:tcW w:w="1464" w:type="dxa"/>
            <w:vAlign w:val="center"/>
          </w:tcPr>
          <w:p w14:paraId="4F1AECAD" w14:textId="1C8449E6" w:rsidR="00CF2C4B" w:rsidRPr="0096146A" w:rsidRDefault="00CF2C4B" w:rsidP="0096146A">
            <w:pPr>
              <w:spacing w:after="0" w:line="360" w:lineRule="auto"/>
              <w:jc w:val="center"/>
              <w:rPr>
                <w:rFonts w:ascii="Cambria" w:hAnsi="Cambria"/>
              </w:rPr>
            </w:pPr>
            <w:r w:rsidRPr="0096146A">
              <w:rPr>
                <w:rFonts w:ascii="Cambria" w:hAnsi="Cambria"/>
                <w:color w:val="000000"/>
              </w:rPr>
              <w:t>3</w:t>
            </w:r>
            <w:r w:rsidR="005D0DDD">
              <w:rPr>
                <w:rFonts w:ascii="Cambria" w:hAnsi="Cambria"/>
                <w:color w:val="000000"/>
              </w:rPr>
              <w:t>2</w:t>
            </w:r>
          </w:p>
        </w:tc>
        <w:tc>
          <w:tcPr>
            <w:tcW w:w="1580" w:type="dxa"/>
            <w:vAlign w:val="center"/>
          </w:tcPr>
          <w:p w14:paraId="533E0DE2" w14:textId="5A7E8BCD" w:rsidR="00CF2C4B" w:rsidRPr="0096146A" w:rsidRDefault="00DE0DC2" w:rsidP="0096146A">
            <w:pPr>
              <w:spacing w:after="0" w:line="360" w:lineRule="auto"/>
              <w:jc w:val="center"/>
              <w:rPr>
                <w:rFonts w:ascii="Cambria" w:hAnsi="Cambria"/>
              </w:rPr>
            </w:pPr>
            <w:r>
              <w:rPr>
                <w:rFonts w:ascii="Cambria" w:hAnsi="Cambria"/>
                <w:color w:val="000000"/>
              </w:rPr>
              <w:t>0.02</w:t>
            </w:r>
          </w:p>
        </w:tc>
        <w:tc>
          <w:tcPr>
            <w:tcW w:w="1599" w:type="dxa"/>
            <w:vAlign w:val="center"/>
          </w:tcPr>
          <w:p w14:paraId="1EC8F336" w14:textId="5C07CC24" w:rsidR="00CF2C4B" w:rsidRPr="0096146A" w:rsidRDefault="00CF2C4B" w:rsidP="0096146A">
            <w:pPr>
              <w:spacing w:after="0" w:line="360" w:lineRule="auto"/>
              <w:jc w:val="center"/>
              <w:rPr>
                <w:rFonts w:ascii="Cambria" w:hAnsi="Cambria"/>
              </w:rPr>
            </w:pPr>
            <w:r w:rsidRPr="0096146A">
              <w:rPr>
                <w:rFonts w:ascii="Cambria" w:hAnsi="Cambria"/>
                <w:color w:val="000000"/>
              </w:rPr>
              <w:t>0.93</w:t>
            </w:r>
          </w:p>
        </w:tc>
        <w:tc>
          <w:tcPr>
            <w:tcW w:w="896" w:type="dxa"/>
            <w:vAlign w:val="center"/>
          </w:tcPr>
          <w:p w14:paraId="56F68AC7" w14:textId="0C57C90F"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0648BBFD" w14:textId="77777777" w:rsidTr="00981394">
        <w:trPr>
          <w:jc w:val="center"/>
        </w:trPr>
        <w:tc>
          <w:tcPr>
            <w:tcW w:w="1409" w:type="dxa"/>
            <w:vAlign w:val="center"/>
          </w:tcPr>
          <w:p w14:paraId="12E1C542" w14:textId="7D2383E2" w:rsidR="00CF2C4B" w:rsidRPr="0096146A" w:rsidRDefault="00CF2C4B" w:rsidP="0096146A">
            <w:pPr>
              <w:spacing w:after="0" w:line="360" w:lineRule="auto"/>
              <w:jc w:val="center"/>
              <w:rPr>
                <w:rFonts w:ascii="Cambria" w:hAnsi="Cambria"/>
              </w:rPr>
            </w:pPr>
            <w:r w:rsidRPr="0096146A">
              <w:rPr>
                <w:rFonts w:ascii="Cambria" w:hAnsi="Cambria"/>
                <w:color w:val="000000"/>
              </w:rPr>
              <w:t>01/10/2013</w:t>
            </w:r>
          </w:p>
        </w:tc>
        <w:tc>
          <w:tcPr>
            <w:tcW w:w="1411" w:type="dxa"/>
            <w:vAlign w:val="center"/>
          </w:tcPr>
          <w:p w14:paraId="7A591EEF" w14:textId="26AFB2BE" w:rsidR="00CF2C4B" w:rsidRPr="0096146A" w:rsidRDefault="00CF2C4B" w:rsidP="0096146A">
            <w:pPr>
              <w:spacing w:after="0" w:line="360" w:lineRule="auto"/>
              <w:jc w:val="center"/>
              <w:rPr>
                <w:rFonts w:ascii="Cambria" w:hAnsi="Cambria"/>
              </w:rPr>
            </w:pPr>
            <w:r w:rsidRPr="0096146A">
              <w:rPr>
                <w:rFonts w:ascii="Cambria" w:hAnsi="Cambria"/>
                <w:color w:val="000000"/>
              </w:rPr>
              <w:t>01/11/2013</w:t>
            </w:r>
          </w:p>
        </w:tc>
        <w:tc>
          <w:tcPr>
            <w:tcW w:w="1464" w:type="dxa"/>
            <w:vAlign w:val="center"/>
          </w:tcPr>
          <w:p w14:paraId="4804AC3D" w14:textId="227CE96B" w:rsidR="00CF2C4B" w:rsidRPr="0096146A" w:rsidRDefault="00CF2C4B" w:rsidP="0096146A">
            <w:pPr>
              <w:spacing w:after="0" w:line="360" w:lineRule="auto"/>
              <w:jc w:val="center"/>
              <w:rPr>
                <w:rFonts w:ascii="Cambria" w:hAnsi="Cambria"/>
              </w:rPr>
            </w:pPr>
            <w:r w:rsidRPr="0096146A">
              <w:rPr>
                <w:rFonts w:ascii="Cambria" w:hAnsi="Cambria"/>
                <w:color w:val="000000"/>
              </w:rPr>
              <w:t>3</w:t>
            </w:r>
            <w:r w:rsidR="009A0F37">
              <w:rPr>
                <w:rFonts w:ascii="Cambria" w:hAnsi="Cambria"/>
                <w:color w:val="000000"/>
              </w:rPr>
              <w:t>6</w:t>
            </w:r>
          </w:p>
        </w:tc>
        <w:tc>
          <w:tcPr>
            <w:tcW w:w="1580" w:type="dxa"/>
            <w:vAlign w:val="center"/>
          </w:tcPr>
          <w:p w14:paraId="471AD0F1" w14:textId="3202E2B0" w:rsidR="00CF2C4B" w:rsidRPr="0096146A" w:rsidRDefault="00DE0DC2" w:rsidP="0096146A">
            <w:pPr>
              <w:spacing w:after="0" w:line="360" w:lineRule="auto"/>
              <w:jc w:val="center"/>
              <w:rPr>
                <w:rFonts w:ascii="Cambria" w:hAnsi="Cambria"/>
              </w:rPr>
            </w:pPr>
            <w:r>
              <w:rPr>
                <w:rFonts w:ascii="Cambria" w:hAnsi="Cambria"/>
                <w:color w:val="000000"/>
              </w:rPr>
              <w:t>0.02</w:t>
            </w:r>
          </w:p>
        </w:tc>
        <w:tc>
          <w:tcPr>
            <w:tcW w:w="1599" w:type="dxa"/>
            <w:vAlign w:val="center"/>
          </w:tcPr>
          <w:p w14:paraId="5B9A3C2A" w14:textId="322F6050" w:rsidR="00CF2C4B" w:rsidRPr="0096146A" w:rsidRDefault="00CF2C4B" w:rsidP="0096146A">
            <w:pPr>
              <w:spacing w:after="0" w:line="360" w:lineRule="auto"/>
              <w:jc w:val="center"/>
              <w:rPr>
                <w:rFonts w:ascii="Cambria" w:hAnsi="Cambria"/>
              </w:rPr>
            </w:pPr>
            <w:r w:rsidRPr="0096146A">
              <w:rPr>
                <w:rFonts w:ascii="Cambria" w:hAnsi="Cambria"/>
                <w:color w:val="000000"/>
              </w:rPr>
              <w:t>4.91</w:t>
            </w:r>
          </w:p>
        </w:tc>
        <w:tc>
          <w:tcPr>
            <w:tcW w:w="896" w:type="dxa"/>
            <w:vAlign w:val="center"/>
          </w:tcPr>
          <w:p w14:paraId="76506BE9" w14:textId="1E270FEA" w:rsidR="00CF2C4B" w:rsidRPr="0096146A" w:rsidRDefault="00CF2C4B" w:rsidP="0096146A">
            <w:pPr>
              <w:spacing w:after="0" w:line="360" w:lineRule="auto"/>
              <w:jc w:val="center"/>
              <w:rPr>
                <w:rFonts w:ascii="Cambria" w:hAnsi="Cambria"/>
              </w:rPr>
            </w:pPr>
            <w:r w:rsidRPr="0096146A">
              <w:rPr>
                <w:rFonts w:ascii="Cambria" w:hAnsi="Cambria"/>
              </w:rPr>
              <w:t>2</w:t>
            </w:r>
          </w:p>
        </w:tc>
      </w:tr>
      <w:tr w:rsidR="00DE0DC2" w14:paraId="28D383F3" w14:textId="77777777" w:rsidTr="00981394">
        <w:trPr>
          <w:jc w:val="center"/>
        </w:trPr>
        <w:tc>
          <w:tcPr>
            <w:tcW w:w="1409" w:type="dxa"/>
            <w:vAlign w:val="center"/>
          </w:tcPr>
          <w:p w14:paraId="2F609395" w14:textId="5687626C" w:rsidR="00CF2C4B" w:rsidRPr="0096146A" w:rsidRDefault="00CF2C4B" w:rsidP="0096146A">
            <w:pPr>
              <w:spacing w:after="0" w:line="360" w:lineRule="auto"/>
              <w:jc w:val="center"/>
              <w:rPr>
                <w:rFonts w:ascii="Cambria" w:hAnsi="Cambria"/>
              </w:rPr>
            </w:pPr>
            <w:r w:rsidRPr="0096146A">
              <w:rPr>
                <w:rFonts w:ascii="Cambria" w:hAnsi="Cambria"/>
                <w:color w:val="000000"/>
              </w:rPr>
              <w:t>01/11/2013</w:t>
            </w:r>
          </w:p>
        </w:tc>
        <w:tc>
          <w:tcPr>
            <w:tcW w:w="1411" w:type="dxa"/>
            <w:vAlign w:val="center"/>
          </w:tcPr>
          <w:p w14:paraId="270A7739" w14:textId="2D879EA5" w:rsidR="00CF2C4B" w:rsidRPr="0096146A" w:rsidRDefault="00CF2C4B" w:rsidP="0096146A">
            <w:pPr>
              <w:spacing w:after="0" w:line="360" w:lineRule="auto"/>
              <w:jc w:val="center"/>
              <w:rPr>
                <w:rFonts w:ascii="Cambria" w:hAnsi="Cambria"/>
              </w:rPr>
            </w:pPr>
            <w:r w:rsidRPr="0096146A">
              <w:rPr>
                <w:rFonts w:ascii="Cambria" w:hAnsi="Cambria"/>
              </w:rPr>
              <w:t>01/12/2013</w:t>
            </w:r>
          </w:p>
        </w:tc>
        <w:tc>
          <w:tcPr>
            <w:tcW w:w="1464" w:type="dxa"/>
            <w:vAlign w:val="center"/>
          </w:tcPr>
          <w:p w14:paraId="578C931B" w14:textId="2D137F2B" w:rsidR="00CF2C4B" w:rsidRPr="0096146A" w:rsidRDefault="00CF2C4B" w:rsidP="00C92F36">
            <w:pPr>
              <w:spacing w:after="0" w:line="360" w:lineRule="auto"/>
              <w:jc w:val="center"/>
              <w:rPr>
                <w:rFonts w:ascii="Cambria" w:hAnsi="Cambria"/>
              </w:rPr>
            </w:pPr>
            <w:r w:rsidRPr="0096146A">
              <w:rPr>
                <w:rFonts w:ascii="Cambria" w:hAnsi="Cambria"/>
                <w:color w:val="000000"/>
              </w:rPr>
              <w:t>4</w:t>
            </w:r>
            <w:r w:rsidR="009A0F37">
              <w:rPr>
                <w:rFonts w:ascii="Cambria" w:hAnsi="Cambria"/>
                <w:color w:val="000000"/>
              </w:rPr>
              <w:t>5</w:t>
            </w:r>
          </w:p>
        </w:tc>
        <w:tc>
          <w:tcPr>
            <w:tcW w:w="1580" w:type="dxa"/>
            <w:vAlign w:val="center"/>
          </w:tcPr>
          <w:p w14:paraId="0E7ACC88" w14:textId="60027188" w:rsidR="00CF2C4B" w:rsidRPr="0096146A" w:rsidRDefault="00DE0DC2" w:rsidP="0096146A">
            <w:pPr>
              <w:spacing w:after="0" w:line="360" w:lineRule="auto"/>
              <w:jc w:val="center"/>
              <w:rPr>
                <w:rFonts w:ascii="Cambria" w:hAnsi="Cambria"/>
              </w:rPr>
            </w:pPr>
            <w:r>
              <w:rPr>
                <w:rFonts w:ascii="Cambria" w:hAnsi="Cambria"/>
                <w:color w:val="000000"/>
              </w:rPr>
              <w:t>0.0</w:t>
            </w:r>
            <w:r w:rsidR="009A0F37">
              <w:rPr>
                <w:rFonts w:ascii="Cambria" w:hAnsi="Cambria"/>
                <w:color w:val="000000"/>
              </w:rPr>
              <w:t>5</w:t>
            </w:r>
          </w:p>
        </w:tc>
        <w:tc>
          <w:tcPr>
            <w:tcW w:w="1599" w:type="dxa"/>
            <w:vAlign w:val="center"/>
          </w:tcPr>
          <w:p w14:paraId="5A958370" w14:textId="5E8EB1BB" w:rsidR="00CF2C4B" w:rsidRPr="0096146A" w:rsidRDefault="00CF2C4B" w:rsidP="0096146A">
            <w:pPr>
              <w:spacing w:after="0" w:line="360" w:lineRule="auto"/>
              <w:jc w:val="center"/>
              <w:rPr>
                <w:rFonts w:ascii="Cambria" w:hAnsi="Cambria"/>
              </w:rPr>
            </w:pPr>
            <w:r w:rsidRPr="0096146A">
              <w:rPr>
                <w:rFonts w:ascii="Cambria" w:hAnsi="Cambria"/>
                <w:color w:val="000000"/>
              </w:rPr>
              <w:t>1.37</w:t>
            </w:r>
          </w:p>
        </w:tc>
        <w:tc>
          <w:tcPr>
            <w:tcW w:w="896" w:type="dxa"/>
            <w:vAlign w:val="center"/>
          </w:tcPr>
          <w:p w14:paraId="46F46500" w14:textId="470309A3" w:rsidR="00CF2C4B" w:rsidRPr="0096146A" w:rsidRDefault="00CF2C4B" w:rsidP="0096146A">
            <w:pPr>
              <w:spacing w:after="0" w:line="360" w:lineRule="auto"/>
              <w:jc w:val="center"/>
              <w:rPr>
                <w:rFonts w:ascii="Cambria" w:hAnsi="Cambria"/>
              </w:rPr>
            </w:pPr>
            <w:r w:rsidRPr="0096146A">
              <w:rPr>
                <w:rFonts w:ascii="Cambria" w:hAnsi="Cambria"/>
              </w:rPr>
              <w:t>2</w:t>
            </w:r>
          </w:p>
        </w:tc>
      </w:tr>
    </w:tbl>
    <w:p w14:paraId="7131D7BC" w14:textId="77777777" w:rsidR="00C55000" w:rsidRDefault="00C55000" w:rsidP="000C32D3">
      <w:pPr>
        <w:spacing w:line="360" w:lineRule="auto"/>
      </w:pPr>
    </w:p>
    <w:p w14:paraId="3B457DBA" w14:textId="3DCD5991" w:rsidR="00B358C5" w:rsidRDefault="00B358C5" w:rsidP="000C32D3">
      <w:pPr>
        <w:spacing w:line="360" w:lineRule="auto"/>
      </w:pPr>
      <w:r>
        <w:t xml:space="preserve">The peak fluxes measured during period 1 are extremely high in comparison to </w:t>
      </w:r>
      <w:r w:rsidR="009A5DA0">
        <w:t xml:space="preserve">observations made </w:t>
      </w:r>
      <w:r>
        <w:t>previously in this region. Historical observations made on sediment trap samples at our study site reveal that acantharian cyst fluxes were lower between 2008 and 2011, &lt; 673 ind. m</w:t>
      </w:r>
      <w:r w:rsidRPr="00921E44">
        <w:rPr>
          <w:vertAlign w:val="superscript"/>
        </w:rPr>
        <w:t>-2</w:t>
      </w:r>
      <w:r>
        <w:t xml:space="preserve"> d</w:t>
      </w:r>
      <w:r w:rsidRPr="00921E44">
        <w:rPr>
          <w:vertAlign w:val="superscript"/>
        </w:rPr>
        <w:t>-1</w:t>
      </w:r>
      <w:r>
        <w:t xml:space="preserve"> (C. Manno unpublished data</w:t>
      </w:r>
      <w:r w:rsidR="00BD7E08">
        <w:t>, comprising abundances only).</w:t>
      </w:r>
    </w:p>
    <w:p w14:paraId="0809C594" w14:textId="649B5B0A" w:rsidR="006517E6" w:rsidRDefault="00B358C5" w:rsidP="000C32D3">
      <w:pPr>
        <w:spacing w:line="360" w:lineRule="auto"/>
      </w:pPr>
      <w:r>
        <w:t xml:space="preserve">Our observed peak acantharian cyst </w:t>
      </w:r>
      <w:r w:rsidR="00775D4A">
        <w:t>fluxes are</w:t>
      </w:r>
      <w:r>
        <w:t xml:space="preserve"> also</w:t>
      </w:r>
      <w:r w:rsidR="00775D4A">
        <w:t xml:space="preserve"> an order of magnitude greater than have been measured previously in the bathypelagic</w:t>
      </w:r>
      <w:r w:rsidR="00404B07">
        <w:t xml:space="preserve"> zone</w:t>
      </w:r>
      <w:r w:rsidR="00775D4A">
        <w:t xml:space="preserve"> </w:t>
      </w:r>
      <w:r>
        <w:t xml:space="preserve">in other regions </w:t>
      </w:r>
      <w:r w:rsidR="00775D4A">
        <w:fldChar w:fldCharType="begin" w:fldLock="1"/>
      </w:r>
      <w:r w:rsidR="004474B0">
        <w:instrText>ADDIN CSL_CITATION { "citationItems" : [ { "id" : "ITEM-1",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"ITEM-1", "issue" : "1", "issued" : { "date-parts" : [ [ "1993" ] ] }, "page" : "99-114", "title" : "Abundance, encystment and sedimentation of acantharia during autumn 1990 in the East Greenland Sea", "type" : "article-journal", "volume" : "15" }, "uris" : [ "http://www.mendeley.com/documents/?uuid=26c32220-bbd7-4ed1-98f3-5fb9f6766313" ] }, { "id" : "ITEM-2",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"ITEM-2",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"http://www.mendeley.com/documents/?uuid=6716a21a-8ca1-4db5-bf83-a731478fe6b9" ] }, { "id" : "ITEM-3",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"ITEM-3", "issue" : "1", "issued" : { "date-parts" : [ [ "2013" ] ] }, "title" : "Diversity, Ecology and Biogeochemistry of Cyst-Forming Acantharia (Radiolaria) in the Oceans", "type" : "article-journal", "volume" : "8" }, "uris" : [ "http://www.mendeley.com/documents/?uuid=25fae23b-4772-4666-b5f9-026c89bcf63a", "http://www.mendeley.com/documents/?uuid=76efd1f3-04d9-447e-8870-e84c765d1d1c", "http://www.mendeley.com/documents/?uuid=cb0174d2-8f47-404b-a2a3-9e2c36afd7e1" ] }, { "id" : "ITEM-4", "itemData" : { "DOI" : "10.1016/0016-7037(92)90304-2", "author" : [ { "dropping-particle" : "", "family" : "Bernstein", "given" : "Renate E", "non-dropping-particle" : "", "parse-names" : false, "suffix" : "" }, { "dropping-particle" : "", "family" : "Byrne", "given" : "Robert H", "non-dropping-particle" : "", "parse-names" : false, "suffix" : "" }, { "dropping-particle" : "", "family" : "Betzer", "given" : "Peter R", "non-dropping-particle" : "", "parse-names" : false, "suffix" : "" }, { "dropping-particle" : "", "family" : "Greco", "given" : "Anthony M", "non-dropping-particle" : "", "parse-names" : false, "suffix" : "" } ], "container-title" : "Geochimica et Cosmochimica Acta", "id" : "ITEM-4", "issued" : { "date-parts" : [ [ "1992" ] ] }, "page" : "3273-3279", "title" : "Morphologies and transformations of celestite in seawater: The role of acantharians in strontium and barium geochemistry", "type" : "article-journal", "volume" : "56" }, "uris" : [ "http://www.mendeley.com/documents/?uuid=913766c8-ba1e-42ce-b0cd-5cf063758a68" ] } ], "mendeley" : { "formattedCitation" : "(Bernstein et al. 1992; Antia et al. 1993; Martin et al. 2010; Decelle et al. 2013)", "manualFormatting" : "(Bernstein et al. 1992; Antia et al. 1993; Martin et al. 2010; Decelle et al. 2013, Table 3)", "plainTextFormattedCitation" : "(Bernstein et al. 1992; Antia et al. 1993; Martin et al. 2010; Decelle et al. 2013)", "previouslyFormattedCitation" : "(Bernstein et al. 1992; Antia et al. 1993; Martin et al. 2010; Decelle et al. 2013)" }, "properties" : {  }, "schema" : "https://github.com/citation-style-language/schema/raw/master/csl-citation.json" }</w:instrText>
      </w:r>
      <w:r w:rsidR="00775D4A">
        <w:fldChar w:fldCharType="separate"/>
      </w:r>
      <w:r w:rsidR="00775D4A" w:rsidRPr="000C32D3">
        <w:rPr>
          <w:noProof/>
        </w:rPr>
        <w:t>(Bernstein et al. 1992; Antia et al. 1993; Martin et al. 2010; Decelle et al. 2013</w:t>
      </w:r>
      <w:r w:rsidR="00F67C50">
        <w:rPr>
          <w:noProof/>
        </w:rPr>
        <w:t xml:space="preserve">, </w:t>
      </w:r>
      <w:r w:rsidR="008127FA">
        <w:rPr>
          <w:noProof/>
        </w:rPr>
        <w:fldChar w:fldCharType="begin" w:fldLock="1"/>
      </w:r>
      <w:r w:rsidR="008127FA">
        <w:rPr>
          <w:noProof/>
        </w:rPr>
        <w:instrText xml:space="preserve"> REF _Ref513108367 \h </w:instrText>
      </w:r>
      <w:r w:rsidR="008127FA">
        <w:rPr>
          <w:noProof/>
        </w:rPr>
      </w:r>
      <w:r w:rsidR="008127FA">
        <w:rPr>
          <w:noProof/>
        </w:rPr>
        <w:fldChar w:fldCharType="separate"/>
      </w:r>
      <w:r w:rsidR="008127FA">
        <w:rPr>
          <w:noProof/>
        </w:rPr>
        <w:t>Table 2</w:t>
      </w:r>
      <w:r w:rsidR="008127FA">
        <w:rPr>
          <w:noProof/>
        </w:rPr>
        <w:fldChar w:fldCharType="end"/>
      </w:r>
      <w:r w:rsidR="00775D4A" w:rsidRPr="000C32D3">
        <w:rPr>
          <w:noProof/>
        </w:rPr>
        <w:t>)</w:t>
      </w:r>
      <w:r w:rsidR="00775D4A">
        <w:fldChar w:fldCharType="end"/>
      </w:r>
      <w:r w:rsidR="00775D4A">
        <w:t xml:space="preserve">. Acantharia have rarely been found to contribute significantly to sinking particle flux to the ocean interior, likely due to the high solubility of Acantharia and their cysts in seawater </w:t>
      </w:r>
      <w:r w:rsidR="00775D4A">
        <w:fldChar w:fldCharType="begin" w:fldLock="1"/>
      </w:r>
      <w:r w:rsidR="00B93937">
        <w:instrText>ADDIN CSL_CITATION { "citationItems" : [ { "id" : "ITEM-1", "itemData" : { "DOI" : "10.1016/j.pocean.2007.11.003", "author" : [ { "dropping-particle" : "", "family" : "Honjo", "given" : "Susumu", "non-dropping-particle" : "", "parse-names" : false, "suffix" : "" }, { "dropping-particle" : "", "family" : "Manganini", "given" : "Steven J", "non-dropping-particle" : "", "parse-names" : false, "suffix" : "" }, { "dropping-particle" : "", "family" : "Krishfield", "given" : "Richard A", "non-dropping-particle" : "", "parse-names" : false, "suffix" : "" }, { "dropping-particle" : "", "family" : "Francois", "given" : "Roger", "non-dropping-particle" : "", "parse-names" : false, "suffix" : "" } ], "container-title" : "Progress in Oceanography", "id" : "ITEM-1", "issued" : { "date-parts" : [ [ "2008" ] ] }, "page" : "217-285", "title" : "Particulate organic carbon fluxes to the ocean interior and factors controlling the biological pump : A synthesis of global sediment trap programs since 1983", "type" : "article-journal", "volume" : "76" }, "uris" : [ "http://www.mendeley.com/documents/?uuid=fb8caf9f-1b8f-4660-8af1-456ec5f67c55" ] }, { "id" : "ITEM-2", "itemData" : { "DOI" : "10.1126/science.237.4821.1490", "author" : [ { "dropping-particle" : "", "family" : "Bernstein", "given" : "R E", "non-dropping-particle" : "", "parse-names" : false, "suffix" : "" }, { "dropping-particle" : "", "family" : "Betzer", "given" : "P R", "non-dropping-particle" : "", "parse-names" : false, "suffix" : "" }, { "dropping-particle" : "", "family" : "Feely", "given" : "R A", "non-dropping-particle" : "", "parse-names" : false, "suffix" : "" }, { "dropping-particle" : "", "family" : "Byrne", "given" : "R H", "non-dropping-particle" : "", "parse-names" : false, "suffix" : "" }, { "dropping-particle" : "", "family" : "Lamb", "given" : "M F", "non-dropping-particle" : "", "parse-names" : false, "suffix" : "" }, { "dropping-particle" : "", "family" : "Michaels", "given" : "A F", "non-dropping-particle" : "", "parse-names" : false, "suffix" : "" } ], "container-title" : "Science", "id" : "ITEM-2", "issue" : "4821", "issued" : { "date-parts" : [ [ "1987" ] ] }, "page" : "1490-1494", "title" : "Acantharian Fluxes and Strontium to Chlorinity Ratios in the North Pacific Ocean", "type" : "article-journal", "volume" : "237" }, "uris" : [ "http://www.mendeley.com/documents/?uuid=6d410a30-b291-413c-af95-bc114f8087ce", "http://www.mendeley.com/documents/?uuid=1c91cb8b-2609-4ebd-9954-e1b3079d7e54" ] } ], "mendeley" : { "formattedCitation" : "(Bernstein et al. 1987; Honjo et al. 2008)", "plainTextFormattedCitation" : "(Bernstein et al. 1987; Honjo et al. 2008)", "previouslyFormattedCitation" : "(Bernstein et al. 1987; Honjo et al. 2008)" }, "properties" : {  }, "schema" : "https://github.com/citation-style-language/schema/raw/master/csl-citation.json" }</w:instrText>
      </w:r>
      <w:r w:rsidR="00775D4A">
        <w:fldChar w:fldCharType="separate"/>
      </w:r>
      <w:r w:rsidR="00775D4A" w:rsidRPr="000C32D3">
        <w:rPr>
          <w:noProof/>
        </w:rPr>
        <w:t>(Bernstein et al. 1987; Honjo et al. 2008)</w:t>
      </w:r>
      <w:r w:rsidR="00775D4A">
        <w:fldChar w:fldCharType="end"/>
      </w:r>
      <w:r w:rsidR="00775D4A">
        <w:t>. Prior to our study, the highest fluxes of acantharia</w:t>
      </w:r>
      <w:r w:rsidR="00C55000">
        <w:t>n</w:t>
      </w:r>
      <w:r w:rsidR="00775D4A">
        <w:t xml:space="preserve"> cysts to the bathypelagic</w:t>
      </w:r>
      <w:r w:rsidR="00404B07">
        <w:t xml:space="preserve"> zone</w:t>
      </w:r>
      <w:r w:rsidR="00775D4A">
        <w:t xml:space="preserve"> were measured by </w:t>
      </w:r>
      <w:r w:rsidR="00775D4A">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rsidR="00775D4A">
        <w:fldChar w:fldCharType="separate"/>
      </w:r>
      <w:r w:rsidR="00775D4A">
        <w:rPr>
          <w:noProof/>
        </w:rPr>
        <w:t>Martin et al. (</w:t>
      </w:r>
      <w:r w:rsidR="00775D4A" w:rsidRPr="002478B9">
        <w:rPr>
          <w:noProof/>
        </w:rPr>
        <w:t>2010)</w:t>
      </w:r>
      <w:r w:rsidR="00775D4A">
        <w:fldChar w:fldCharType="end"/>
      </w:r>
      <w:r w:rsidR="00775D4A">
        <w:t xml:space="preserve"> in the Iceland Basin in spring. The authors report a sedimentation event of acantharia</w:t>
      </w:r>
      <w:r w:rsidR="00C55000">
        <w:t>n</w:t>
      </w:r>
      <w:r w:rsidR="00775D4A">
        <w:t xml:space="preserve"> cysts, with fluxes up to 577 </w:t>
      </w:r>
      <w:r w:rsidR="00775D4A">
        <w:rPr>
          <w:rFonts w:ascii="Cambria" w:eastAsia="Cambria" w:hAnsi="Cambria" w:cs="Cambria"/>
        </w:rPr>
        <w:t>ind. m</w:t>
      </w:r>
      <w:r w:rsidR="00775D4A">
        <w:rPr>
          <w:rFonts w:ascii="Cambria" w:eastAsia="Cambria" w:hAnsi="Cambria" w:cs="Cambria"/>
          <w:vertAlign w:val="superscript"/>
        </w:rPr>
        <w:t>-2</w:t>
      </w:r>
      <w:r w:rsidR="00775D4A">
        <w:rPr>
          <w:rFonts w:ascii="Cambria" w:eastAsia="Cambria" w:hAnsi="Cambria" w:cs="Cambria"/>
        </w:rPr>
        <w:t xml:space="preserve"> d</w:t>
      </w:r>
      <w:r w:rsidR="00775D4A">
        <w:rPr>
          <w:rFonts w:ascii="Cambria" w:eastAsia="Cambria" w:hAnsi="Cambria" w:cs="Cambria"/>
          <w:vertAlign w:val="superscript"/>
        </w:rPr>
        <w:t>-1</w:t>
      </w:r>
      <w:r w:rsidR="00775D4A">
        <w:t xml:space="preserve"> at 2000 m. </w:t>
      </w:r>
      <w:r w:rsidR="00775D4A">
        <w:fldChar w:fldCharType="begin" w:fldLock="1"/>
      </w:r>
      <w:r w:rsidR="00B93937">
        <w:instrText>ADDIN CSL_CITATION { "citationItems" : [ { "id" : "ITEM-1",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"ITEM-1", "issue" : "1", "issued" : { "date-parts" : [ [ "1993" ] ] }, "page" : "99-114", "title" : "Abundance, encystment and sedimentation of acantharia during autumn 1990 in the East Greenland Sea", "type" : "article-journal", "volume" : "15" }, "uris" : [ "http://www.mendeley.com/documents/?uuid=26c32220-bbd7-4ed1-98f3-5fb9f6766313" ] } ], "mendeley" : { "formattedCitation" : "(Antia et al. 1993)", "manualFormatting" : "Antia et al. (1993)", "plainTextFormattedCitation" : "(Antia et al. 1993)", "previouslyFormattedCitation" : "(Antia et al. 1993)" }, "properties" : {  }, "schema" : "https://github.com/citation-style-language/schema/raw/master/csl-citation.json" }</w:instrText>
      </w:r>
      <w:r w:rsidR="00775D4A">
        <w:fldChar w:fldCharType="separate"/>
      </w:r>
      <w:r w:rsidR="00775D4A">
        <w:rPr>
          <w:noProof/>
        </w:rPr>
        <w:t>Antia et al. (</w:t>
      </w:r>
      <w:r w:rsidR="00775D4A" w:rsidRPr="00604089">
        <w:rPr>
          <w:noProof/>
        </w:rPr>
        <w:t>1993)</w:t>
      </w:r>
      <w:r w:rsidR="00775D4A">
        <w:fldChar w:fldCharType="end"/>
      </w:r>
      <w:r w:rsidR="00775D4A">
        <w:t xml:space="preserve"> measured high acantharia</w:t>
      </w:r>
      <w:r w:rsidR="00C55000">
        <w:t>n</w:t>
      </w:r>
      <w:r w:rsidR="00775D4A">
        <w:t xml:space="preserve"> cyst fluxes in sediment traps deployed at 100 m depth in the East Greenland Sea (~33000 </w:t>
      </w:r>
      <w:r w:rsidR="00775D4A">
        <w:rPr>
          <w:rFonts w:ascii="Cambria" w:eastAsia="Cambria" w:hAnsi="Cambria" w:cs="Cambria"/>
        </w:rPr>
        <w:t>ind. m</w:t>
      </w:r>
      <w:r w:rsidR="00775D4A">
        <w:rPr>
          <w:rFonts w:ascii="Cambria" w:eastAsia="Cambria" w:hAnsi="Cambria" w:cs="Cambria"/>
          <w:vertAlign w:val="superscript"/>
        </w:rPr>
        <w:t>-2</w:t>
      </w:r>
      <w:r w:rsidR="00775D4A">
        <w:rPr>
          <w:rFonts w:ascii="Cambria" w:eastAsia="Cambria" w:hAnsi="Cambria" w:cs="Cambria"/>
        </w:rPr>
        <w:t xml:space="preserve"> d</w:t>
      </w:r>
      <w:r w:rsidR="00775D4A">
        <w:rPr>
          <w:rFonts w:ascii="Cambria" w:eastAsia="Cambria" w:hAnsi="Cambria" w:cs="Cambria"/>
          <w:vertAlign w:val="superscript"/>
        </w:rPr>
        <w:t>-1</w:t>
      </w:r>
      <w:r w:rsidR="00775D4A">
        <w:t xml:space="preserve">). However, these rapidly diminished with depth, with fluxes of ~3000, 349 and 15 </w:t>
      </w:r>
      <w:r w:rsidR="00775D4A">
        <w:rPr>
          <w:rFonts w:ascii="Cambria" w:eastAsia="Cambria" w:hAnsi="Cambria" w:cs="Cambria"/>
        </w:rPr>
        <w:t>ind. m</w:t>
      </w:r>
      <w:r w:rsidR="00775D4A">
        <w:rPr>
          <w:rFonts w:ascii="Cambria" w:eastAsia="Cambria" w:hAnsi="Cambria" w:cs="Cambria"/>
          <w:vertAlign w:val="superscript"/>
        </w:rPr>
        <w:t>-2</w:t>
      </w:r>
      <w:r w:rsidR="00775D4A">
        <w:rPr>
          <w:rFonts w:ascii="Cambria" w:eastAsia="Cambria" w:hAnsi="Cambria" w:cs="Cambria"/>
        </w:rPr>
        <w:t xml:space="preserve"> d</w:t>
      </w:r>
      <w:r w:rsidR="00775D4A">
        <w:rPr>
          <w:rFonts w:ascii="Cambria" w:eastAsia="Cambria" w:hAnsi="Cambria" w:cs="Cambria"/>
          <w:vertAlign w:val="superscript"/>
        </w:rPr>
        <w:t>-1</w:t>
      </w:r>
      <w:r w:rsidR="00775D4A">
        <w:t xml:space="preserve"> at 500, 1000 and 2200 m respectively. Similarly, a rapid reduction in the flux of Acantharia (primarily cysts) </w:t>
      </w:r>
      <w:r w:rsidR="0021550C">
        <w:t xml:space="preserve">with depth </w:t>
      </w:r>
      <w:r w:rsidR="00775D4A">
        <w:t xml:space="preserve">was observed in the Sargasso Sea between 400 and 1500 m </w:t>
      </w:r>
      <w:r w:rsidR="00775D4A">
        <w:fldChar w:fldCharType="begin" w:fldLock="1"/>
      </w:r>
      <w:r w:rsidR="00B93937">
        <w:instrText>ADDIN CSL_CITATION { "citationItems" : [ { "id" : "ITEM-1", "itemData" : { "DOI" : "10.1016/0016-7037(92)90304-2", "author" : [ { "dropping-particle" : "", "family" : "Bernstein", "given" : "Renate E", "non-dropping-particle" : "", "parse-names" : false, "suffix" : "" }, { "dropping-particle" : "", "family" : "Byrne", "given" : "Robert H", "non-dropping-particle" : "", "parse-names" : false, "suffix" : "" }, { "dropping-particle" : "", "family" : "Betzer", "given" : "Peter R", "non-dropping-particle" : "", "parse-names" : false, "suffix" : "" }, { "dropping-particle" : "", "family" : "Greco", "given" : "Anthony M", "non-dropping-particle" : "", "parse-names" : false, "suffix" : "" } ], "container-title" : "Geochimica et Cosmochimica Acta", "id" : "ITEM-1", "issued" : { "date-parts" : [ [ "1992" ] ] }, "page" : "3273-3279", "title" : "Morphologies and transformations of celestite in seawater: The role of acantharians in strontium and barium geochemistry", "type" : "article-journal", "volume" : "56" }, "uris" : [ "http://www.mendeley.com/documents/?uuid=d942356c-2b01-4a03-ae2b-ecc1811a1b7e", "http://www.mendeley.com/documents/?uuid=913766c8-ba1e-42ce-b0cd-5cf063758a68" ] } ], "mendeley" : { "formattedCitation" : "(Bernstein et al. 1992)", "plainTextFormattedCitation" : "(Bernstein et al. 1992)", "previouslyFormattedCitation" : "(Bernstein et al. 1992)" }, "properties" : {  }, "schema" : "https://github.com/citation-style-language/schema/raw/master/csl-citation.json" }</w:instrText>
      </w:r>
      <w:r w:rsidR="00775D4A">
        <w:fldChar w:fldCharType="separate"/>
      </w:r>
      <w:r w:rsidR="00775D4A" w:rsidRPr="0055768E">
        <w:rPr>
          <w:noProof/>
        </w:rPr>
        <w:t>(Bernstein et al. 1992)</w:t>
      </w:r>
      <w:r w:rsidR="00775D4A">
        <w:fldChar w:fldCharType="end"/>
      </w:r>
      <w:r w:rsidR="00775D4A">
        <w:t xml:space="preserve">. </w:t>
      </w:r>
      <w:r w:rsidR="00775D4A">
        <w:fldChar w:fldCharType="begin" w:fldLock="1"/>
      </w:r>
      <w:r w:rsidR="00B93937">
        <w:instrText>ADDIN CSL_CITATION { "citationItems" : [ { "id" : "ITEM-1", "itemData" : { "DOI" : "10.1093/plankt/17.1.131", "author" : [ { "dropping-particle" : "", "family" : "Michaels", "given" : "Anthony F", "non-dropping-particle" : "", "parse-names" : false, "suffix" : "" }, { "dropping-particle" : "", "family" : "Caron", "given" : "David A", "non-dropping-particle" : "", "parse-names" : false, "suffix" : "" }, { "dropping-particle" : "", "family" : "Swanberg", "given" : "Neil R", "non-dropping-particle" : "", "parse-names" : false, "suffix" : "" }, { "dropping-particle" : "", "family" : "Howse", "given" : "Frances A", "non-dropping-particle" : "", "parse-names" : false, "suffix" : "" }, { "dropping-particle" : "", "family" : "Michaels", "given" : "Claire M", "non-dropping-particle" : "", "parse-names" : false, "suffix" : "" } ], "container-title" : "Journal of Plankton Research", "id" : "ITEM-1", "issue" : "I", "issued" : { "date-parts" : [ [ "1995" ] ] }, "page" : "131-163", "title" : "Planktonic sarcodines (Acantharia, Radiolaria, Foraminifera) in surface waters near Bermuda: abundance, biomass and vertical flux", "type" : "article-journal", "volume" : "17" }, "uris" : [ "http://www.mendeley.com/documents/?uuid=8f479ac4-b687-4360-8760-a9444cfbe29f", "http://www.mendeley.com/documents/?uuid=73d4ec7e-3c52-48b1-a27a-ef47a67ff8c5" ] } ], "mendeley" : { "formattedCitation" : "(Michaels et al. 1995)", "manualFormatting" : "Michaels et al. (1995)", "plainTextFormattedCitation" : "(Michaels et al. 1995)", "previouslyFormattedCitation" : "(Michaels et al. 1995)" }, "properties" : {  }, "schema" : "https://github.com/citation-style-language/schema/raw/master/csl-citation.json" }</w:instrText>
      </w:r>
      <w:r w:rsidR="00775D4A">
        <w:fldChar w:fldCharType="separate"/>
      </w:r>
      <w:r w:rsidR="00775D4A" w:rsidRPr="007B1D2A">
        <w:rPr>
          <w:noProof/>
        </w:rPr>
        <w:t xml:space="preserve">Michaels et al. </w:t>
      </w:r>
      <w:r w:rsidR="00775D4A">
        <w:rPr>
          <w:noProof/>
        </w:rPr>
        <w:t>(</w:t>
      </w:r>
      <w:r w:rsidR="00775D4A" w:rsidRPr="007B1D2A">
        <w:rPr>
          <w:noProof/>
        </w:rPr>
        <w:t>1995)</w:t>
      </w:r>
      <w:r w:rsidR="00775D4A">
        <w:fldChar w:fldCharType="end"/>
      </w:r>
      <w:r w:rsidR="00775D4A">
        <w:t xml:space="preserve"> deployed sediment traps in the Sargasso Sea at 150 m for periods of 2.5-4 days, recording fluxes of acantharia</w:t>
      </w:r>
      <w:r w:rsidR="00C55000">
        <w:t>n</w:t>
      </w:r>
      <w:r w:rsidR="00775D4A">
        <w:t xml:space="preserve"> cysts of &lt;1600 </w:t>
      </w:r>
      <w:r w:rsidR="00775D4A">
        <w:rPr>
          <w:rFonts w:ascii="Cambria" w:eastAsia="Cambria" w:hAnsi="Cambria" w:cs="Cambria"/>
        </w:rPr>
        <w:t>ind. m</w:t>
      </w:r>
      <w:r w:rsidR="00775D4A">
        <w:rPr>
          <w:rFonts w:ascii="Cambria" w:eastAsia="Cambria" w:hAnsi="Cambria" w:cs="Cambria"/>
          <w:vertAlign w:val="superscript"/>
        </w:rPr>
        <w:t>-2</w:t>
      </w:r>
      <w:r w:rsidR="00775D4A">
        <w:rPr>
          <w:rFonts w:ascii="Cambria" w:eastAsia="Cambria" w:hAnsi="Cambria" w:cs="Cambria"/>
        </w:rPr>
        <w:t xml:space="preserve"> d</w:t>
      </w:r>
      <w:r w:rsidR="00775D4A">
        <w:rPr>
          <w:rFonts w:ascii="Cambria" w:eastAsia="Cambria" w:hAnsi="Cambria" w:cs="Cambria"/>
          <w:vertAlign w:val="superscript"/>
        </w:rPr>
        <w:t>-1</w:t>
      </w:r>
      <w:r w:rsidR="00775D4A">
        <w:t xml:space="preserve">, with the exception of one </w:t>
      </w:r>
      <w:r w:rsidR="00775D4A">
        <w:lastRenderedPageBreak/>
        <w:t>very high flux of acantharia</w:t>
      </w:r>
      <w:r w:rsidR="00C55000">
        <w:t>n</w:t>
      </w:r>
      <w:r w:rsidR="00775D4A">
        <w:t xml:space="preserve"> cysts of 12676 </w:t>
      </w:r>
      <w:r w:rsidR="00775D4A">
        <w:rPr>
          <w:rFonts w:ascii="Cambria" w:eastAsia="Cambria" w:hAnsi="Cambria" w:cs="Cambria"/>
        </w:rPr>
        <w:t>ind. m</w:t>
      </w:r>
      <w:r w:rsidR="00775D4A">
        <w:rPr>
          <w:rFonts w:ascii="Cambria" w:eastAsia="Cambria" w:hAnsi="Cambria" w:cs="Cambria"/>
          <w:vertAlign w:val="superscript"/>
        </w:rPr>
        <w:t>-2</w:t>
      </w:r>
      <w:r w:rsidR="00775D4A">
        <w:rPr>
          <w:rFonts w:ascii="Cambria" w:eastAsia="Cambria" w:hAnsi="Cambria" w:cs="Cambria"/>
        </w:rPr>
        <w:t xml:space="preserve"> d</w:t>
      </w:r>
      <w:r w:rsidR="00775D4A">
        <w:rPr>
          <w:rFonts w:ascii="Cambria" w:eastAsia="Cambria" w:hAnsi="Cambria" w:cs="Cambria"/>
          <w:vertAlign w:val="superscript"/>
        </w:rPr>
        <w:t>-1</w:t>
      </w:r>
      <w:r w:rsidR="00775D4A">
        <w:t xml:space="preserve">. As no sediment traps were deployed deeper than 150 m in the study of </w:t>
      </w:r>
      <w:r w:rsidR="00775D4A">
        <w:fldChar w:fldCharType="begin" w:fldLock="1"/>
      </w:r>
      <w:r w:rsidR="00B93937">
        <w:instrText>ADDIN CSL_CITATION { "citationItems" : [ { "id" : "ITEM-1", "itemData" : { "DOI" : "10.1093/plankt/17.1.131", "author" : [ { "dropping-particle" : "", "family" : "Michaels", "given" : "Anthony F", "non-dropping-particle" : "", "parse-names" : false, "suffix" : "" }, { "dropping-particle" : "", "family" : "Caron", "given" : "David A", "non-dropping-particle" : "", "parse-names" : false, "suffix" : "" }, { "dropping-particle" : "", "family" : "Swanberg", "given" : "Neil R", "non-dropping-particle" : "", "parse-names" : false, "suffix" : "" }, { "dropping-particle" : "", "family" : "Howse", "given" : "Frances A", "non-dropping-particle" : "", "parse-names" : false, "suffix" : "" }, { "dropping-particle" : "", "family" : "Michaels", "given" : "Claire M", "non-dropping-particle" : "", "parse-names" : false, "suffix" : "" } ], "container-title" : "Journal of Plankton Research", "id" : "ITEM-1", "issue" : "I", "issued" : { "date-parts" : [ [ "1995" ] ] }, "page" : "131-163", "title" : "Planktonic sarcodines (Acantharia, Radiolaria, Foraminifera) in surface waters near Bermuda: abundance, biomass and vertical flux", "type" : "article-journal", "volume" : "17" }, "uris" : [ "http://www.mendeley.com/documents/?uuid=73d4ec7e-3c52-48b1-a27a-ef47a67ff8c5" ] } ], "mendeley" : { "formattedCitation" : "(Michaels et al. 1995)", "manualFormatting" : "Michaels et al. (1995)", "plainTextFormattedCitation" : "(Michaels et al. 1995)", "previouslyFormattedCitation" : "(Michaels et al. 1995)" }, "properties" : {  }, "schema" : "https://github.com/citation-style-language/schema/raw/master/csl-citation.json" }</w:instrText>
      </w:r>
      <w:r w:rsidR="00775D4A">
        <w:fldChar w:fldCharType="separate"/>
      </w:r>
      <w:r w:rsidR="00775D4A" w:rsidRPr="00B7278F">
        <w:rPr>
          <w:noProof/>
        </w:rPr>
        <w:t xml:space="preserve">Michaels et al. </w:t>
      </w:r>
      <w:r w:rsidR="00775D4A">
        <w:rPr>
          <w:noProof/>
        </w:rPr>
        <w:t>(</w:t>
      </w:r>
      <w:r w:rsidR="00775D4A" w:rsidRPr="00B7278F">
        <w:rPr>
          <w:noProof/>
        </w:rPr>
        <w:t>1995)</w:t>
      </w:r>
      <w:r w:rsidR="00775D4A">
        <w:fldChar w:fldCharType="end"/>
      </w:r>
      <w:r w:rsidR="008127FA">
        <w:t>,</w:t>
      </w:r>
      <w:r w:rsidR="00775D4A">
        <w:t xml:space="preserve"> it is not possible to know if this exceptionally high flux of acantharia</w:t>
      </w:r>
      <w:r w:rsidR="00C55000">
        <w:t>n</w:t>
      </w:r>
      <w:r w:rsidR="00775D4A">
        <w:t xml:space="preserve"> cysts reached bathypelagic</w:t>
      </w:r>
      <w:r w:rsidR="00404B07">
        <w:t xml:space="preserve"> depths</w:t>
      </w:r>
      <w:r w:rsidR="00775D4A">
        <w:t>.</w:t>
      </w:r>
    </w:p>
    <w:p w14:paraId="18B5BC1B" w14:textId="4C603D64" w:rsidR="00E6123D" w:rsidRDefault="00E6123D" w:rsidP="00E6123D">
      <w:pPr>
        <w:pStyle w:val="Caption"/>
      </w:pPr>
      <w:bookmarkStart w:id="4" w:name="_Ref513108367"/>
      <w:r>
        <w:t>Table</w:t>
      </w:r>
      <w:bookmarkEnd w:id="4"/>
      <w:r w:rsidR="00951D42">
        <w:t xml:space="preserve"> 2</w:t>
      </w:r>
      <w:r>
        <w:t>: Comparison of acantharian cyst fluxes measured in the literature</w:t>
      </w:r>
      <w:r w:rsidR="008127FA">
        <w:t>. NA – not measured</w:t>
      </w:r>
      <w:r w:rsidR="00BB19EE">
        <w:t>.</w:t>
      </w:r>
    </w:p>
    <w:tbl>
      <w:tblPr>
        <w:tblStyle w:val="TableGrid"/>
        <w:tblW w:w="0" w:type="auto"/>
        <w:tblLook w:val="04A0" w:firstRow="1" w:lastRow="0" w:firstColumn="1" w:lastColumn="0" w:noHBand="0" w:noVBand="1"/>
      </w:tblPr>
      <w:tblGrid>
        <w:gridCol w:w="1265"/>
        <w:gridCol w:w="1330"/>
        <w:gridCol w:w="831"/>
        <w:gridCol w:w="1531"/>
        <w:gridCol w:w="1824"/>
        <w:gridCol w:w="1509"/>
      </w:tblGrid>
      <w:tr w:rsidR="00E6123D" w14:paraId="66EA38CB" w14:textId="77777777" w:rsidTr="00E6123D">
        <w:tc>
          <w:tcPr>
            <w:tcW w:w="1265" w:type="dxa"/>
            <w:vAlign w:val="center"/>
          </w:tcPr>
          <w:p w14:paraId="0EFE0944" w14:textId="77777777" w:rsidR="00E6123D" w:rsidRPr="00B679A4" w:rsidRDefault="00E6123D" w:rsidP="00E6123D">
            <w:pPr>
              <w:spacing w:line="360" w:lineRule="auto"/>
              <w:jc w:val="center"/>
              <w:rPr>
                <w:rFonts w:ascii="Cambria" w:hAnsi="Cambria"/>
                <w:b/>
              </w:rPr>
            </w:pPr>
            <w:r w:rsidRPr="00B679A4">
              <w:rPr>
                <w:rFonts w:ascii="Cambria" w:hAnsi="Cambria"/>
                <w:b/>
              </w:rPr>
              <w:t>Study</w:t>
            </w:r>
          </w:p>
        </w:tc>
        <w:tc>
          <w:tcPr>
            <w:tcW w:w="1330" w:type="dxa"/>
            <w:vAlign w:val="center"/>
          </w:tcPr>
          <w:p w14:paraId="42B624AF" w14:textId="77777777" w:rsidR="00E6123D" w:rsidRPr="00B679A4" w:rsidRDefault="00E6123D" w:rsidP="00E6123D">
            <w:pPr>
              <w:spacing w:line="360" w:lineRule="auto"/>
              <w:jc w:val="center"/>
              <w:rPr>
                <w:rFonts w:ascii="Cambria" w:hAnsi="Cambria"/>
                <w:b/>
              </w:rPr>
            </w:pPr>
            <w:r w:rsidRPr="00B679A4">
              <w:rPr>
                <w:rFonts w:ascii="Cambria" w:hAnsi="Cambria"/>
                <w:b/>
              </w:rPr>
              <w:t>Location</w:t>
            </w:r>
          </w:p>
        </w:tc>
        <w:tc>
          <w:tcPr>
            <w:tcW w:w="831" w:type="dxa"/>
            <w:vAlign w:val="center"/>
          </w:tcPr>
          <w:p w14:paraId="60AA2324" w14:textId="77777777" w:rsidR="00E6123D" w:rsidRPr="00B679A4" w:rsidRDefault="00E6123D" w:rsidP="00E6123D">
            <w:pPr>
              <w:spacing w:line="360" w:lineRule="auto"/>
              <w:jc w:val="center"/>
              <w:rPr>
                <w:rFonts w:ascii="Cambria" w:hAnsi="Cambria"/>
                <w:b/>
              </w:rPr>
            </w:pPr>
            <w:r w:rsidRPr="00B679A4">
              <w:rPr>
                <w:rFonts w:ascii="Cambria" w:hAnsi="Cambria"/>
                <w:b/>
              </w:rPr>
              <w:t>Depth (m)</w:t>
            </w:r>
          </w:p>
        </w:tc>
        <w:tc>
          <w:tcPr>
            <w:tcW w:w="1531" w:type="dxa"/>
            <w:vAlign w:val="center"/>
          </w:tcPr>
          <w:p w14:paraId="7A13068C" w14:textId="77777777" w:rsidR="00E6123D" w:rsidRPr="00B679A4" w:rsidRDefault="00E6123D" w:rsidP="00E6123D">
            <w:pPr>
              <w:spacing w:after="0" w:line="360" w:lineRule="auto"/>
              <w:jc w:val="center"/>
              <w:rPr>
                <w:rFonts w:ascii="Cambria" w:hAnsi="Cambria"/>
                <w:b/>
              </w:rPr>
            </w:pPr>
            <w:r>
              <w:rPr>
                <w:rFonts w:ascii="Cambria" w:hAnsi="Cambria"/>
                <w:b/>
              </w:rPr>
              <w:t>Maximum a</w:t>
            </w:r>
            <w:r w:rsidRPr="00B679A4">
              <w:rPr>
                <w:rFonts w:ascii="Cambria" w:hAnsi="Cambria"/>
                <w:b/>
              </w:rPr>
              <w:t>cantharian cysts</w:t>
            </w:r>
          </w:p>
          <w:p w14:paraId="46EF2D55" w14:textId="77777777" w:rsidR="00E6123D" w:rsidRPr="00B679A4" w:rsidRDefault="00E6123D" w:rsidP="00E6123D">
            <w:pPr>
              <w:spacing w:line="360" w:lineRule="auto"/>
              <w:jc w:val="center"/>
              <w:rPr>
                <w:rFonts w:ascii="Cambria" w:hAnsi="Cambria"/>
                <w:b/>
              </w:rPr>
            </w:pPr>
            <w:r w:rsidRPr="00B679A4">
              <w:rPr>
                <w:rFonts w:ascii="Cambria" w:hAnsi="Cambria"/>
                <w:b/>
              </w:rPr>
              <w:t>(ind. m</w:t>
            </w:r>
            <w:r w:rsidRPr="00B679A4">
              <w:rPr>
                <w:rFonts w:ascii="Cambria" w:hAnsi="Cambria"/>
                <w:b/>
                <w:vertAlign w:val="superscript"/>
              </w:rPr>
              <w:t xml:space="preserve">-2 </w:t>
            </w:r>
            <w:r w:rsidRPr="00B679A4">
              <w:rPr>
                <w:rFonts w:ascii="Cambria" w:hAnsi="Cambria"/>
                <w:b/>
              </w:rPr>
              <w:t>d</w:t>
            </w:r>
            <w:r w:rsidRPr="00B679A4">
              <w:rPr>
                <w:rFonts w:ascii="Cambria" w:hAnsi="Cambria"/>
                <w:b/>
                <w:vertAlign w:val="superscript"/>
              </w:rPr>
              <w:t>-1</w:t>
            </w:r>
            <w:r w:rsidRPr="00B679A4">
              <w:rPr>
                <w:rFonts w:ascii="Cambria" w:hAnsi="Cambria"/>
                <w:b/>
              </w:rPr>
              <w:t>)</w:t>
            </w:r>
          </w:p>
        </w:tc>
        <w:tc>
          <w:tcPr>
            <w:tcW w:w="1824" w:type="dxa"/>
            <w:vAlign w:val="center"/>
          </w:tcPr>
          <w:p w14:paraId="60AAF51C" w14:textId="77777777" w:rsidR="00E6123D" w:rsidRPr="00B679A4" w:rsidRDefault="00E6123D" w:rsidP="00E6123D">
            <w:pPr>
              <w:spacing w:after="0" w:line="360" w:lineRule="auto"/>
              <w:jc w:val="center"/>
              <w:rPr>
                <w:rFonts w:ascii="Cambria" w:hAnsi="Cambria"/>
                <w:b/>
              </w:rPr>
            </w:pPr>
            <w:r>
              <w:rPr>
                <w:rFonts w:ascii="Cambria" w:hAnsi="Cambria"/>
                <w:b/>
              </w:rPr>
              <w:t>Maximum a</w:t>
            </w:r>
            <w:r w:rsidRPr="00B679A4">
              <w:rPr>
                <w:rFonts w:ascii="Cambria" w:hAnsi="Cambria"/>
                <w:b/>
              </w:rPr>
              <w:t>cantharian cyst carbon flux</w:t>
            </w:r>
          </w:p>
          <w:p w14:paraId="198A2E35" w14:textId="77777777" w:rsidR="00E6123D" w:rsidRPr="00B679A4" w:rsidRDefault="00E6123D" w:rsidP="00E6123D">
            <w:pPr>
              <w:spacing w:line="360" w:lineRule="auto"/>
              <w:jc w:val="center"/>
              <w:rPr>
                <w:rFonts w:ascii="Cambria" w:hAnsi="Cambria"/>
                <w:b/>
              </w:rPr>
            </w:pPr>
            <w:r w:rsidRPr="00B679A4">
              <w:rPr>
                <w:rFonts w:ascii="Cambria" w:hAnsi="Cambria"/>
                <w:b/>
              </w:rPr>
              <w:t>(mg C m</w:t>
            </w:r>
            <w:r w:rsidRPr="00B679A4">
              <w:rPr>
                <w:rFonts w:ascii="Cambria" w:hAnsi="Cambria"/>
                <w:b/>
                <w:vertAlign w:val="superscript"/>
              </w:rPr>
              <w:t xml:space="preserve">-2 </w:t>
            </w:r>
            <w:r w:rsidRPr="00B679A4">
              <w:rPr>
                <w:rFonts w:ascii="Cambria" w:hAnsi="Cambria"/>
                <w:b/>
              </w:rPr>
              <w:t>d</w:t>
            </w:r>
            <w:r w:rsidRPr="00B679A4">
              <w:rPr>
                <w:rFonts w:ascii="Cambria" w:hAnsi="Cambria"/>
                <w:b/>
                <w:vertAlign w:val="superscript"/>
              </w:rPr>
              <w:t>-1</w:t>
            </w:r>
            <w:r w:rsidRPr="00B679A4">
              <w:rPr>
                <w:rFonts w:ascii="Cambria" w:hAnsi="Cambria"/>
                <w:b/>
              </w:rPr>
              <w:t>)</w:t>
            </w:r>
          </w:p>
        </w:tc>
        <w:tc>
          <w:tcPr>
            <w:tcW w:w="1509" w:type="dxa"/>
            <w:vAlign w:val="center"/>
          </w:tcPr>
          <w:p w14:paraId="651B6478" w14:textId="77777777" w:rsidR="00E6123D" w:rsidRPr="00B679A4" w:rsidRDefault="00E6123D" w:rsidP="00E6123D">
            <w:pPr>
              <w:spacing w:line="360" w:lineRule="auto"/>
              <w:jc w:val="center"/>
              <w:rPr>
                <w:rFonts w:ascii="Cambria" w:hAnsi="Cambria"/>
                <w:b/>
              </w:rPr>
            </w:pPr>
            <w:r>
              <w:rPr>
                <w:rFonts w:ascii="Cambria" w:hAnsi="Cambria"/>
                <w:b/>
              </w:rPr>
              <w:t>Maximum c</w:t>
            </w:r>
            <w:r w:rsidRPr="00B679A4">
              <w:rPr>
                <w:rFonts w:ascii="Cambria" w:hAnsi="Cambria"/>
                <w:b/>
              </w:rPr>
              <w:t>ontribution to POC flux</w:t>
            </w:r>
            <w:r>
              <w:rPr>
                <w:rFonts w:ascii="Cambria" w:hAnsi="Cambria"/>
                <w:b/>
              </w:rPr>
              <w:t xml:space="preserve"> (%)</w:t>
            </w:r>
          </w:p>
        </w:tc>
      </w:tr>
      <w:tr w:rsidR="00E6123D" w14:paraId="27FF2DB2" w14:textId="77777777" w:rsidTr="00E6123D">
        <w:tc>
          <w:tcPr>
            <w:tcW w:w="1265" w:type="dxa"/>
            <w:vAlign w:val="center"/>
          </w:tcPr>
          <w:p w14:paraId="42919E7C"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This Study</w:t>
            </w:r>
          </w:p>
        </w:tc>
        <w:tc>
          <w:tcPr>
            <w:tcW w:w="1330" w:type="dxa"/>
            <w:vAlign w:val="center"/>
          </w:tcPr>
          <w:p w14:paraId="6779D39C"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Scotia Sea</w:t>
            </w:r>
          </w:p>
        </w:tc>
        <w:tc>
          <w:tcPr>
            <w:tcW w:w="831" w:type="dxa"/>
            <w:vAlign w:val="center"/>
          </w:tcPr>
          <w:p w14:paraId="47B7FC56"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1500</w:t>
            </w:r>
          </w:p>
        </w:tc>
        <w:tc>
          <w:tcPr>
            <w:tcW w:w="1531" w:type="dxa"/>
            <w:vAlign w:val="center"/>
          </w:tcPr>
          <w:p w14:paraId="785841F6" w14:textId="77777777" w:rsidR="00E6123D" w:rsidRPr="00775983" w:rsidRDefault="00E6123D" w:rsidP="00E6123D">
            <w:pPr>
              <w:spacing w:after="0" w:line="360" w:lineRule="auto"/>
              <w:jc w:val="center"/>
              <w:rPr>
                <w:rFonts w:ascii="Cambria" w:hAnsi="Cambria"/>
                <w:color w:val="000000"/>
              </w:rPr>
            </w:pPr>
            <w:r w:rsidRPr="0096146A">
              <w:rPr>
                <w:rFonts w:ascii="Cambria" w:hAnsi="Cambria"/>
                <w:color w:val="000000"/>
              </w:rPr>
              <w:t>27</w:t>
            </w:r>
            <w:r>
              <w:rPr>
                <w:rFonts w:ascii="Cambria" w:hAnsi="Cambria"/>
                <w:color w:val="000000"/>
              </w:rPr>
              <w:t>06</w:t>
            </w:r>
          </w:p>
        </w:tc>
        <w:tc>
          <w:tcPr>
            <w:tcW w:w="1824" w:type="dxa"/>
            <w:vAlign w:val="center"/>
          </w:tcPr>
          <w:p w14:paraId="6CE76896" w14:textId="77777777" w:rsidR="00E6123D" w:rsidRPr="00775983" w:rsidRDefault="00E6123D" w:rsidP="00E6123D">
            <w:pPr>
              <w:spacing w:after="0" w:line="360" w:lineRule="auto"/>
              <w:jc w:val="center"/>
              <w:rPr>
                <w:rFonts w:ascii="Cambria" w:hAnsi="Cambria"/>
                <w:color w:val="000000"/>
              </w:rPr>
            </w:pPr>
            <w:r>
              <w:rPr>
                <w:rFonts w:ascii="Cambria" w:hAnsi="Cambria"/>
                <w:color w:val="000000"/>
              </w:rPr>
              <w:t>5.11</w:t>
            </w:r>
          </w:p>
        </w:tc>
        <w:tc>
          <w:tcPr>
            <w:tcW w:w="1509" w:type="dxa"/>
            <w:vAlign w:val="center"/>
          </w:tcPr>
          <w:p w14:paraId="04A423D4"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2</w:t>
            </w:r>
            <w:r>
              <w:rPr>
                <w:rFonts w:ascii="Cambria" w:hAnsi="Cambria"/>
                <w:color w:val="000000"/>
              </w:rPr>
              <w:t>6</w:t>
            </w:r>
          </w:p>
        </w:tc>
      </w:tr>
      <w:tr w:rsidR="00E6123D" w14:paraId="450EBE96" w14:textId="77777777" w:rsidTr="00E6123D">
        <w:tc>
          <w:tcPr>
            <w:tcW w:w="1265" w:type="dxa"/>
            <w:vAlign w:val="center"/>
          </w:tcPr>
          <w:p w14:paraId="0388C98E"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Martin et al. (2010)</w:t>
            </w:r>
          </w:p>
        </w:tc>
        <w:tc>
          <w:tcPr>
            <w:tcW w:w="1330" w:type="dxa"/>
            <w:vAlign w:val="center"/>
          </w:tcPr>
          <w:p w14:paraId="31A8EF6E"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Iceland Basin</w:t>
            </w:r>
          </w:p>
        </w:tc>
        <w:tc>
          <w:tcPr>
            <w:tcW w:w="831" w:type="dxa"/>
            <w:vAlign w:val="center"/>
          </w:tcPr>
          <w:p w14:paraId="38F61432"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2000</w:t>
            </w:r>
          </w:p>
        </w:tc>
        <w:tc>
          <w:tcPr>
            <w:tcW w:w="1531" w:type="dxa"/>
            <w:vAlign w:val="center"/>
          </w:tcPr>
          <w:p w14:paraId="537195B5"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577</w:t>
            </w:r>
          </w:p>
        </w:tc>
        <w:tc>
          <w:tcPr>
            <w:tcW w:w="1824" w:type="dxa"/>
            <w:vAlign w:val="center"/>
          </w:tcPr>
          <w:p w14:paraId="47892EE6"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0.45</w:t>
            </w:r>
          </w:p>
        </w:tc>
        <w:tc>
          <w:tcPr>
            <w:tcW w:w="1509" w:type="dxa"/>
            <w:vAlign w:val="center"/>
          </w:tcPr>
          <w:p w14:paraId="74D907D7"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48</w:t>
            </w:r>
          </w:p>
        </w:tc>
      </w:tr>
      <w:tr w:rsidR="00E6123D" w14:paraId="681005BB" w14:textId="77777777" w:rsidTr="00E6123D">
        <w:tc>
          <w:tcPr>
            <w:tcW w:w="1265" w:type="dxa"/>
            <w:vMerge w:val="restart"/>
            <w:vAlign w:val="center"/>
          </w:tcPr>
          <w:p w14:paraId="61B26784"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Antia et al. (1993)</w:t>
            </w:r>
          </w:p>
        </w:tc>
        <w:tc>
          <w:tcPr>
            <w:tcW w:w="1330" w:type="dxa"/>
            <w:vMerge w:val="restart"/>
            <w:vAlign w:val="center"/>
          </w:tcPr>
          <w:p w14:paraId="143A29CB"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Greenland Sea</w:t>
            </w:r>
          </w:p>
        </w:tc>
        <w:tc>
          <w:tcPr>
            <w:tcW w:w="831" w:type="dxa"/>
            <w:vAlign w:val="center"/>
          </w:tcPr>
          <w:p w14:paraId="1662075F"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100</w:t>
            </w:r>
          </w:p>
        </w:tc>
        <w:tc>
          <w:tcPr>
            <w:tcW w:w="1531" w:type="dxa"/>
            <w:vAlign w:val="center"/>
          </w:tcPr>
          <w:p w14:paraId="49C18AF2"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33000</w:t>
            </w:r>
          </w:p>
        </w:tc>
        <w:tc>
          <w:tcPr>
            <w:tcW w:w="1824" w:type="dxa"/>
            <w:vAlign w:val="center"/>
          </w:tcPr>
          <w:p w14:paraId="20FC520A"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10.8</w:t>
            </w:r>
          </w:p>
        </w:tc>
        <w:tc>
          <w:tcPr>
            <w:tcW w:w="1509" w:type="dxa"/>
            <w:vAlign w:val="center"/>
          </w:tcPr>
          <w:p w14:paraId="0AE4013C"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32</w:t>
            </w:r>
          </w:p>
        </w:tc>
      </w:tr>
      <w:tr w:rsidR="00E6123D" w14:paraId="31F45BCE" w14:textId="77777777" w:rsidTr="00E6123D">
        <w:tc>
          <w:tcPr>
            <w:tcW w:w="1265" w:type="dxa"/>
            <w:vMerge/>
            <w:vAlign w:val="center"/>
          </w:tcPr>
          <w:p w14:paraId="49B8B3D8" w14:textId="77777777" w:rsidR="00E6123D" w:rsidRPr="00775983" w:rsidRDefault="00E6123D" w:rsidP="00E6123D">
            <w:pPr>
              <w:spacing w:after="0" w:line="360" w:lineRule="auto"/>
              <w:jc w:val="center"/>
              <w:rPr>
                <w:rFonts w:ascii="Cambria" w:hAnsi="Cambria"/>
                <w:color w:val="000000"/>
              </w:rPr>
            </w:pPr>
          </w:p>
        </w:tc>
        <w:tc>
          <w:tcPr>
            <w:tcW w:w="1330" w:type="dxa"/>
            <w:vMerge/>
            <w:vAlign w:val="center"/>
          </w:tcPr>
          <w:p w14:paraId="4DD8484C" w14:textId="77777777" w:rsidR="00E6123D" w:rsidRPr="00775983" w:rsidRDefault="00E6123D" w:rsidP="00E6123D">
            <w:pPr>
              <w:spacing w:after="0" w:line="360" w:lineRule="auto"/>
              <w:jc w:val="center"/>
              <w:rPr>
                <w:rFonts w:ascii="Cambria" w:hAnsi="Cambria"/>
                <w:color w:val="000000"/>
              </w:rPr>
            </w:pPr>
          </w:p>
        </w:tc>
        <w:tc>
          <w:tcPr>
            <w:tcW w:w="831" w:type="dxa"/>
            <w:vAlign w:val="center"/>
          </w:tcPr>
          <w:p w14:paraId="7D5A7BD9"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500</w:t>
            </w:r>
          </w:p>
        </w:tc>
        <w:tc>
          <w:tcPr>
            <w:tcW w:w="1531" w:type="dxa"/>
            <w:vAlign w:val="center"/>
          </w:tcPr>
          <w:p w14:paraId="134E37C9"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3000</w:t>
            </w:r>
          </w:p>
        </w:tc>
        <w:tc>
          <w:tcPr>
            <w:tcW w:w="1824" w:type="dxa"/>
            <w:vAlign w:val="center"/>
          </w:tcPr>
          <w:p w14:paraId="3ABEC88D"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1.2</w:t>
            </w:r>
          </w:p>
        </w:tc>
        <w:tc>
          <w:tcPr>
            <w:tcW w:w="1509" w:type="dxa"/>
            <w:vAlign w:val="center"/>
          </w:tcPr>
          <w:p w14:paraId="44209B58"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5</w:t>
            </w:r>
          </w:p>
        </w:tc>
      </w:tr>
      <w:tr w:rsidR="00E6123D" w14:paraId="23565C50" w14:textId="77777777" w:rsidTr="00E6123D">
        <w:tc>
          <w:tcPr>
            <w:tcW w:w="1265" w:type="dxa"/>
            <w:vMerge/>
            <w:vAlign w:val="center"/>
          </w:tcPr>
          <w:p w14:paraId="0672C9B4" w14:textId="77777777" w:rsidR="00E6123D" w:rsidRPr="00775983" w:rsidRDefault="00E6123D" w:rsidP="00E6123D">
            <w:pPr>
              <w:spacing w:after="0" w:line="360" w:lineRule="auto"/>
              <w:jc w:val="center"/>
              <w:rPr>
                <w:rFonts w:ascii="Cambria" w:hAnsi="Cambria"/>
                <w:color w:val="000000"/>
              </w:rPr>
            </w:pPr>
          </w:p>
        </w:tc>
        <w:tc>
          <w:tcPr>
            <w:tcW w:w="1330" w:type="dxa"/>
            <w:vMerge/>
            <w:vAlign w:val="center"/>
          </w:tcPr>
          <w:p w14:paraId="7CB0A606" w14:textId="77777777" w:rsidR="00E6123D" w:rsidRPr="00775983" w:rsidRDefault="00E6123D" w:rsidP="00E6123D">
            <w:pPr>
              <w:spacing w:after="0" w:line="360" w:lineRule="auto"/>
              <w:jc w:val="center"/>
              <w:rPr>
                <w:rFonts w:ascii="Cambria" w:hAnsi="Cambria"/>
                <w:color w:val="000000"/>
              </w:rPr>
            </w:pPr>
          </w:p>
        </w:tc>
        <w:tc>
          <w:tcPr>
            <w:tcW w:w="831" w:type="dxa"/>
            <w:vAlign w:val="center"/>
          </w:tcPr>
          <w:p w14:paraId="1FDE37C2"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1000</w:t>
            </w:r>
          </w:p>
        </w:tc>
        <w:tc>
          <w:tcPr>
            <w:tcW w:w="1531" w:type="dxa"/>
            <w:vAlign w:val="center"/>
          </w:tcPr>
          <w:p w14:paraId="2B0DBF75"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349</w:t>
            </w:r>
          </w:p>
        </w:tc>
        <w:tc>
          <w:tcPr>
            <w:tcW w:w="1824" w:type="dxa"/>
            <w:vAlign w:val="center"/>
          </w:tcPr>
          <w:p w14:paraId="4976A4E6"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0.13</w:t>
            </w:r>
          </w:p>
        </w:tc>
        <w:tc>
          <w:tcPr>
            <w:tcW w:w="1509" w:type="dxa"/>
            <w:vAlign w:val="center"/>
          </w:tcPr>
          <w:p w14:paraId="67A0EAA3"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0.9</w:t>
            </w:r>
          </w:p>
        </w:tc>
      </w:tr>
      <w:tr w:rsidR="00E6123D" w14:paraId="004C16CC" w14:textId="77777777" w:rsidTr="00E6123D">
        <w:tc>
          <w:tcPr>
            <w:tcW w:w="1265" w:type="dxa"/>
            <w:vMerge/>
            <w:vAlign w:val="center"/>
          </w:tcPr>
          <w:p w14:paraId="43202E85" w14:textId="77777777" w:rsidR="00E6123D" w:rsidRPr="00775983" w:rsidRDefault="00E6123D" w:rsidP="00E6123D">
            <w:pPr>
              <w:spacing w:after="0" w:line="360" w:lineRule="auto"/>
              <w:jc w:val="center"/>
              <w:rPr>
                <w:rFonts w:ascii="Cambria" w:hAnsi="Cambria"/>
                <w:color w:val="000000"/>
              </w:rPr>
            </w:pPr>
          </w:p>
        </w:tc>
        <w:tc>
          <w:tcPr>
            <w:tcW w:w="1330" w:type="dxa"/>
            <w:vMerge/>
            <w:vAlign w:val="center"/>
          </w:tcPr>
          <w:p w14:paraId="44A58CC4" w14:textId="77777777" w:rsidR="00E6123D" w:rsidRPr="00775983" w:rsidRDefault="00E6123D" w:rsidP="00E6123D">
            <w:pPr>
              <w:spacing w:after="0" w:line="360" w:lineRule="auto"/>
              <w:jc w:val="center"/>
              <w:rPr>
                <w:rFonts w:ascii="Cambria" w:hAnsi="Cambria"/>
                <w:color w:val="000000"/>
              </w:rPr>
            </w:pPr>
          </w:p>
        </w:tc>
        <w:tc>
          <w:tcPr>
            <w:tcW w:w="831" w:type="dxa"/>
            <w:vAlign w:val="center"/>
          </w:tcPr>
          <w:p w14:paraId="1E161CFD"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2200</w:t>
            </w:r>
          </w:p>
        </w:tc>
        <w:tc>
          <w:tcPr>
            <w:tcW w:w="1531" w:type="dxa"/>
            <w:vAlign w:val="center"/>
          </w:tcPr>
          <w:p w14:paraId="5162CAF5"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15</w:t>
            </w:r>
          </w:p>
        </w:tc>
        <w:tc>
          <w:tcPr>
            <w:tcW w:w="1824" w:type="dxa"/>
            <w:vAlign w:val="center"/>
          </w:tcPr>
          <w:p w14:paraId="561109EB"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0.005</w:t>
            </w:r>
          </w:p>
        </w:tc>
        <w:tc>
          <w:tcPr>
            <w:tcW w:w="1509" w:type="dxa"/>
            <w:vAlign w:val="center"/>
          </w:tcPr>
          <w:p w14:paraId="66B6724E"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&lt;0.1</w:t>
            </w:r>
          </w:p>
        </w:tc>
      </w:tr>
      <w:tr w:rsidR="00E6123D" w14:paraId="20E89DF5" w14:textId="77777777" w:rsidTr="00E6123D">
        <w:tc>
          <w:tcPr>
            <w:tcW w:w="1265" w:type="dxa"/>
            <w:vAlign w:val="center"/>
          </w:tcPr>
          <w:p w14:paraId="02133846"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Michaels et al. (1995)</w:t>
            </w:r>
          </w:p>
        </w:tc>
        <w:tc>
          <w:tcPr>
            <w:tcW w:w="1330" w:type="dxa"/>
            <w:vAlign w:val="center"/>
          </w:tcPr>
          <w:p w14:paraId="366296B2"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Sargasso Sea</w:t>
            </w:r>
          </w:p>
        </w:tc>
        <w:tc>
          <w:tcPr>
            <w:tcW w:w="831" w:type="dxa"/>
            <w:vAlign w:val="center"/>
          </w:tcPr>
          <w:p w14:paraId="7F3BF487"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150</w:t>
            </w:r>
          </w:p>
        </w:tc>
        <w:tc>
          <w:tcPr>
            <w:tcW w:w="1531" w:type="dxa"/>
            <w:vAlign w:val="center"/>
          </w:tcPr>
          <w:p w14:paraId="3A20E311"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12676</w:t>
            </w:r>
          </w:p>
        </w:tc>
        <w:tc>
          <w:tcPr>
            <w:tcW w:w="1824" w:type="dxa"/>
            <w:vAlign w:val="center"/>
          </w:tcPr>
          <w:p w14:paraId="1AB3DF1E"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0.74</w:t>
            </w:r>
          </w:p>
        </w:tc>
        <w:tc>
          <w:tcPr>
            <w:tcW w:w="1509" w:type="dxa"/>
            <w:vAlign w:val="center"/>
          </w:tcPr>
          <w:p w14:paraId="01833082"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0.5</w:t>
            </w:r>
          </w:p>
        </w:tc>
      </w:tr>
      <w:tr w:rsidR="00E6123D" w14:paraId="35D65006" w14:textId="77777777" w:rsidTr="00E6123D">
        <w:tc>
          <w:tcPr>
            <w:tcW w:w="1265" w:type="dxa"/>
            <w:vMerge w:val="restart"/>
            <w:vAlign w:val="center"/>
          </w:tcPr>
          <w:p w14:paraId="1700725C"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Bernstein et al. 1992</w:t>
            </w:r>
          </w:p>
        </w:tc>
        <w:tc>
          <w:tcPr>
            <w:tcW w:w="1330" w:type="dxa"/>
            <w:vMerge w:val="restart"/>
            <w:vAlign w:val="center"/>
          </w:tcPr>
          <w:p w14:paraId="072FF4CD"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Sargasso Sea</w:t>
            </w:r>
          </w:p>
        </w:tc>
        <w:tc>
          <w:tcPr>
            <w:tcW w:w="831" w:type="dxa"/>
            <w:vAlign w:val="center"/>
          </w:tcPr>
          <w:p w14:paraId="55CF0F3C"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400</w:t>
            </w:r>
          </w:p>
        </w:tc>
        <w:tc>
          <w:tcPr>
            <w:tcW w:w="1531" w:type="dxa"/>
            <w:vAlign w:val="center"/>
          </w:tcPr>
          <w:p w14:paraId="0388602F"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1420</w:t>
            </w:r>
          </w:p>
        </w:tc>
        <w:tc>
          <w:tcPr>
            <w:tcW w:w="1824" w:type="dxa"/>
            <w:vAlign w:val="center"/>
          </w:tcPr>
          <w:p w14:paraId="21DE8BBF" w14:textId="0DF7807D" w:rsidR="00E6123D" w:rsidRPr="00775983" w:rsidRDefault="008127FA" w:rsidP="00E6123D">
            <w:pPr>
              <w:spacing w:after="0" w:line="360" w:lineRule="auto"/>
              <w:jc w:val="center"/>
              <w:rPr>
                <w:rFonts w:ascii="Cambria" w:hAnsi="Cambria"/>
                <w:color w:val="000000"/>
              </w:rPr>
            </w:pPr>
            <w:r>
              <w:rPr>
                <w:rFonts w:ascii="Cambria" w:hAnsi="Cambria"/>
                <w:color w:val="000000"/>
              </w:rPr>
              <w:t>NA</w:t>
            </w:r>
          </w:p>
        </w:tc>
        <w:tc>
          <w:tcPr>
            <w:tcW w:w="1509" w:type="dxa"/>
            <w:vAlign w:val="center"/>
          </w:tcPr>
          <w:p w14:paraId="71A3D95A" w14:textId="38C928CE" w:rsidR="00E6123D" w:rsidRPr="00775983" w:rsidRDefault="008127FA" w:rsidP="00E6123D">
            <w:pPr>
              <w:spacing w:after="0" w:line="360" w:lineRule="auto"/>
              <w:jc w:val="center"/>
              <w:rPr>
                <w:rFonts w:ascii="Cambria" w:hAnsi="Cambria"/>
                <w:color w:val="000000"/>
              </w:rPr>
            </w:pPr>
            <w:r>
              <w:rPr>
                <w:rFonts w:ascii="Cambria" w:hAnsi="Cambria"/>
                <w:color w:val="000000"/>
              </w:rPr>
              <w:t>NA</w:t>
            </w:r>
          </w:p>
        </w:tc>
      </w:tr>
      <w:tr w:rsidR="00E6123D" w14:paraId="5FB10B1D" w14:textId="77777777" w:rsidTr="00E6123D">
        <w:tc>
          <w:tcPr>
            <w:tcW w:w="1265" w:type="dxa"/>
            <w:vMerge/>
            <w:vAlign w:val="center"/>
          </w:tcPr>
          <w:p w14:paraId="79C8D99B" w14:textId="77777777" w:rsidR="00E6123D" w:rsidRPr="00775983" w:rsidRDefault="00E6123D" w:rsidP="00E6123D">
            <w:pPr>
              <w:spacing w:after="0" w:line="360" w:lineRule="auto"/>
              <w:jc w:val="center"/>
              <w:rPr>
                <w:rFonts w:ascii="Cambria" w:hAnsi="Cambria"/>
                <w:color w:val="000000"/>
              </w:rPr>
            </w:pPr>
          </w:p>
        </w:tc>
        <w:tc>
          <w:tcPr>
            <w:tcW w:w="1330" w:type="dxa"/>
            <w:vMerge/>
            <w:vAlign w:val="center"/>
          </w:tcPr>
          <w:p w14:paraId="295110F0" w14:textId="77777777" w:rsidR="00E6123D" w:rsidRPr="00775983" w:rsidRDefault="00E6123D" w:rsidP="00E6123D">
            <w:pPr>
              <w:spacing w:after="0" w:line="360" w:lineRule="auto"/>
              <w:jc w:val="center"/>
              <w:rPr>
                <w:rFonts w:ascii="Cambria" w:hAnsi="Cambria"/>
                <w:color w:val="000000"/>
              </w:rPr>
            </w:pPr>
          </w:p>
        </w:tc>
        <w:tc>
          <w:tcPr>
            <w:tcW w:w="831" w:type="dxa"/>
            <w:vAlign w:val="center"/>
          </w:tcPr>
          <w:p w14:paraId="260383F5"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1500</w:t>
            </w:r>
          </w:p>
        </w:tc>
        <w:tc>
          <w:tcPr>
            <w:tcW w:w="1531" w:type="dxa"/>
            <w:vAlign w:val="center"/>
          </w:tcPr>
          <w:p w14:paraId="6FEA0D64" w14:textId="77777777" w:rsidR="00E6123D" w:rsidRPr="00775983" w:rsidRDefault="00E6123D" w:rsidP="00E6123D">
            <w:pPr>
              <w:spacing w:after="0" w:line="360" w:lineRule="auto"/>
              <w:jc w:val="center"/>
              <w:rPr>
                <w:rFonts w:ascii="Cambria" w:hAnsi="Cambria"/>
                <w:color w:val="000000"/>
              </w:rPr>
            </w:pPr>
            <w:r w:rsidRPr="00775983">
              <w:rPr>
                <w:rFonts w:ascii="Cambria" w:hAnsi="Cambria"/>
                <w:color w:val="000000"/>
              </w:rPr>
              <w:t>8</w:t>
            </w:r>
          </w:p>
        </w:tc>
        <w:tc>
          <w:tcPr>
            <w:tcW w:w="1824" w:type="dxa"/>
            <w:vAlign w:val="center"/>
          </w:tcPr>
          <w:p w14:paraId="0110A8CC" w14:textId="405AFCD0" w:rsidR="00E6123D" w:rsidRPr="00775983" w:rsidRDefault="008127FA" w:rsidP="00E6123D">
            <w:pPr>
              <w:spacing w:after="0" w:line="360" w:lineRule="auto"/>
              <w:jc w:val="center"/>
              <w:rPr>
                <w:rFonts w:ascii="Cambria" w:hAnsi="Cambria"/>
                <w:color w:val="000000"/>
              </w:rPr>
            </w:pPr>
            <w:r>
              <w:rPr>
                <w:rFonts w:ascii="Cambria" w:hAnsi="Cambria"/>
                <w:color w:val="000000"/>
              </w:rPr>
              <w:t>NA</w:t>
            </w:r>
          </w:p>
        </w:tc>
        <w:tc>
          <w:tcPr>
            <w:tcW w:w="1509" w:type="dxa"/>
            <w:vAlign w:val="center"/>
          </w:tcPr>
          <w:p w14:paraId="77284A23" w14:textId="6672DDCF" w:rsidR="00E6123D" w:rsidRPr="00775983" w:rsidRDefault="008127FA" w:rsidP="00E6123D">
            <w:pPr>
              <w:spacing w:after="0" w:line="360" w:lineRule="auto"/>
              <w:jc w:val="center"/>
              <w:rPr>
                <w:rFonts w:ascii="Cambria" w:hAnsi="Cambria"/>
                <w:color w:val="000000"/>
              </w:rPr>
            </w:pPr>
            <w:r>
              <w:rPr>
                <w:rFonts w:ascii="Cambria" w:hAnsi="Cambria"/>
                <w:color w:val="000000"/>
              </w:rPr>
              <w:t>NA</w:t>
            </w:r>
          </w:p>
        </w:tc>
      </w:tr>
    </w:tbl>
    <w:p w14:paraId="49F96503" w14:textId="698FDAA3" w:rsidR="006517E6" w:rsidRDefault="006517E6" w:rsidP="000C32D3">
      <w:pPr>
        <w:spacing w:line="360" w:lineRule="auto"/>
      </w:pPr>
    </w:p>
    <w:p w14:paraId="3E069C96" w14:textId="5248FD86" w:rsidR="008127FA" w:rsidRDefault="00775D4A" w:rsidP="008127FA">
      <w:pPr>
        <w:spacing w:line="360" w:lineRule="auto"/>
      </w:pPr>
      <w:bookmarkStart w:id="5" w:name="_Ref349313815"/>
      <w:r>
        <w:t>We identified t</w:t>
      </w:r>
      <w:r w:rsidR="007B49D4">
        <w:t>wo different morphologies of acantharia</w:t>
      </w:r>
      <w:r w:rsidR="00C55000">
        <w:t>n</w:t>
      </w:r>
      <w:r w:rsidR="007B49D4">
        <w:t xml:space="preserve"> cyst</w:t>
      </w:r>
      <w:r w:rsidR="005E382E">
        <w:t xml:space="preserve"> </w:t>
      </w:r>
      <w:r>
        <w:t>in our sediment trap samples</w:t>
      </w:r>
      <w:r w:rsidR="007B49D4">
        <w:t>, round and oval, and these were classified into small and large size classes (</w:t>
      </w:r>
      <w:r w:rsidR="00FE0510">
        <w:t xml:space="preserve">Fig. 2, </w:t>
      </w:r>
      <w:r w:rsidR="008127FA">
        <w:t>Table 3</w:t>
      </w:r>
      <w:r w:rsidR="007B49D4">
        <w:t xml:space="preserve">). </w:t>
      </w:r>
      <w:r w:rsidR="006F1513">
        <w:t>Oval acantharia</w:t>
      </w:r>
      <w:r w:rsidR="00C55000">
        <w:t>n</w:t>
      </w:r>
      <w:r w:rsidR="006F1513">
        <w:t xml:space="preserve"> cysts were identified as belonging to the order </w:t>
      </w:r>
      <w:r w:rsidR="00794616" w:rsidRPr="00B32770">
        <w:t>Holacanthida</w:t>
      </w:r>
      <w:r w:rsidR="006F1513" w:rsidRPr="00B32770">
        <w:t>, and round cysts to Chaunacanthida.</w:t>
      </w:r>
      <w:r w:rsidR="003A1472" w:rsidRPr="00B32770">
        <w:t xml:space="preserve"> </w:t>
      </w:r>
      <w:r w:rsidR="00B32770" w:rsidRPr="00B32770">
        <w:t xml:space="preserve">Cysts of similar morphology have previously been observed in the Weddell Sea, Antarctica with most occurring between 100 and 300 m </w:t>
      </w:r>
      <w:r w:rsidR="00B32770" w:rsidRPr="00B32770">
        <w:fldChar w:fldCharType="begin" w:fldLock="1"/>
      </w:r>
      <w:r w:rsidR="00B93937">
        <w:instrText>ADDIN CSL_CITATION { "citationItems" : [ { "id" : "ITEM-1", "itemData" : { "DOI" : "10.1016/0377-8398(90)90011-A", "ISBN" : "03778398", "ISSN" : "03778398", "abstract" : "Large numbers of acantharian cysts, up to more than 30 individuals per m3, were collected during the austral summer (January-February) 1985 in the Weddell Sea, Antarctica by a multiple open-closing plankton net system. Stations were sampled 17 days later in the season and revealed slightly higher abundances of cysts. Samples collected in the same region during winter and spring 1986 (July-November) contained no acantharian cysts. The numbers of cysts decreased from open ocean conditions to locations close to the ice shelf coast. Cysts were most abundant in water depths between 100 and 300 meters. The morphology of the cysts, constructed from differently shaped strontium sulfate plates or from amorphous strontium sulfate, is described and the taxonomy of the different types discussed. \u00a9 1990 Elsevier Science Publishers B.V.", "author" : [ { "dropping-particle" : "", "family" : "Spindler", "given" : "Michael", "non-dropping-particle" : "", "parse-names" : false, "suffix" : "" }, { "dropping-particle" : "", "family" : "Beyer", "given" : "Kerstin", "non-dropping-particle" : "", "parse-names" : false, "suffix" : "" } ], "container-title" : "Marine Micropaleontology", "id" : "ITEM-1", "issue" : "3-4", "issued" : { "date-parts" : [ [ "1990" ] ] }, "page" : "209-218", "title" : "Distribution, abundance and diversity of Antarctic acantharian cysts", "type" : "article-journal", "volume" : "15" }, "uris" : [ "http://www.mendeley.com/documents/?uuid=4ef16628-acc8-4453-8354-70921c7dfca4" ] } ], "mendeley" : { "formattedCitation" : "(Spindler and Beyer 1990)", "plainTextFormattedCitation" : "(Spindler and Beyer 1990)", "previouslyFormattedCitation" : "(Spindler and Beyer 1990)" }, "properties" : {  }, "schema" : "https://github.com/citation-style-language/schema/raw/master/csl-citation.json" }</w:instrText>
      </w:r>
      <w:r w:rsidR="00B32770" w:rsidRPr="00B32770">
        <w:fldChar w:fldCharType="separate"/>
      </w:r>
      <w:r w:rsidR="00B32770" w:rsidRPr="00B32770">
        <w:rPr>
          <w:noProof/>
        </w:rPr>
        <w:t>(Spindler and Beyer 1990)</w:t>
      </w:r>
      <w:r w:rsidR="00B32770" w:rsidRPr="00B32770">
        <w:fldChar w:fldCharType="end"/>
      </w:r>
      <w:r w:rsidR="00B32770" w:rsidRPr="00B32770">
        <w:t xml:space="preserve">. </w:t>
      </w:r>
      <w:r w:rsidR="008C5A5E" w:rsidRPr="00B32770">
        <w:t xml:space="preserve">Phylogenetic analyses </w:t>
      </w:r>
      <w:r w:rsidR="009A5DA0">
        <w:t xml:space="preserve">by </w:t>
      </w:r>
      <w:r w:rsidR="009A5DA0" w:rsidRPr="00B32770">
        <w:rPr>
          <w:noProof/>
        </w:rPr>
        <w:t xml:space="preserve">Decelle et al. </w:t>
      </w:r>
      <w:r w:rsidR="009A5DA0">
        <w:rPr>
          <w:noProof/>
        </w:rPr>
        <w:t>(</w:t>
      </w:r>
      <w:r w:rsidR="009A5DA0" w:rsidRPr="00B32770">
        <w:rPr>
          <w:noProof/>
        </w:rPr>
        <w:t>2013</w:t>
      </w:r>
      <w:r w:rsidR="009A5DA0">
        <w:rPr>
          <w:noProof/>
        </w:rPr>
        <w:t xml:space="preserve">) </w:t>
      </w:r>
      <w:r w:rsidR="0021550C">
        <w:t>suggest</w:t>
      </w:r>
      <w:r w:rsidR="008C5A5E" w:rsidRPr="00B32770">
        <w:t xml:space="preserve"> that orders </w:t>
      </w:r>
      <w:r w:rsidR="00B32770" w:rsidRPr="00B32770">
        <w:t xml:space="preserve">Holacanthida and Chaunacanthida </w:t>
      </w:r>
      <w:r w:rsidR="008C5A5E" w:rsidRPr="00B32770">
        <w:t>can be i</w:t>
      </w:r>
      <w:r w:rsidR="003A1472" w:rsidRPr="00B32770">
        <w:t>mportant to deep</w:t>
      </w:r>
      <w:r w:rsidR="008C5A5E" w:rsidRPr="00B32770">
        <w:t>-</w:t>
      </w:r>
      <w:r w:rsidR="003A1472" w:rsidRPr="00B32770">
        <w:t xml:space="preserve">sea </w:t>
      </w:r>
      <w:r w:rsidR="008C5A5E" w:rsidRPr="00B32770">
        <w:t>proti</w:t>
      </w:r>
      <w:r w:rsidR="003A1472" w:rsidRPr="00B32770">
        <w:t>st communities</w:t>
      </w:r>
      <w:r w:rsidR="008C5A5E" w:rsidRPr="00B32770">
        <w:t xml:space="preserve"> and have a wide vertical distribution from the surface to the mesopelagic</w:t>
      </w:r>
      <w:r w:rsidR="00B32770" w:rsidRPr="00B32770">
        <w:t xml:space="preserve"> </w:t>
      </w:r>
      <w:r w:rsidR="003F5FB4">
        <w:t xml:space="preserve">zone </w:t>
      </w:r>
      <w:r w:rsidR="00B32770" w:rsidRPr="00B32770">
        <w:t xml:space="preserve">across </w:t>
      </w:r>
      <w:r w:rsidR="008127FA">
        <w:t>sampled</w:t>
      </w:r>
      <w:r w:rsidR="00B32770" w:rsidRPr="00B32770">
        <w:t xml:space="preserve"> regions of the Indian, Pacific and Atlantic Ocean</w:t>
      </w:r>
      <w:r w:rsidR="005D0DDD" w:rsidRPr="00B32770">
        <w:t>. The</w:t>
      </w:r>
      <w:r w:rsidR="00B32770">
        <w:t xml:space="preserve"> l</w:t>
      </w:r>
      <w:r w:rsidR="007B49D4">
        <w:t>arge acantharia</w:t>
      </w:r>
      <w:r w:rsidR="00C55000">
        <w:t>n</w:t>
      </w:r>
      <w:r w:rsidR="007B49D4">
        <w:t xml:space="preserve"> cysts </w:t>
      </w:r>
      <w:r w:rsidR="00B32770">
        <w:t xml:space="preserve">we measured </w:t>
      </w:r>
      <w:r w:rsidR="007B49D4">
        <w:t>had a mean length of 0.3 mm</w:t>
      </w:r>
      <w:r w:rsidR="00F54C0A">
        <w:t xml:space="preserve"> for both morphologies</w:t>
      </w:r>
      <w:r w:rsidR="007B49D4">
        <w:t>, whereas small cysts were 0.125 and 0.1 mm in length for round and oval morphologies respectively</w:t>
      </w:r>
      <w:r w:rsidR="00522027">
        <w:t xml:space="preserve"> (150-200 cysts from each category were measured)</w:t>
      </w:r>
      <w:r w:rsidR="007B49D4">
        <w:t>. In terms of numerical abundance, round acantharia</w:t>
      </w:r>
      <w:r w:rsidR="00C55000">
        <w:t>n</w:t>
      </w:r>
      <w:r w:rsidR="007B49D4">
        <w:t xml:space="preserve"> cysts were dominant during period 1, </w:t>
      </w:r>
      <w:r w:rsidR="007B49D4">
        <w:lastRenderedPageBreak/>
        <w:t>whereas oval acantharia</w:t>
      </w:r>
      <w:r w:rsidR="00C55000">
        <w:t>n</w:t>
      </w:r>
      <w:r w:rsidR="007B49D4">
        <w:t xml:space="preserve"> cysts were more abundant during period 2 (</w:t>
      </w:r>
      <w:r w:rsidR="00FE0510">
        <w:t xml:space="preserve">Fig.3 </w:t>
      </w:r>
      <w:r w:rsidR="00F54C0A">
        <w:t>A</w:t>
      </w:r>
      <w:r w:rsidR="007B49D4">
        <w:t>).</w:t>
      </w:r>
      <w:r w:rsidR="00C427C5">
        <w:t xml:space="preserve"> </w:t>
      </w:r>
      <w:r w:rsidR="0096146A">
        <w:t xml:space="preserve">Larger acantharian cysts likely have higher sinking velocities </w:t>
      </w:r>
      <w:r w:rsidR="00B358C5">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 } ], "mendeley" : { "formattedCitation" : "(Martin et al. 2010)", "plainTextFormattedCitation" : "(Martin et al. 2010)", "previouslyFormattedCitation" : "(Martin et al. 2010)" }, "properties" : {  }, "schema" : "https://github.com/citation-style-language/schema/raw/master/csl-citation.json" }</w:instrText>
      </w:r>
      <w:r w:rsidR="00B358C5">
        <w:fldChar w:fldCharType="separate"/>
      </w:r>
      <w:r w:rsidR="00B358C5" w:rsidRPr="00B358C5">
        <w:rPr>
          <w:noProof/>
        </w:rPr>
        <w:t>(Martin et al. 2010)</w:t>
      </w:r>
      <w:r w:rsidR="00B358C5">
        <w:fldChar w:fldCharType="end"/>
      </w:r>
      <w:r w:rsidR="00B358C5">
        <w:t xml:space="preserve"> </w:t>
      </w:r>
      <w:r w:rsidR="008D7D8D">
        <w:t>and hence could</w:t>
      </w:r>
      <w:r w:rsidR="0096146A">
        <w:t xml:space="preserve"> </w:t>
      </w:r>
      <w:r w:rsidR="008D7D8D">
        <w:t>promote</w:t>
      </w:r>
      <w:r w:rsidR="0096146A">
        <w:t xml:space="preserve"> higher</w:t>
      </w:r>
      <w:r w:rsidR="005F38AF">
        <w:t xml:space="preserve"> fluxes</w:t>
      </w:r>
      <w:r w:rsidR="005359EE">
        <w:t xml:space="preserve"> to the deep-</w:t>
      </w:r>
      <w:r w:rsidR="0096146A">
        <w:t>sea</w:t>
      </w:r>
      <w:r w:rsidR="005F38AF">
        <w:t>.</w:t>
      </w:r>
    </w:p>
    <w:tbl>
      <w:tblPr>
        <w:tblStyle w:val="TableGrid"/>
        <w:tblpPr w:leftFromText="180" w:rightFromText="180" w:vertAnchor="text" w:horzAnchor="margin" w:tblpY="72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1709"/>
        <w:gridCol w:w="1656"/>
        <w:gridCol w:w="1709"/>
        <w:gridCol w:w="1656"/>
      </w:tblGrid>
      <w:tr w:rsidR="008127FA" w:rsidRPr="0090311E" w14:paraId="02AE7981" w14:textId="77777777" w:rsidTr="0091305F">
        <w:tc>
          <w:tcPr>
            <w:tcW w:w="1570" w:type="dxa"/>
            <w:vMerge w:val="restart"/>
            <w:tcBorders>
              <w:top w:val="single" w:sz="4" w:space="0" w:color="auto"/>
              <w:bottom w:val="nil"/>
              <w:right w:val="single" w:sz="4" w:space="0" w:color="auto"/>
            </w:tcBorders>
            <w:vAlign w:val="center"/>
          </w:tcPr>
          <w:p w14:paraId="1EB1FBFD" w14:textId="77777777" w:rsidR="008127FA" w:rsidRPr="0090311E" w:rsidRDefault="008127FA" w:rsidP="0091305F">
            <w:pPr>
              <w:spacing w:after="0" w:line="360" w:lineRule="auto"/>
              <w:jc w:val="center"/>
              <w:rPr>
                <w:rFonts w:eastAsiaTheme="minorEastAsia"/>
                <w:b/>
              </w:rPr>
            </w:pPr>
            <w:r w:rsidRPr="0090311E">
              <w:rPr>
                <w:rFonts w:eastAsiaTheme="minorEastAsia"/>
                <w:b/>
              </w:rPr>
              <w:t>Dimension (mm)</w:t>
            </w:r>
          </w:p>
        </w:tc>
        <w:tc>
          <w:tcPr>
            <w:tcW w:w="3365" w:type="dxa"/>
            <w:gridSpan w:val="2"/>
            <w:tcBorders>
              <w:top w:val="single" w:sz="4" w:space="0" w:color="auto"/>
              <w:left w:val="single" w:sz="4" w:space="0" w:color="auto"/>
              <w:bottom w:val="nil"/>
              <w:right w:val="single" w:sz="4" w:space="0" w:color="auto"/>
            </w:tcBorders>
            <w:vAlign w:val="center"/>
          </w:tcPr>
          <w:p w14:paraId="2D1CD60E" w14:textId="77777777" w:rsidR="008127FA" w:rsidRPr="0090311E" w:rsidRDefault="008127FA" w:rsidP="0091305F">
            <w:pPr>
              <w:spacing w:after="0" w:line="360" w:lineRule="auto"/>
              <w:jc w:val="center"/>
              <w:rPr>
                <w:rFonts w:eastAsiaTheme="minorEastAsia"/>
                <w:b/>
              </w:rPr>
            </w:pPr>
            <w:r w:rsidRPr="0090311E">
              <w:rPr>
                <w:rFonts w:eastAsiaTheme="minorEastAsia"/>
                <w:b/>
              </w:rPr>
              <w:t>Small</w:t>
            </w:r>
          </w:p>
        </w:tc>
        <w:tc>
          <w:tcPr>
            <w:tcW w:w="3365" w:type="dxa"/>
            <w:gridSpan w:val="2"/>
            <w:tcBorders>
              <w:top w:val="single" w:sz="4" w:space="0" w:color="auto"/>
              <w:left w:val="single" w:sz="4" w:space="0" w:color="auto"/>
              <w:bottom w:val="nil"/>
            </w:tcBorders>
            <w:vAlign w:val="center"/>
          </w:tcPr>
          <w:p w14:paraId="464C92F4" w14:textId="77777777" w:rsidR="008127FA" w:rsidRPr="0090311E" w:rsidRDefault="008127FA" w:rsidP="0091305F">
            <w:pPr>
              <w:spacing w:after="0" w:line="360" w:lineRule="auto"/>
              <w:jc w:val="center"/>
              <w:rPr>
                <w:rFonts w:eastAsiaTheme="minorEastAsia"/>
                <w:b/>
              </w:rPr>
            </w:pPr>
            <w:r w:rsidRPr="0090311E">
              <w:rPr>
                <w:rFonts w:eastAsiaTheme="minorEastAsia"/>
                <w:b/>
              </w:rPr>
              <w:t>Large</w:t>
            </w:r>
          </w:p>
        </w:tc>
      </w:tr>
      <w:tr w:rsidR="008127FA" w:rsidRPr="0090311E" w14:paraId="63A6210E" w14:textId="77777777" w:rsidTr="0091305F">
        <w:tc>
          <w:tcPr>
            <w:tcW w:w="1570" w:type="dxa"/>
            <w:vMerge/>
            <w:tcBorders>
              <w:top w:val="nil"/>
              <w:bottom w:val="single" w:sz="4" w:space="0" w:color="auto"/>
              <w:right w:val="single" w:sz="4" w:space="0" w:color="auto"/>
            </w:tcBorders>
            <w:vAlign w:val="center"/>
          </w:tcPr>
          <w:p w14:paraId="7A77FBB0" w14:textId="77777777" w:rsidR="008127FA" w:rsidRPr="0090311E" w:rsidRDefault="008127FA" w:rsidP="0091305F">
            <w:pPr>
              <w:spacing w:after="0" w:line="360" w:lineRule="auto"/>
              <w:jc w:val="center"/>
              <w:rPr>
                <w:rFonts w:eastAsiaTheme="minorEastAsia"/>
              </w:rPr>
            </w:pPr>
          </w:p>
        </w:tc>
        <w:tc>
          <w:tcPr>
            <w:tcW w:w="1709" w:type="dxa"/>
            <w:tcBorders>
              <w:top w:val="nil"/>
              <w:left w:val="single" w:sz="4" w:space="0" w:color="auto"/>
              <w:bottom w:val="single" w:sz="4" w:space="0" w:color="auto"/>
            </w:tcBorders>
            <w:vAlign w:val="center"/>
          </w:tcPr>
          <w:p w14:paraId="67FF871F" w14:textId="77777777" w:rsidR="008127FA" w:rsidRPr="0090311E" w:rsidRDefault="008127FA" w:rsidP="0091305F">
            <w:pPr>
              <w:spacing w:after="0" w:line="360" w:lineRule="auto"/>
              <w:jc w:val="center"/>
              <w:rPr>
                <w:rFonts w:eastAsiaTheme="minorEastAsia"/>
                <w:b/>
              </w:rPr>
            </w:pPr>
            <w:r w:rsidRPr="0090311E">
              <w:rPr>
                <w:rFonts w:eastAsiaTheme="minorEastAsia"/>
                <w:b/>
              </w:rPr>
              <w:t>Round</w:t>
            </w:r>
          </w:p>
        </w:tc>
        <w:tc>
          <w:tcPr>
            <w:tcW w:w="1656" w:type="dxa"/>
            <w:tcBorders>
              <w:top w:val="nil"/>
              <w:bottom w:val="single" w:sz="4" w:space="0" w:color="auto"/>
              <w:right w:val="single" w:sz="4" w:space="0" w:color="auto"/>
            </w:tcBorders>
            <w:vAlign w:val="center"/>
          </w:tcPr>
          <w:p w14:paraId="50EFAEAA" w14:textId="77777777" w:rsidR="008127FA" w:rsidRPr="0090311E" w:rsidRDefault="008127FA" w:rsidP="0091305F">
            <w:pPr>
              <w:spacing w:after="0" w:line="360" w:lineRule="auto"/>
              <w:jc w:val="center"/>
              <w:rPr>
                <w:rFonts w:eastAsiaTheme="minorEastAsia"/>
                <w:b/>
              </w:rPr>
            </w:pPr>
            <w:r w:rsidRPr="0090311E">
              <w:rPr>
                <w:rFonts w:eastAsiaTheme="minorEastAsia"/>
                <w:b/>
              </w:rPr>
              <w:t>Oval</w:t>
            </w:r>
          </w:p>
        </w:tc>
        <w:tc>
          <w:tcPr>
            <w:tcW w:w="1709" w:type="dxa"/>
            <w:tcBorders>
              <w:top w:val="nil"/>
              <w:left w:val="single" w:sz="4" w:space="0" w:color="auto"/>
              <w:bottom w:val="single" w:sz="4" w:space="0" w:color="auto"/>
            </w:tcBorders>
            <w:vAlign w:val="center"/>
          </w:tcPr>
          <w:p w14:paraId="160C9A02" w14:textId="77777777" w:rsidR="008127FA" w:rsidRPr="0090311E" w:rsidRDefault="008127FA" w:rsidP="0091305F">
            <w:pPr>
              <w:spacing w:after="0" w:line="360" w:lineRule="auto"/>
              <w:jc w:val="center"/>
              <w:rPr>
                <w:rFonts w:eastAsiaTheme="minorEastAsia"/>
                <w:b/>
              </w:rPr>
            </w:pPr>
            <w:r w:rsidRPr="0090311E">
              <w:rPr>
                <w:rFonts w:eastAsiaTheme="minorEastAsia"/>
                <w:b/>
              </w:rPr>
              <w:t>Round</w:t>
            </w:r>
          </w:p>
        </w:tc>
        <w:tc>
          <w:tcPr>
            <w:tcW w:w="1656" w:type="dxa"/>
            <w:tcBorders>
              <w:top w:val="nil"/>
              <w:bottom w:val="single" w:sz="4" w:space="0" w:color="auto"/>
            </w:tcBorders>
            <w:vAlign w:val="center"/>
          </w:tcPr>
          <w:p w14:paraId="7C7D07EE" w14:textId="77777777" w:rsidR="008127FA" w:rsidRPr="0090311E" w:rsidRDefault="008127FA" w:rsidP="0091305F">
            <w:pPr>
              <w:spacing w:after="0" w:line="360" w:lineRule="auto"/>
              <w:jc w:val="center"/>
              <w:rPr>
                <w:rFonts w:eastAsiaTheme="minorEastAsia"/>
                <w:b/>
              </w:rPr>
            </w:pPr>
            <w:r w:rsidRPr="0090311E">
              <w:rPr>
                <w:rFonts w:eastAsiaTheme="minorEastAsia"/>
                <w:b/>
              </w:rPr>
              <w:t>Oval</w:t>
            </w:r>
          </w:p>
        </w:tc>
      </w:tr>
      <w:tr w:rsidR="008127FA" w:rsidRPr="0090311E" w14:paraId="1B489BC8" w14:textId="77777777" w:rsidTr="0091305F">
        <w:tc>
          <w:tcPr>
            <w:tcW w:w="1570" w:type="dxa"/>
            <w:tcBorders>
              <w:top w:val="single" w:sz="4" w:space="0" w:color="auto"/>
              <w:right w:val="single" w:sz="4" w:space="0" w:color="auto"/>
            </w:tcBorders>
            <w:vAlign w:val="center"/>
          </w:tcPr>
          <w:p w14:paraId="774F0FFE" w14:textId="77777777" w:rsidR="008127FA" w:rsidRPr="0090311E" w:rsidRDefault="008127FA" w:rsidP="0091305F">
            <w:pPr>
              <w:spacing w:after="0" w:line="360" w:lineRule="auto"/>
              <w:jc w:val="center"/>
              <w:rPr>
                <w:rFonts w:eastAsiaTheme="minorEastAsia"/>
                <w:b/>
              </w:rPr>
            </w:pPr>
            <w:r w:rsidRPr="0090311E">
              <w:rPr>
                <w:rFonts w:eastAsiaTheme="minorEastAsia"/>
                <w:b/>
              </w:rPr>
              <w:t>Length</w:t>
            </w:r>
          </w:p>
        </w:tc>
        <w:tc>
          <w:tcPr>
            <w:tcW w:w="1709" w:type="dxa"/>
            <w:tcBorders>
              <w:top w:val="single" w:sz="4" w:space="0" w:color="auto"/>
              <w:left w:val="single" w:sz="4" w:space="0" w:color="auto"/>
              <w:bottom w:val="nil"/>
            </w:tcBorders>
            <w:vAlign w:val="center"/>
          </w:tcPr>
          <w:p w14:paraId="2F25716B" w14:textId="77777777" w:rsidR="008127FA" w:rsidRPr="0090311E" w:rsidRDefault="008127FA" w:rsidP="0091305F">
            <w:pPr>
              <w:spacing w:after="0" w:line="360" w:lineRule="auto"/>
              <w:jc w:val="center"/>
              <w:rPr>
                <w:rFonts w:eastAsiaTheme="minorEastAsia"/>
              </w:rPr>
            </w:pPr>
            <w:r w:rsidRPr="0090311E">
              <w:rPr>
                <w:rFonts w:eastAsiaTheme="minorEastAsia"/>
              </w:rPr>
              <w:t>0.125</w:t>
            </w:r>
            <w:r>
              <w:rPr>
                <w:rFonts w:eastAsiaTheme="minorEastAsia"/>
              </w:rPr>
              <w:t xml:space="preserve"> (0.018)</w:t>
            </w:r>
          </w:p>
        </w:tc>
        <w:tc>
          <w:tcPr>
            <w:tcW w:w="1656" w:type="dxa"/>
            <w:tcBorders>
              <w:top w:val="single" w:sz="4" w:space="0" w:color="auto"/>
              <w:right w:val="single" w:sz="4" w:space="0" w:color="auto"/>
            </w:tcBorders>
            <w:vAlign w:val="center"/>
          </w:tcPr>
          <w:p w14:paraId="4A7CF04F" w14:textId="77777777" w:rsidR="008127FA" w:rsidRPr="0090311E" w:rsidRDefault="008127FA" w:rsidP="0091305F">
            <w:pPr>
              <w:spacing w:after="0" w:line="360" w:lineRule="auto"/>
              <w:jc w:val="center"/>
              <w:rPr>
                <w:rFonts w:eastAsiaTheme="minorEastAsia"/>
              </w:rPr>
            </w:pPr>
            <w:r w:rsidRPr="0090311E">
              <w:rPr>
                <w:rFonts w:eastAsiaTheme="minorEastAsia"/>
              </w:rPr>
              <w:t>0.1</w:t>
            </w:r>
            <w:r>
              <w:rPr>
                <w:rFonts w:eastAsiaTheme="minorEastAsia"/>
              </w:rPr>
              <w:t>0 (0.020)</w:t>
            </w:r>
          </w:p>
        </w:tc>
        <w:tc>
          <w:tcPr>
            <w:tcW w:w="1709" w:type="dxa"/>
            <w:tcBorders>
              <w:top w:val="single" w:sz="4" w:space="0" w:color="auto"/>
              <w:left w:val="single" w:sz="4" w:space="0" w:color="auto"/>
              <w:bottom w:val="nil"/>
            </w:tcBorders>
            <w:vAlign w:val="center"/>
          </w:tcPr>
          <w:p w14:paraId="361BE9C1" w14:textId="77777777" w:rsidR="008127FA" w:rsidRPr="0090311E" w:rsidRDefault="008127FA" w:rsidP="0091305F">
            <w:pPr>
              <w:spacing w:after="0" w:line="360" w:lineRule="auto"/>
              <w:jc w:val="center"/>
              <w:rPr>
                <w:rFonts w:eastAsiaTheme="minorEastAsia"/>
              </w:rPr>
            </w:pPr>
            <w:r w:rsidRPr="0090311E">
              <w:rPr>
                <w:rFonts w:eastAsiaTheme="minorEastAsia"/>
              </w:rPr>
              <w:t>0.3</w:t>
            </w:r>
            <w:r>
              <w:rPr>
                <w:rFonts w:eastAsiaTheme="minorEastAsia"/>
              </w:rPr>
              <w:t xml:space="preserve"> (0.026)</w:t>
            </w:r>
          </w:p>
        </w:tc>
        <w:tc>
          <w:tcPr>
            <w:tcW w:w="1656" w:type="dxa"/>
            <w:tcBorders>
              <w:top w:val="single" w:sz="4" w:space="0" w:color="auto"/>
            </w:tcBorders>
            <w:vAlign w:val="center"/>
          </w:tcPr>
          <w:p w14:paraId="67E36FE5" w14:textId="77777777" w:rsidR="008127FA" w:rsidRPr="0090311E" w:rsidRDefault="008127FA" w:rsidP="0091305F">
            <w:pPr>
              <w:spacing w:after="0" w:line="360" w:lineRule="auto"/>
              <w:jc w:val="center"/>
              <w:rPr>
                <w:rFonts w:eastAsiaTheme="minorEastAsia"/>
              </w:rPr>
            </w:pPr>
            <w:r w:rsidRPr="0090311E">
              <w:rPr>
                <w:rFonts w:eastAsiaTheme="minorEastAsia"/>
              </w:rPr>
              <w:t>0.3</w:t>
            </w:r>
            <w:r>
              <w:rPr>
                <w:rFonts w:eastAsiaTheme="minorEastAsia"/>
              </w:rPr>
              <w:t xml:space="preserve"> (0.023)</w:t>
            </w:r>
          </w:p>
        </w:tc>
      </w:tr>
      <w:tr w:rsidR="008127FA" w:rsidRPr="0090311E" w14:paraId="63EA3E3C" w14:textId="77777777" w:rsidTr="0091305F">
        <w:tc>
          <w:tcPr>
            <w:tcW w:w="1570" w:type="dxa"/>
            <w:tcBorders>
              <w:right w:val="single" w:sz="4" w:space="0" w:color="auto"/>
            </w:tcBorders>
            <w:vAlign w:val="center"/>
          </w:tcPr>
          <w:p w14:paraId="4B8CF73C" w14:textId="77777777" w:rsidR="008127FA" w:rsidRPr="0090311E" w:rsidRDefault="008127FA" w:rsidP="0091305F">
            <w:pPr>
              <w:spacing w:after="0" w:line="360" w:lineRule="auto"/>
              <w:jc w:val="center"/>
              <w:rPr>
                <w:rFonts w:eastAsiaTheme="minorEastAsia"/>
                <w:b/>
              </w:rPr>
            </w:pPr>
            <w:r w:rsidRPr="0090311E">
              <w:rPr>
                <w:rFonts w:eastAsiaTheme="minorEastAsia"/>
                <w:b/>
              </w:rPr>
              <w:t>Width</w:t>
            </w:r>
          </w:p>
        </w:tc>
        <w:tc>
          <w:tcPr>
            <w:tcW w:w="1709" w:type="dxa"/>
            <w:tcBorders>
              <w:top w:val="nil"/>
              <w:left w:val="single" w:sz="4" w:space="0" w:color="auto"/>
              <w:bottom w:val="single" w:sz="4" w:space="0" w:color="auto"/>
            </w:tcBorders>
            <w:vAlign w:val="center"/>
          </w:tcPr>
          <w:p w14:paraId="79F59FBF" w14:textId="77777777" w:rsidR="008127FA" w:rsidRPr="0090311E" w:rsidRDefault="008127FA" w:rsidP="0091305F">
            <w:pPr>
              <w:spacing w:after="0" w:line="360" w:lineRule="auto"/>
              <w:rPr>
                <w:rFonts w:eastAsiaTheme="minorEastAsia"/>
              </w:rPr>
            </w:pPr>
          </w:p>
        </w:tc>
        <w:tc>
          <w:tcPr>
            <w:tcW w:w="1656" w:type="dxa"/>
            <w:tcBorders>
              <w:right w:val="single" w:sz="4" w:space="0" w:color="auto"/>
            </w:tcBorders>
            <w:vAlign w:val="center"/>
          </w:tcPr>
          <w:p w14:paraId="5EFE5241" w14:textId="77777777" w:rsidR="008127FA" w:rsidRPr="0090311E" w:rsidRDefault="008127FA" w:rsidP="0091305F">
            <w:pPr>
              <w:spacing w:after="0" w:line="360" w:lineRule="auto"/>
              <w:jc w:val="center"/>
              <w:rPr>
                <w:rFonts w:eastAsiaTheme="minorEastAsia"/>
              </w:rPr>
            </w:pPr>
            <w:r w:rsidRPr="0090311E">
              <w:rPr>
                <w:rFonts w:eastAsiaTheme="minorEastAsia"/>
              </w:rPr>
              <w:t>0.05</w:t>
            </w:r>
            <w:r>
              <w:rPr>
                <w:rFonts w:eastAsiaTheme="minorEastAsia"/>
              </w:rPr>
              <w:t xml:space="preserve"> (0.011)</w:t>
            </w:r>
          </w:p>
        </w:tc>
        <w:tc>
          <w:tcPr>
            <w:tcW w:w="1709" w:type="dxa"/>
            <w:tcBorders>
              <w:top w:val="nil"/>
              <w:left w:val="single" w:sz="4" w:space="0" w:color="auto"/>
              <w:bottom w:val="single" w:sz="4" w:space="0" w:color="auto"/>
            </w:tcBorders>
            <w:vAlign w:val="center"/>
          </w:tcPr>
          <w:p w14:paraId="5DA668CB" w14:textId="77777777" w:rsidR="008127FA" w:rsidRPr="0090311E" w:rsidRDefault="008127FA" w:rsidP="0091305F">
            <w:pPr>
              <w:spacing w:after="0" w:line="360" w:lineRule="auto"/>
              <w:jc w:val="center"/>
              <w:rPr>
                <w:rFonts w:eastAsiaTheme="minorEastAsia"/>
              </w:rPr>
            </w:pPr>
          </w:p>
        </w:tc>
        <w:tc>
          <w:tcPr>
            <w:tcW w:w="1656" w:type="dxa"/>
            <w:vAlign w:val="center"/>
          </w:tcPr>
          <w:p w14:paraId="540F2423" w14:textId="77777777" w:rsidR="008127FA" w:rsidRPr="0090311E" w:rsidRDefault="008127FA" w:rsidP="0091305F">
            <w:pPr>
              <w:spacing w:after="0" w:line="360" w:lineRule="auto"/>
              <w:jc w:val="center"/>
              <w:rPr>
                <w:rFonts w:eastAsiaTheme="minorEastAsia"/>
              </w:rPr>
            </w:pPr>
            <w:r w:rsidRPr="0090311E">
              <w:rPr>
                <w:rFonts w:eastAsiaTheme="minorEastAsia"/>
              </w:rPr>
              <w:t>0.1</w:t>
            </w:r>
            <w:r>
              <w:rPr>
                <w:rFonts w:eastAsiaTheme="minorEastAsia"/>
              </w:rPr>
              <w:t xml:space="preserve"> (0.001)</w:t>
            </w:r>
          </w:p>
        </w:tc>
      </w:tr>
    </w:tbl>
    <w:p w14:paraId="2C6276BD" w14:textId="4591FBC7" w:rsidR="008127FA" w:rsidRDefault="008127FA" w:rsidP="008127FA">
      <w:pPr>
        <w:pStyle w:val="Caption"/>
      </w:pPr>
      <w:r>
        <w:t>Table</w:t>
      </w:r>
      <w:r w:rsidR="00951D42">
        <w:t xml:space="preserve"> 3</w:t>
      </w:r>
      <w:r>
        <w:t>:</w:t>
      </w:r>
      <w:r w:rsidRPr="006517E6">
        <w:rPr>
          <w:rFonts w:eastAsiaTheme="minorEastAsia"/>
        </w:rPr>
        <w:t xml:space="preserve"> </w:t>
      </w:r>
      <w:r>
        <w:rPr>
          <w:rFonts w:eastAsiaTheme="minorEastAsia"/>
        </w:rPr>
        <w:t>Mean d</w:t>
      </w:r>
      <w:r w:rsidRPr="0090311E">
        <w:rPr>
          <w:rFonts w:eastAsiaTheme="minorEastAsia"/>
        </w:rPr>
        <w:t xml:space="preserve">imensions </w:t>
      </w:r>
      <w:r>
        <w:rPr>
          <w:rFonts w:eastAsiaTheme="minorEastAsia"/>
        </w:rPr>
        <w:t xml:space="preserve">(standard deviation) </w:t>
      </w:r>
      <w:r w:rsidRPr="0090311E">
        <w:rPr>
          <w:rFonts w:eastAsiaTheme="minorEastAsia"/>
        </w:rPr>
        <w:t>of each category of acantharia</w:t>
      </w:r>
      <w:r>
        <w:rPr>
          <w:rFonts w:eastAsiaTheme="minorEastAsia"/>
        </w:rPr>
        <w:t>n</w:t>
      </w:r>
      <w:r w:rsidRPr="0090311E">
        <w:rPr>
          <w:rFonts w:eastAsiaTheme="minorEastAsia"/>
        </w:rPr>
        <w:t xml:space="preserve"> cyst collected in a sediment trap in the </w:t>
      </w:r>
      <w:r>
        <w:rPr>
          <w:rFonts w:eastAsiaTheme="minorEastAsia"/>
        </w:rPr>
        <w:t xml:space="preserve">north-east </w:t>
      </w:r>
      <w:r w:rsidRPr="0090311E">
        <w:rPr>
          <w:rFonts w:eastAsiaTheme="minorEastAsia"/>
        </w:rPr>
        <w:t xml:space="preserve">Scotia Sea, </w:t>
      </w:r>
      <w:r>
        <w:rPr>
          <w:rFonts w:eastAsiaTheme="minorEastAsia"/>
        </w:rPr>
        <w:t>Southern Ocean, Dec 2012-Dec 2013. 150-200 cysts were measured in each category.</w:t>
      </w:r>
    </w:p>
    <w:p w14:paraId="771CEC20" w14:textId="77777777" w:rsidR="008127FA" w:rsidRDefault="008127FA" w:rsidP="000C32D3">
      <w:pPr>
        <w:spacing w:line="360" w:lineRule="auto"/>
      </w:pPr>
    </w:p>
    <w:p w14:paraId="13362030" w14:textId="5D180988" w:rsidR="00BE5686" w:rsidRDefault="00BE5686" w:rsidP="000C32D3">
      <w:pPr>
        <w:pStyle w:val="Caption"/>
        <w:spacing w:line="360" w:lineRule="auto"/>
      </w:pPr>
      <w:bookmarkStart w:id="6" w:name="_Ref496792385"/>
      <w:bookmarkStart w:id="7" w:name="_Ref496792392"/>
    </w:p>
    <w:p w14:paraId="6FE00B24" w14:textId="77777777" w:rsidR="004A4666" w:rsidRDefault="004A4666" w:rsidP="007B6F00">
      <w:pPr>
        <w:pStyle w:val="Caption"/>
      </w:pPr>
      <w:bookmarkStart w:id="8" w:name="_Ref506984770"/>
      <w:r w:rsidRPr="004A4666">
        <w:rPr>
          <w:noProof/>
          <w:lang w:eastAsia="en-GB"/>
        </w:rPr>
        <w:drawing>
          <wp:inline distT="0" distB="0" distL="0" distR="0" wp14:anchorId="1B3E6417" wp14:editId="75B1DE32">
            <wp:extent cx="4908550" cy="2095500"/>
            <wp:effectExtent l="0" t="0" r="6350" b="0"/>
            <wp:docPr id="4" name="Picture 4" descr="C:\Users\annbel\Desktop\updated at sea\Acantharia- MannoBelcher\resubmitted\Fig.2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bel\Desktop\updated at sea\Acantharia- MannoBelcher\resubmitted\Fig.2 V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0" cy="2095500"/>
                    </a:xfrm>
                    <a:prstGeom prst="rect">
                      <a:avLst/>
                    </a:prstGeom>
                    <a:noFill/>
                    <a:ln>
                      <a:noFill/>
                    </a:ln>
                  </pic:spPr>
                </pic:pic>
              </a:graphicData>
            </a:graphic>
          </wp:inline>
        </w:drawing>
      </w:r>
    </w:p>
    <w:p w14:paraId="3B499823" w14:textId="6F3C1AE1" w:rsidR="00C44A0E" w:rsidRPr="004F75E9" w:rsidRDefault="007B6F00" w:rsidP="007B6F00">
      <w:pPr>
        <w:pStyle w:val="Caption"/>
      </w:pPr>
      <w:r>
        <w:t xml:space="preserve">Fig. </w:t>
      </w:r>
      <w:fldSimple w:instr=" SEQ Figure \* ARABIC ">
        <w:r>
          <w:rPr>
            <w:noProof/>
          </w:rPr>
          <w:t>2</w:t>
        </w:r>
      </w:fldSimple>
      <w:bookmarkEnd w:id="8"/>
      <w:r>
        <w:t xml:space="preserve">: </w:t>
      </w:r>
      <w:r w:rsidRPr="004F75E9">
        <w:rPr>
          <w:noProof/>
        </w:rPr>
        <w:t>Scanning electron microscope (SEM) images of acantharia</w:t>
      </w:r>
      <w:r>
        <w:rPr>
          <w:noProof/>
        </w:rPr>
        <w:t>n</w:t>
      </w:r>
      <w:r w:rsidRPr="004F75E9">
        <w:rPr>
          <w:noProof/>
        </w:rPr>
        <w:t xml:space="preserve"> cysts observed in sediment trap samples at 1500 m in the S</w:t>
      </w:r>
      <w:r>
        <w:rPr>
          <w:noProof/>
        </w:rPr>
        <w:t>cotia Sea. A) O</w:t>
      </w:r>
      <w:r w:rsidRPr="004F75E9">
        <w:rPr>
          <w:noProof/>
        </w:rPr>
        <w:t>val type</w:t>
      </w:r>
      <w:r>
        <w:rPr>
          <w:noProof/>
        </w:rPr>
        <w:t xml:space="preserve"> (</w:t>
      </w:r>
      <w:r>
        <w:t>order Holacanthida)</w:t>
      </w:r>
      <w:r w:rsidRPr="004F75E9">
        <w:rPr>
          <w:noProof/>
        </w:rPr>
        <w:t>, B)+C) round types</w:t>
      </w:r>
      <w:r>
        <w:rPr>
          <w:noProof/>
        </w:rPr>
        <w:t xml:space="preserve"> (order </w:t>
      </w:r>
      <w:r>
        <w:t>Chaunacanthida)</w:t>
      </w:r>
      <w:r w:rsidRPr="004F75E9">
        <w:rPr>
          <w:noProof/>
        </w:rPr>
        <w:t>.</w:t>
      </w:r>
      <w:bookmarkEnd w:id="6"/>
      <w:bookmarkEnd w:id="7"/>
    </w:p>
    <w:p w14:paraId="31CE572E" w14:textId="5113486E" w:rsidR="00F803C8" w:rsidRDefault="008127FA" w:rsidP="000C32D3">
      <w:pPr>
        <w:pStyle w:val="Caption"/>
        <w:spacing w:line="360" w:lineRule="auto"/>
      </w:pPr>
      <w:bookmarkStart w:id="9" w:name="_Ref349313551"/>
      <w:bookmarkEnd w:id="5"/>
      <w:r w:rsidRPr="008127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8127FA">
        <w:rPr>
          <w:noProof/>
          <w:lang w:eastAsia="en-GB"/>
        </w:rPr>
        <w:drawing>
          <wp:inline distT="0" distB="0" distL="0" distR="0" wp14:anchorId="1BFE21E0" wp14:editId="78CF09A4">
            <wp:extent cx="5270500" cy="6514009"/>
            <wp:effectExtent l="0" t="0" r="6350" b="1270"/>
            <wp:docPr id="1" name="Picture 1" descr="D:\Post-Doc\manuscripts\Acantharia- MannoBelcher\resubmitted\Fig.3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Doc\manuscripts\Acantharia- MannoBelcher\resubmitted\Fig.3 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6514009"/>
                    </a:xfrm>
                    <a:prstGeom prst="rect">
                      <a:avLst/>
                    </a:prstGeom>
                    <a:noFill/>
                    <a:ln>
                      <a:noFill/>
                    </a:ln>
                  </pic:spPr>
                </pic:pic>
              </a:graphicData>
            </a:graphic>
          </wp:inline>
        </w:drawing>
      </w:r>
      <w:r w:rsidR="0006793E">
        <w:t>Fig</w:t>
      </w:r>
      <w:r w:rsidR="00FA554F">
        <w:t>.</w:t>
      </w:r>
      <w:r w:rsidR="0006793E">
        <w:t xml:space="preserve"> </w:t>
      </w:r>
      <w:fldSimple w:instr=" SEQ Figure \* ARABIC ">
        <w:r w:rsidR="007B6F00">
          <w:rPr>
            <w:noProof/>
          </w:rPr>
          <w:t>3</w:t>
        </w:r>
      </w:fldSimple>
      <w:bookmarkEnd w:id="9"/>
      <w:r w:rsidR="0006793E">
        <w:t>: Composition of acantharia</w:t>
      </w:r>
      <w:r w:rsidR="00C55000">
        <w:t>n</w:t>
      </w:r>
      <w:r w:rsidR="0006793E">
        <w:t xml:space="preserve"> cyst flux</w:t>
      </w:r>
      <w:r w:rsidR="00392D48">
        <w:t>. The p</w:t>
      </w:r>
      <w:r w:rsidR="0006793E">
        <w:t>ercent contribution of large round (black), large oval (grey), small round (white), and small oval (striped) to the number flux of acantharia</w:t>
      </w:r>
      <w:r w:rsidR="00C55000">
        <w:t>n</w:t>
      </w:r>
      <w:r w:rsidR="0006793E">
        <w:t xml:space="preserve"> cysts</w:t>
      </w:r>
      <w:r w:rsidR="00392D48">
        <w:t xml:space="preserve"> (upper)</w:t>
      </w:r>
      <w:r w:rsidR="0006793E">
        <w:t>, and their contribution to the acantharia</w:t>
      </w:r>
      <w:r w:rsidR="00C55000">
        <w:t>n</w:t>
      </w:r>
      <w:r w:rsidR="0006793E">
        <w:t xml:space="preserve"> </w:t>
      </w:r>
      <w:r w:rsidR="005A2DCC">
        <w:t xml:space="preserve">cyst </w:t>
      </w:r>
      <w:r w:rsidR="0006793E">
        <w:t>carbon flux</w:t>
      </w:r>
      <w:r w:rsidR="00392D48">
        <w:t xml:space="preserve"> (lower)</w:t>
      </w:r>
      <w:r w:rsidR="0006793E">
        <w:t>.</w:t>
      </w:r>
      <w:r w:rsidR="00F54C0A">
        <w:t xml:space="preserve"> Note the increased sampling frequency between December and February.</w:t>
      </w:r>
    </w:p>
    <w:p w14:paraId="53F3586D" w14:textId="3F7D7EF9" w:rsidR="0090311E" w:rsidRDefault="0090311E" w:rsidP="000C32D3">
      <w:pPr>
        <w:spacing w:line="360" w:lineRule="auto"/>
        <w:rPr>
          <w:b/>
        </w:rPr>
      </w:pPr>
      <w:r>
        <w:rPr>
          <w:b/>
        </w:rPr>
        <w:t xml:space="preserve">Contribution of </w:t>
      </w:r>
      <w:r w:rsidR="005A2DCC">
        <w:rPr>
          <w:b/>
        </w:rPr>
        <w:t>a</w:t>
      </w:r>
      <w:r w:rsidR="006578F6">
        <w:rPr>
          <w:b/>
        </w:rPr>
        <w:t>cantharia</w:t>
      </w:r>
      <w:r w:rsidR="00C55000">
        <w:rPr>
          <w:b/>
        </w:rPr>
        <w:t>n</w:t>
      </w:r>
      <w:r w:rsidR="006578F6">
        <w:rPr>
          <w:b/>
        </w:rPr>
        <w:t xml:space="preserve"> </w:t>
      </w:r>
      <w:r w:rsidR="005A2DCC">
        <w:rPr>
          <w:b/>
        </w:rPr>
        <w:t xml:space="preserve">cysts </w:t>
      </w:r>
      <w:r>
        <w:rPr>
          <w:b/>
        </w:rPr>
        <w:t>to POC flux</w:t>
      </w:r>
    </w:p>
    <w:p w14:paraId="6DEF1C40" w14:textId="4A9246F7" w:rsidR="00737937" w:rsidRDefault="009F221A" w:rsidP="002610D1">
      <w:pPr>
        <w:spacing w:line="360" w:lineRule="auto"/>
      </w:pPr>
      <w:r>
        <w:t>POC fluxes in December 2012 were exceptionally high (29.6</w:t>
      </w:r>
      <w:r w:rsidRPr="00AB54C8">
        <w:t xml:space="preserve"> </w:t>
      </w:r>
      <w:r>
        <w:t>mg C m</w:t>
      </w:r>
      <w:r w:rsidRPr="00AB54C8">
        <w:rPr>
          <w:vertAlign w:val="superscript"/>
        </w:rPr>
        <w:t>-</w:t>
      </w:r>
      <w:r>
        <w:rPr>
          <w:vertAlign w:val="superscript"/>
        </w:rPr>
        <w:t xml:space="preserve">2 </w:t>
      </w:r>
      <w:r w:rsidRPr="00AB54C8">
        <w:t>d</w:t>
      </w:r>
      <w:r>
        <w:rPr>
          <w:vertAlign w:val="superscript"/>
        </w:rPr>
        <w:t>-1</w:t>
      </w:r>
      <w:r w:rsidR="0096146A">
        <w:t>,</w:t>
      </w:r>
      <w:r w:rsidR="00951D42">
        <w:t xml:space="preserve"> Table</w:t>
      </w:r>
      <w:bookmarkStart w:id="10" w:name="_GoBack"/>
      <w:bookmarkEnd w:id="10"/>
      <w:r w:rsidR="00951D42">
        <w:t xml:space="preserve"> 1)</w:t>
      </w:r>
      <w:r>
        <w:t xml:space="preserve"> greatly exceeding fluxes of &lt;4 mg C m</w:t>
      </w:r>
      <w:r w:rsidRPr="00AB54C8">
        <w:rPr>
          <w:vertAlign w:val="superscript"/>
        </w:rPr>
        <w:t>-</w:t>
      </w:r>
      <w:r>
        <w:rPr>
          <w:vertAlign w:val="superscript"/>
        </w:rPr>
        <w:t xml:space="preserve">2 </w:t>
      </w:r>
      <w:r w:rsidRPr="00AB54C8">
        <w:t>d</w:t>
      </w:r>
      <w:r>
        <w:rPr>
          <w:vertAlign w:val="superscript"/>
        </w:rPr>
        <w:t xml:space="preserve">-1 </w:t>
      </w:r>
      <w:r>
        <w:t>observed at the site between 2008 and 2011</w:t>
      </w:r>
      <w:r w:rsidR="00594345">
        <w:t xml:space="preserve"> </w:t>
      </w:r>
      <w:r>
        <w:fldChar w:fldCharType="begin" w:fldLock="1"/>
      </w:r>
      <w:r w:rsidR="00B93937">
        <w:instrText>ADDIN CSL_CITATION { "citationItems" : [ { "id" : "ITEM-1", "itemData" : { "DOI" : "10.5194/bg-12-1955-2015", "ISSN" : "1726-4189", "author" : [ { "dropping-particle" : "", "family" : "Manno", "given" : "C.", "non-dropping-particle" : "", "parse-names" : false, "suffix" : "" }, { "dropping-particle" : "", "family" : "Stowasser", "given" : "G.", "non-dropping-particle" : "", "parse-names" : false, "suffix" : "" }, { "dropping-particle" : "", "family" : "Enderlein", "given" : "P.", "non-dropping-particle" : "", "parse-names" : false, "suffix" : "" }, { "dropping-particle" : "", "family" : "Fielding", "given" : "S.", "non-dropping-particle" : "", "parse-names" : false, "suffix" : "" }, { "dropping-particle" : "", "family" : "Tarling", "given" : "G. A.", "non-dropping-particle" : "", "parse-names" : false, "suffix" : "" } ], "container-title" : "Biogeosciences", "id" : "ITEM-1", "issue" : "6", "issued" : { "date-parts" : [ [ "2015", "3", "25" ] ] }, "page" : "1955-1965", "title" : "The contribution of zooplankton faecal pellets to deep-carbon transport in the Scotia Sea (Southern Ocean)", "type" : "article-journal", "volume" : "12" }, "uris" : [ "http://www.mendeley.com/documents/?uuid=7d8919a0-6197-4f06-a8bc-db544e507d4e" ] } ], "mendeley" : { "formattedCitation" : "(Manno et al. 2015)", "plainTextFormattedCitation" : "(Manno et al. 2015)", "previouslyFormattedCitation" : "(Manno et al. 2015)" }, "properties" : {  }, "schema" : "https://github.com/citation-style-language/schema/raw/master/csl-citation.json" }</w:instrText>
      </w:r>
      <w:r>
        <w:fldChar w:fldCharType="separate"/>
      </w:r>
      <w:r w:rsidRPr="0055768E">
        <w:rPr>
          <w:noProof/>
        </w:rPr>
        <w:t>(Manno et al. 2015)</w:t>
      </w:r>
      <w:r>
        <w:fldChar w:fldCharType="end"/>
      </w:r>
      <w:r>
        <w:t xml:space="preserve">. </w:t>
      </w:r>
      <w:r w:rsidR="00C44A0E" w:rsidRPr="00C44A0E">
        <w:t>During period 1, the POC</w:t>
      </w:r>
      <w:r w:rsidR="00C44A0E">
        <w:t xml:space="preserve"> flux sh</w:t>
      </w:r>
      <w:r w:rsidR="008B59BB">
        <w:t>ows the same seasonal pattern as the acantharia</w:t>
      </w:r>
      <w:r w:rsidR="00C55000">
        <w:t>n</w:t>
      </w:r>
      <w:r w:rsidR="008B59BB">
        <w:t xml:space="preserve"> cyst flux (</w:t>
      </w:r>
      <w:r w:rsidR="00FE0510">
        <w:t>Fig. 4</w:t>
      </w:r>
      <w:r>
        <w:t>), with the peak</w:t>
      </w:r>
      <w:r w:rsidR="004B3767">
        <w:t xml:space="preserve"> POC flux </w:t>
      </w:r>
      <w:r w:rsidR="008B59BB">
        <w:t>of 29.6 mg C m</w:t>
      </w:r>
      <w:r w:rsidR="008B59BB" w:rsidRPr="00124D15">
        <w:rPr>
          <w:vertAlign w:val="superscript"/>
        </w:rPr>
        <w:t>-2</w:t>
      </w:r>
      <w:r w:rsidR="008B59BB">
        <w:t xml:space="preserve"> d</w:t>
      </w:r>
      <w:r w:rsidR="008B59BB" w:rsidRPr="00124D15">
        <w:rPr>
          <w:vertAlign w:val="superscript"/>
        </w:rPr>
        <w:t>-1</w:t>
      </w:r>
      <w:r w:rsidR="008B59BB">
        <w:t xml:space="preserve"> </w:t>
      </w:r>
      <w:r w:rsidR="004B3767">
        <w:lastRenderedPageBreak/>
        <w:t xml:space="preserve">corresponding to a peak </w:t>
      </w:r>
      <w:r w:rsidR="005A2DCC">
        <w:t>ac</w:t>
      </w:r>
      <w:r w:rsidR="006578F6">
        <w:t>antharia</w:t>
      </w:r>
      <w:r w:rsidR="00C55000">
        <w:t>n</w:t>
      </w:r>
      <w:r w:rsidR="006578F6">
        <w:t xml:space="preserve"> </w:t>
      </w:r>
      <w:r w:rsidR="005A2DCC">
        <w:t xml:space="preserve">cyst </w:t>
      </w:r>
      <w:r w:rsidR="004B3767">
        <w:t>flux of 5.</w:t>
      </w:r>
      <w:r w:rsidR="00C97CFF">
        <w:t>1</w:t>
      </w:r>
      <w:r w:rsidR="004B3767" w:rsidRPr="004B3767">
        <w:t xml:space="preserve"> </w:t>
      </w:r>
      <w:r w:rsidR="004B3767">
        <w:t>mg C m</w:t>
      </w:r>
      <w:r w:rsidR="004B3767" w:rsidRPr="00124D15">
        <w:rPr>
          <w:vertAlign w:val="superscript"/>
        </w:rPr>
        <w:t>-2</w:t>
      </w:r>
      <w:r w:rsidR="004B3767">
        <w:t xml:space="preserve"> d</w:t>
      </w:r>
      <w:r w:rsidR="004B3767" w:rsidRPr="00124D15">
        <w:rPr>
          <w:vertAlign w:val="superscript"/>
        </w:rPr>
        <w:t>-1</w:t>
      </w:r>
      <w:r w:rsidR="004B3767">
        <w:t xml:space="preserve">, </w:t>
      </w:r>
      <w:r w:rsidR="008B59BB">
        <w:t>at the end of December 2012. However, there is also a peak in POC (4.9 mg C m</w:t>
      </w:r>
      <w:r w:rsidR="008B59BB" w:rsidRPr="00124D15">
        <w:rPr>
          <w:vertAlign w:val="superscript"/>
        </w:rPr>
        <w:t>-2</w:t>
      </w:r>
      <w:r w:rsidR="008B59BB">
        <w:t xml:space="preserve"> d</w:t>
      </w:r>
      <w:r w:rsidR="008B59BB" w:rsidRPr="00124D15">
        <w:rPr>
          <w:vertAlign w:val="superscript"/>
        </w:rPr>
        <w:t>-1</w:t>
      </w:r>
      <w:r w:rsidR="008B59BB">
        <w:t xml:space="preserve">) in </w:t>
      </w:r>
      <w:r w:rsidR="00AE7A3A">
        <w:t xml:space="preserve">October </w:t>
      </w:r>
      <w:r w:rsidR="00A70ACD">
        <w:t xml:space="preserve">2013 </w:t>
      </w:r>
      <w:r w:rsidR="00AE7A3A">
        <w:t>that</w:t>
      </w:r>
      <w:r w:rsidR="008B59BB">
        <w:t xml:space="preserve"> we</w:t>
      </w:r>
      <w:r w:rsidR="00452A92">
        <w:t xml:space="preserve"> do not observe for </w:t>
      </w:r>
      <w:r w:rsidR="005A2DCC">
        <w:t>ac</w:t>
      </w:r>
      <w:r w:rsidR="006578F6">
        <w:t>antharia</w:t>
      </w:r>
      <w:r w:rsidR="00C55000">
        <w:t>n</w:t>
      </w:r>
      <w:r w:rsidR="005A2DCC">
        <w:t xml:space="preserve"> cysts</w:t>
      </w:r>
      <w:r w:rsidR="007B6F00">
        <w:t>.</w:t>
      </w:r>
      <w:r w:rsidR="00737937">
        <w:t xml:space="preserve"> </w:t>
      </w:r>
    </w:p>
    <w:p w14:paraId="50C772A2" w14:textId="0730294F" w:rsidR="00C44A0E" w:rsidRDefault="008F1308" w:rsidP="002610D1">
      <w:pPr>
        <w:spacing w:line="360" w:lineRule="auto"/>
      </w:pPr>
      <w:r>
        <w:t>A</w:t>
      </w:r>
      <w:r w:rsidR="006578F6" w:rsidRPr="00C44A0E">
        <w:t>cantharia</w:t>
      </w:r>
      <w:r w:rsidR="00C55000">
        <w:t>n</w:t>
      </w:r>
      <w:r w:rsidR="006578F6" w:rsidRPr="00C44A0E">
        <w:t xml:space="preserve"> </w:t>
      </w:r>
      <w:r w:rsidR="005A2DCC">
        <w:t xml:space="preserve">cysts </w:t>
      </w:r>
      <w:r w:rsidR="0059430E">
        <w:t>make</w:t>
      </w:r>
      <w:r w:rsidR="00C01EA1">
        <w:t xml:space="preserve"> the largest contribution to the total POC flux during period 1 when fluxes of </w:t>
      </w:r>
      <w:r w:rsidR="005A2DCC">
        <w:t>a</w:t>
      </w:r>
      <w:r w:rsidR="00C01EA1">
        <w:t>cantharia</w:t>
      </w:r>
      <w:r w:rsidR="00C55000">
        <w:t>n</w:t>
      </w:r>
      <w:r w:rsidR="00C01EA1">
        <w:t xml:space="preserve"> </w:t>
      </w:r>
      <w:r w:rsidR="005A2DCC">
        <w:t xml:space="preserve">cysts </w:t>
      </w:r>
      <w:r w:rsidR="00C01EA1">
        <w:t>are high (</w:t>
      </w:r>
      <w:r w:rsidR="00FE0510">
        <w:t>Fig. 4</w:t>
      </w:r>
      <w:r w:rsidR="00C01EA1">
        <w:t>).</w:t>
      </w:r>
      <w:r w:rsidR="00EB18EF">
        <w:t xml:space="preserve"> T</w:t>
      </w:r>
      <w:r w:rsidR="00452A92">
        <w:t>he peak in percent contribution</w:t>
      </w:r>
      <w:r w:rsidR="00C01EA1">
        <w:t xml:space="preserve"> (2</w:t>
      </w:r>
      <w:r w:rsidR="00C97CFF">
        <w:t>3</w:t>
      </w:r>
      <w:r w:rsidR="00C01EA1">
        <w:t>-2</w:t>
      </w:r>
      <w:r w:rsidR="00C97CFF">
        <w:t>6</w:t>
      </w:r>
      <w:r w:rsidR="00C01EA1">
        <w:t xml:space="preserve">%) </w:t>
      </w:r>
      <w:r w:rsidR="00452A92">
        <w:t xml:space="preserve">occurred </w:t>
      </w:r>
      <w:r w:rsidR="00C01EA1">
        <w:t>at the end of January and February, with a slightly reduced contribution at the end of December 2012 (1</w:t>
      </w:r>
      <w:r w:rsidR="00C97CFF">
        <w:t>7</w:t>
      </w:r>
      <w:r w:rsidR="00C01EA1">
        <w:t xml:space="preserve">%) when fluxes of POC and </w:t>
      </w:r>
      <w:r w:rsidR="005A2DCC">
        <w:t>a</w:t>
      </w:r>
      <w:r w:rsidR="00C01EA1">
        <w:t>cantharia</w:t>
      </w:r>
      <w:r w:rsidR="00C55000">
        <w:t>n</w:t>
      </w:r>
      <w:r w:rsidR="00C01EA1">
        <w:t xml:space="preserve"> </w:t>
      </w:r>
      <w:r w:rsidR="005A2DCC">
        <w:t xml:space="preserve">cysts </w:t>
      </w:r>
      <w:r w:rsidR="006E589C">
        <w:t xml:space="preserve">were </w:t>
      </w:r>
      <w:r w:rsidR="00C01EA1">
        <w:t>highest. This is</w:t>
      </w:r>
      <w:r w:rsidR="0059430E">
        <w:t xml:space="preserve"> </w:t>
      </w:r>
      <w:r w:rsidR="0059473B">
        <w:t xml:space="preserve">most likely </w:t>
      </w:r>
      <w:r w:rsidR="00C01EA1">
        <w:t xml:space="preserve">due to the large amount of phytodetrital material in </w:t>
      </w:r>
      <w:r w:rsidR="00452A92">
        <w:t xml:space="preserve">the December 2012 sample, </w:t>
      </w:r>
      <w:r w:rsidR="00C01EA1">
        <w:t>which</w:t>
      </w:r>
      <w:r w:rsidR="00EB18EF">
        <w:t xml:space="preserve"> </w:t>
      </w:r>
      <w:r w:rsidR="00C01EA1">
        <w:t>made a large contribution to the POC flux (author observations)</w:t>
      </w:r>
      <w:r w:rsidR="00452A92">
        <w:t xml:space="preserve">. </w:t>
      </w:r>
      <w:r w:rsidR="008D7D8D">
        <w:t>During this period</w:t>
      </w:r>
      <w:r w:rsidR="00B358C5">
        <w:t>,</w:t>
      </w:r>
      <w:r w:rsidR="008D7D8D">
        <w:t xml:space="preserve"> large round cysts were dominant in terms of the contribution to the carbon </w:t>
      </w:r>
      <w:r w:rsidR="008D7D8D" w:rsidRPr="008D7D8D">
        <w:t>flux (</w:t>
      </w:r>
      <w:r w:rsidR="00FE0510">
        <w:t>Fig. 3</w:t>
      </w:r>
      <w:r w:rsidR="008D7D8D">
        <w:t>B</w:t>
      </w:r>
      <w:r w:rsidR="008D7D8D" w:rsidRPr="008D7D8D">
        <w:t>).</w:t>
      </w:r>
      <w:r w:rsidR="008D7D8D">
        <w:t xml:space="preserve"> </w:t>
      </w:r>
      <w:r w:rsidR="00452A92">
        <w:t>The contribution of acantharia</w:t>
      </w:r>
      <w:r w:rsidR="00C55000">
        <w:t>n</w:t>
      </w:r>
      <w:r w:rsidR="00452A92">
        <w:t xml:space="preserve"> cysts to the POC flux was &lt;4% for period 2 due </w:t>
      </w:r>
      <w:r w:rsidR="00576279">
        <w:t xml:space="preserve">to </w:t>
      </w:r>
      <w:r w:rsidR="00452A92">
        <w:t>low fluxes of acantharia</w:t>
      </w:r>
      <w:r w:rsidR="00C55000">
        <w:t>n</w:t>
      </w:r>
      <w:r w:rsidR="00452A92">
        <w:t xml:space="preserve"> cysts.</w:t>
      </w:r>
      <w:r w:rsidR="002610D1">
        <w:t xml:space="preserve"> </w:t>
      </w:r>
      <w:r w:rsidR="008D7D8D" w:rsidRPr="008D7D8D">
        <w:t>The relative size of the large round cysts is such that even though their</w:t>
      </w:r>
      <w:r w:rsidR="005D0DDD">
        <w:t xml:space="preserve"> percent</w:t>
      </w:r>
      <w:r w:rsidR="008D7D8D" w:rsidRPr="008D7D8D">
        <w:t xml:space="preserve"> contribution to </w:t>
      </w:r>
      <w:r w:rsidR="005D0DDD">
        <w:t xml:space="preserve">acantharian cyst </w:t>
      </w:r>
      <w:r w:rsidR="008D7D8D" w:rsidRPr="008D7D8D">
        <w:t>flux decrease</w:t>
      </w:r>
      <w:r w:rsidR="005D0DDD">
        <w:t>d</w:t>
      </w:r>
      <w:r w:rsidR="008D7D8D" w:rsidRPr="008D7D8D">
        <w:t xml:space="preserve"> </w:t>
      </w:r>
      <w:r w:rsidR="00D306F6">
        <w:t>during period 2</w:t>
      </w:r>
      <w:r w:rsidR="008D7D8D" w:rsidRPr="008D7D8D">
        <w:t>, they still dominate</w:t>
      </w:r>
      <w:r w:rsidR="005D0DDD">
        <w:t>d</w:t>
      </w:r>
      <w:r w:rsidR="008D7D8D" w:rsidRPr="008D7D8D">
        <w:t xml:space="preserve"> the</w:t>
      </w:r>
      <w:r w:rsidR="005D0DDD">
        <w:t xml:space="preserve"> acantharian cyst</w:t>
      </w:r>
      <w:r w:rsidR="008D7D8D" w:rsidRPr="008D7D8D">
        <w:t xml:space="preserve"> volume and </w:t>
      </w:r>
      <w:r w:rsidR="00685B74">
        <w:t>POC</w:t>
      </w:r>
      <w:r w:rsidR="008D7D8D" w:rsidRPr="008D7D8D">
        <w:t xml:space="preserve"> flux (</w:t>
      </w:r>
      <w:r w:rsidR="00FE0510">
        <w:t>Fig. 3</w:t>
      </w:r>
      <w:r w:rsidR="008D7D8D" w:rsidRPr="008D7D8D">
        <w:t>).</w:t>
      </w:r>
      <w:r w:rsidR="008D7D8D">
        <w:t xml:space="preserve"> </w:t>
      </w:r>
      <w:r w:rsidR="002610D1">
        <w:t>Although most of the acantharia</w:t>
      </w:r>
      <w:r w:rsidR="00C55000">
        <w:t>n</w:t>
      </w:r>
      <w:r w:rsidR="002610D1">
        <w:t xml:space="preserve"> carbon flux (9</w:t>
      </w:r>
      <w:r w:rsidR="00C97CFF">
        <w:t>1</w:t>
      </w:r>
      <w:r w:rsidR="002610D1">
        <w:t>%) occurred between 15</w:t>
      </w:r>
      <w:r w:rsidR="002610D1" w:rsidRPr="003C42A8">
        <w:rPr>
          <w:vertAlign w:val="superscript"/>
        </w:rPr>
        <w:t>th</w:t>
      </w:r>
      <w:r w:rsidR="002610D1">
        <w:t xml:space="preserve"> December 2012 and 28</w:t>
      </w:r>
      <w:r w:rsidR="002610D1" w:rsidRPr="003C42A8">
        <w:rPr>
          <w:vertAlign w:val="superscript"/>
        </w:rPr>
        <w:t>th</w:t>
      </w:r>
      <w:r w:rsidR="002610D1">
        <w:t xml:space="preserve"> February 2013 (period 1), there were still measureable fluxes throughout the year and the annual contribution of acantharia</w:t>
      </w:r>
      <w:r w:rsidR="00C55000">
        <w:t>n</w:t>
      </w:r>
      <w:r w:rsidR="002610D1">
        <w:t xml:space="preserve"> cysts to total POC flux was 17%.</w:t>
      </w:r>
    </w:p>
    <w:p w14:paraId="56B4DCEA" w14:textId="12980AFF" w:rsidR="002610D1" w:rsidRDefault="002610D1" w:rsidP="002610D1">
      <w:pPr>
        <w:spacing w:line="360" w:lineRule="auto"/>
      </w:pPr>
      <w:r>
        <w:t xml:space="preserve">These fluxes </w:t>
      </w:r>
      <w:r w:rsidR="003A7076">
        <w:t xml:space="preserve">of acantharian cysts </w:t>
      </w:r>
      <w:r w:rsidR="00404B07">
        <w:t xml:space="preserve">in the bathypelagic zone </w:t>
      </w:r>
      <w:r>
        <w:t>are unprecedented in the literature, highlighting that</w:t>
      </w:r>
      <w:r w:rsidR="0059473B">
        <w:t>, as with</w:t>
      </w:r>
      <w:r>
        <w:t xml:space="preserve"> other organisms such as diatom resting spores </w:t>
      </w:r>
      <w:r>
        <w:fldChar w:fldCharType="begin" w:fldLock="1"/>
      </w:r>
      <w:r w:rsidR="00B93937">
        <w:instrText>ADDIN CSL_CITATION { "citationItems" : [ { "id" : "ITEM-1", "itemData" : { "DOI" : "10.1016/j.dsr.2016.05.002", "ISSN" : "0967-0637", "author" : [ { "dropping-particle" : "", "family" : "Rembauville", "given" : "M", "non-dropping-particle" : "", "parse-names" : false, "suffix" : "" }, { "dropping-particle" : "", "family" : "Manno", "given" : "C", "non-dropping-particle" : "", "parse-names" : false, "suffix" : "" }, { "dropping-particle" : "", "family" : "Tarling", "given" : "G A", "non-dropping-particle" : "", "parse-names" : false, "suffix" : "" }, { "dropping-particle" : "", "family" : "Blain", "given" : "S", "non-dropping-particle" : "", "parse-names" : false, "suffix" : "" }, { "dropping-particle" : "", "family" : "Salter", "given" : "I", "non-dropping-particle" : "", "parse-names" : false, "suffix" : "" } ], "container-title" : "Deep-Sea Research Part I", "id" : "ITEM-1", "issued" : { "date-parts" : [ [ "2016" ] ] }, "page" : "22-35", "publisher" : "Elsevier", "title" : "Strong contribution of diatom resting spores to deep-sea carbon transfer in naturally iron-fertilized waters downstream of South Georgia", "type" : "article-journal", "volume" : "115" }, "uris" : [ "http://www.mendeley.com/documents/?uuid=386647d2-7911-46d1-9a6b-8a18ddf3a9dc" ] } ], "mendeley" : { "formattedCitation" : "(Rembauville et al. 2016)", "plainTextFormattedCitation" : "(Rembauville et al. 2016)", "previouslyFormattedCitation" : "(Rembauville et al. 2016)" }, "properties" : {  }, "schema" : "https://github.com/citation-style-language/schema/raw/master/csl-citation.json" }</w:instrText>
      </w:r>
      <w:r>
        <w:fldChar w:fldCharType="separate"/>
      </w:r>
      <w:r w:rsidR="00C427C5" w:rsidRPr="00C427C5">
        <w:rPr>
          <w:noProof/>
        </w:rPr>
        <w:t>(Rembauville et al. 2016)</w:t>
      </w:r>
      <w:r>
        <w:fldChar w:fldCharType="end"/>
      </w:r>
      <w:r>
        <w:t xml:space="preserve">, Acantharia can make a significant contribution to the biological carbon pump during specific events. </w:t>
      </w:r>
      <w:r w:rsidR="005E382E">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rsidR="005E382E">
        <w:fldChar w:fldCharType="separate"/>
      </w:r>
      <w:r w:rsidR="005E382E" w:rsidRPr="003F4D2C">
        <w:rPr>
          <w:noProof/>
        </w:rPr>
        <w:t xml:space="preserve">Martin et al. </w:t>
      </w:r>
      <w:r w:rsidR="005E382E">
        <w:rPr>
          <w:noProof/>
        </w:rPr>
        <w:t>(</w:t>
      </w:r>
      <w:r w:rsidR="005E382E" w:rsidRPr="003F4D2C">
        <w:rPr>
          <w:noProof/>
        </w:rPr>
        <w:t>2010)</w:t>
      </w:r>
      <w:r w:rsidR="005E382E">
        <w:fldChar w:fldCharType="end"/>
      </w:r>
      <w:r w:rsidR="005E382E">
        <w:t xml:space="preserve"> measured peak contributions</w:t>
      </w:r>
      <w:r w:rsidR="0021550C">
        <w:t xml:space="preserve"> from acantharian cysts</w:t>
      </w:r>
      <w:r w:rsidR="005E382E">
        <w:t xml:space="preserve"> of 48% to total POC flux but suggest</w:t>
      </w:r>
      <w:r w:rsidR="00EB18EF">
        <w:t>ed</w:t>
      </w:r>
      <w:r w:rsidR="005E382E">
        <w:t xml:space="preserve"> that acantharia</w:t>
      </w:r>
      <w:r w:rsidR="00C55000">
        <w:t>n</w:t>
      </w:r>
      <w:r w:rsidR="005E382E">
        <w:t xml:space="preserve"> cysts did not account for more than 1-2% of total annual POC flux to their sediment traps at 2000 m in the Iceland Basin. In the Greenland Sea, acantharia</w:t>
      </w:r>
      <w:r w:rsidR="00C55000">
        <w:t>n</w:t>
      </w:r>
      <w:r w:rsidR="005E382E">
        <w:t xml:space="preserve"> cysts contributed 32% to the total POC at 100 m, but only 0.9 and &lt;0.1% at 1000 and 2200 m respectively </w:t>
      </w:r>
      <w:r w:rsidR="005E382E">
        <w:fldChar w:fldCharType="begin" w:fldLock="1"/>
      </w:r>
      <w:r w:rsidR="00B93937">
        <w:instrText>ADDIN CSL_CITATION { "citationItems" : [ { "id" : "ITEM-1",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"ITEM-1", "issue" : "1", "issued" : { "date-parts" : [ [ "1993" ] ] }, "page" : "99-114", "title" : "Abundance, encystment and sedimentation of acantharia during autumn 1990 in the East Greenland Sea", "type" : "article-journal", "volume" : "15" }, "uris" : [ "http://www.mendeley.com/documents/?uuid=26c32220-bbd7-4ed1-98f3-5fb9f6766313" ] } ], "mendeley" : { "formattedCitation" : "(Antia et al. 1993)", "plainTextFormattedCitation" : "(Antia et al. 1993)", "previouslyFormattedCitation" : "(Antia et al. 1993)" }, "properties" : {  }, "schema" : "https://github.com/citation-style-language/schema/raw/master/csl-citation.json" }</w:instrText>
      </w:r>
      <w:r w:rsidR="005E382E">
        <w:fldChar w:fldCharType="separate"/>
      </w:r>
      <w:r w:rsidR="005E382E" w:rsidRPr="00F2713D">
        <w:rPr>
          <w:noProof/>
        </w:rPr>
        <w:t>(Antia et al. 1993)</w:t>
      </w:r>
      <w:r w:rsidR="005E382E">
        <w:fldChar w:fldCharType="end"/>
      </w:r>
      <w:r w:rsidR="005E382E">
        <w:t xml:space="preserve">. </w:t>
      </w:r>
      <w:r>
        <w:t>In particular</w:t>
      </w:r>
      <w:r w:rsidR="005D0DDD">
        <w:t>,</w:t>
      </w:r>
      <w:r>
        <w:t xml:space="preserve"> it was the large round acantharia</w:t>
      </w:r>
      <w:r w:rsidR="00C55000">
        <w:t>n</w:t>
      </w:r>
      <w:r>
        <w:t xml:space="preserve"> cysts (</w:t>
      </w:r>
      <w:r w:rsidR="00FE0510">
        <w:t>Fig. 2</w:t>
      </w:r>
      <w:r>
        <w:t>) that made the dominant contribution (&gt;8</w:t>
      </w:r>
      <w:r w:rsidR="00C97CFF">
        <w:t>8</w:t>
      </w:r>
      <w:r>
        <w:t>%) to the acantharia</w:t>
      </w:r>
      <w:r w:rsidR="00C55000">
        <w:t>n</w:t>
      </w:r>
      <w:r>
        <w:t xml:space="preserve"> cyst POC flux during the high sedimentation period (period 1)</w:t>
      </w:r>
      <w:r w:rsidRPr="00960DA9">
        <w:t xml:space="preserve"> </w:t>
      </w:r>
      <w:r>
        <w:t xml:space="preserve">at our study site. This highlights the ability of an </w:t>
      </w:r>
      <w:r w:rsidR="0059473B">
        <w:t>organism</w:t>
      </w:r>
      <w:r>
        <w:t xml:space="preserve"> to have a significant impact on POC fluxes</w:t>
      </w:r>
      <w:r w:rsidR="003F5FB4">
        <w:t xml:space="preserve"> in the bathypelagic zone</w:t>
      </w:r>
      <w:r>
        <w:t>.</w:t>
      </w:r>
      <w:r w:rsidR="00204381">
        <w:t xml:space="preserve"> Due to their composition, fluxes of acantharian cysts also contribute</w:t>
      </w:r>
      <w:r w:rsidR="00EB18EF">
        <w:t xml:space="preserve"> to the cycling of elements including</w:t>
      </w:r>
      <w:r w:rsidR="00204381">
        <w:t xml:space="preserve"> strontium and phosphorous</w:t>
      </w:r>
      <w:r w:rsidR="00EB18EF">
        <w:t xml:space="preserve">; these elements, however, </w:t>
      </w:r>
      <w:r w:rsidR="00204381">
        <w:t>were not analysed in this study.</w:t>
      </w:r>
    </w:p>
    <w:p w14:paraId="085495AF" w14:textId="77777777" w:rsidR="00737937" w:rsidRDefault="00CD3CB6" w:rsidP="002610D1">
      <w:pPr>
        <w:spacing w:line="360" w:lineRule="auto"/>
      </w:pPr>
      <w:r>
        <w:lastRenderedPageBreak/>
        <w:t>Geographical variation in the contribution of acantharian cysts to bathypelagic zone POC fluxes may also relate to the level of celestite saturation in the water column. This depends not only on the concentration of celestite, and its ions (Sr</w:t>
      </w:r>
      <w:r w:rsidRPr="00276581">
        <w:rPr>
          <w:vertAlign w:val="superscript"/>
        </w:rPr>
        <w:t>2+</w:t>
      </w:r>
      <w:r>
        <w:t xml:space="preserve"> and SO</w:t>
      </w:r>
      <w:r w:rsidRPr="00276581">
        <w:rPr>
          <w:vertAlign w:val="subscript"/>
        </w:rPr>
        <w:t>4</w:t>
      </w:r>
      <w:r w:rsidRPr="00276581">
        <w:rPr>
          <w:vertAlign w:val="superscript"/>
        </w:rPr>
        <w:t>2-</w:t>
      </w:r>
      <w:r>
        <w:t xml:space="preserve">), but also on </w:t>
      </w:r>
      <w:r w:rsidR="00774940">
        <w:t>ocean</w:t>
      </w:r>
      <w:r>
        <w:t xml:space="preserve"> temperature, salinity and pressure </w:t>
      </w:r>
      <w:r>
        <w:fldChar w:fldCharType="begin" w:fldLock="1"/>
      </w:r>
      <w:r>
        <w:instrText>ADDIN CSL_CITATION { "citationItems" : [ { "id" : "ITEM-1", "itemData" : { "DOI" : "10.1016/S0304-4203(99)00089-4", "ISBN" : "0304-4203", "ISSN" : "03044203", "abstract" : "The stoichiometric solubility product, K(sp,T)/*, of barite and celestite in seawater has been calculated using thermodynamic constants, K(so), and the activity coefficients for barium, strontium, and sulfate in seawater. An equation of the form: InK(sp,T)/* = A + BlnT + C/T + DS(n) has been used. The constants A, B, C, D and n are derived from the calculated stoichiometric (or total) solubility product of barite and celestite in seawater as a function of temperature and salinity. T is the absolute temperature (K) and S is the salinity. The effect of pressure on K(sp/T)/* is also calculated. Comparing the solubility products determined from this equation and the pressure effect equation to the distribution of Ba, Sr and SO4in seawater, we conclude that the upper surface water of the Southern Ocean is likely supersaturated with respect to pure barite, in agreement with Jeandel et al. [Jeandel, C., Dupre, B., Lebaron, G., Monnin, C., Minster, J.F., 1996. Longitudinal distributions of dissolved barium, silica and alkalinity in the western and southern Indian Ocean. Deep-Sea Res. 43, 1-31.] and Monnin et al. [Monnin, C., Jeandel, C., Cattaldo, T., Dehairs, F., 1999. The marine barite saturation state of the world oceans. Mar. Chem. 65, 253-261.] and that the oceanic water column is typically &lt; 30% saturated with respect to celestite. The model, which includes the thermodynamic solid-solution behavior of barite in seawater at 25\u00b0C and 1 atm, suggests that this mineral may contain up to 13 mol% SrSO4at equilibrium. Accordingly, we have determined the stoichiometric solubility products of strontian barite as a function of salinity and temperature: In(Ba)K'(sp) = 247.88 - 38.333lnT - 15421/T + 1.27S0.3. Using our model results for the total solubility product of the Sr-barite phase and seawater Ba and SO4concentration data, we conclude that the maximum saturation level of the oceans with respect to marine barite is 63% in the North Atlantic, 88% in the Indian Ocean, and 111% in the North Pacific. The depth of this maximum saturation level is shallower in the Atlantic Ocean (about 1000 m) than in the Pacific and Indian oceans (about 2000 m). (C) 2000 Elsevier Science B.V.", "author" : [ { "dropping-particle" : "", "family" : "Rushdi", "given" : "Ahmed I.", "non-dropping-particle" : "", "parse-names" : false, "suffix" : "" }, { "dropping-particle" : "", "family" : "McManus", "given" : "James", "non-dropping-particle" : "", "parse-names" : false, "suffix" : "" }, { "dropping-particle" : "", "family" : "Collier", "given" : "Robert W.", "non-dropping-particle" : "", "parse-names" : false, "suffix" : "" } ], "container-title" : "Marine Chemistry", "id" : "ITEM-1", "issue" : "1-2", "issued" : { "date-parts" : [ [ "2000" ] ] }, "page" : "19-31", "title" : "Marine barite and celestite saturation in seawater", "type" : "article-journal", "volume" : "69" }, "uris" : [ "http://www.mendeley.com/documents/?uuid=1027c066-cf0f-47a5-af99-07f9911f966f" ] } ], "mendeley" : { "formattedCitation" : "(Rushdi et al. 2000)", "plainTextFormattedCitation" : "(Rushdi et al. 2000)", "previouslyFormattedCitation" : "(Rushdi et al. 2000)" }, "properties" : {  }, "schema" : "https://github.com/citation-style-language/schema/raw/master/csl-citation.json" }</w:instrText>
      </w:r>
      <w:r>
        <w:fldChar w:fldCharType="separate"/>
      </w:r>
      <w:r w:rsidRPr="00276581">
        <w:rPr>
          <w:noProof/>
        </w:rPr>
        <w:t>(Rushdi et al. 2000)</w:t>
      </w:r>
      <w:r>
        <w:fldChar w:fldCharType="end"/>
      </w:r>
      <w:r>
        <w:t>. Indeed dissolved Sr concentrations vary both wi</w:t>
      </w:r>
      <w:r w:rsidR="00923701">
        <w:t xml:space="preserve">th depth and among ocean basins; </w:t>
      </w:r>
      <w:r>
        <w:fldChar w:fldCharType="begin" w:fldLock="1"/>
      </w:r>
      <w:r>
        <w:instrText>ADDIN CSL_CITATION { "citationItems" : [ { "id" : "ITEM-1", "itemData" : { "DOI" : "10.1016/S0012-821X(99)00174-0", "author" : [ { "dropping-particle" : "", "family" : "Villiers", "given" : "St\u00e9phanie", "non-dropping-particle" : "de", "parse-names" : false, "suffix" : "" } ], "container-title" : "Earth and Planetary Science Letters", "id" : "ITEM-1", "issued" : { "date-parts" : [ [ "1999" ] ] }, "page" : "623\u2013634", "title" : "Seawater Sr and Sr/Ca variability in the Atlantic and Pacific oceans", "type" : "article-journal", "volume" : "171" }, "uris" : [ "http://www.mendeley.com/documents/?uuid=fb8f2b7e-d504-4ffa-bb9a-51d06d9acf92" ] } ], "mendeley" : { "formattedCitation" : "(de Villiers 1999)", "manualFormatting" : "de Villiers (1999)", "plainTextFormattedCitation" : "(de Villiers 1999)", "previouslyFormattedCitation" : "(de Villiers 1999)" }, "properties" : {  }, "schema" : "https://github.com/citation-style-language/schema/raw/master/csl-citation.json" }</w:instrText>
      </w:r>
      <w:r>
        <w:fldChar w:fldCharType="separate"/>
      </w:r>
      <w:r w:rsidRPr="008955B8">
        <w:rPr>
          <w:noProof/>
        </w:rPr>
        <w:t xml:space="preserve">de Villiers </w:t>
      </w:r>
      <w:r>
        <w:rPr>
          <w:noProof/>
        </w:rPr>
        <w:t>(</w:t>
      </w:r>
      <w:r w:rsidRPr="008955B8">
        <w:rPr>
          <w:noProof/>
        </w:rPr>
        <w:t>1999)</w:t>
      </w:r>
      <w:r>
        <w:fldChar w:fldCharType="end"/>
      </w:r>
      <w:r>
        <w:t xml:space="preserve"> measured higher Sr concentrations in Antarctic Intermediate water (at ~450 m depth) in the South Pacific </w:t>
      </w:r>
      <w:r w:rsidR="00774940">
        <w:t>compared to the Nort</w:t>
      </w:r>
      <w:r w:rsidR="00EB18EF">
        <w:t>h Atlantic. Their data suggest</w:t>
      </w:r>
      <w:r w:rsidR="00774940">
        <w:t xml:space="preserve"> that</w:t>
      </w:r>
      <w:r>
        <w:t xml:space="preserve"> Sr has a ‘labile nutrient-like’ behaviour in the ocean with elevated surface values at high latitudes and areas of upwelling. </w:t>
      </w:r>
      <w:r w:rsidR="00774940">
        <w:t>Acantharian cysts are</w:t>
      </w:r>
      <w:r>
        <w:t xml:space="preserve"> therefore less susceptible to dissolution in regions with higher dissolved Sr, and may be able to contribute more to bathypelagic zo</w:t>
      </w:r>
      <w:r w:rsidR="0031518C">
        <w:t xml:space="preserve">ne POC fluxes in these regions. </w:t>
      </w:r>
    </w:p>
    <w:p w14:paraId="589E1EE8" w14:textId="2C3F02A1" w:rsidR="002610D1" w:rsidRDefault="002610D1" w:rsidP="002610D1">
      <w:pPr>
        <w:spacing w:line="360" w:lineRule="auto"/>
      </w:pPr>
      <w:r>
        <w:fldChar w:fldCharType="begin" w:fldLock="1"/>
      </w:r>
      <w:r w:rsidR="00B93937">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"http://www.mendeley.com/documents/?uuid=76efd1f3-04d9-447e-8870-e84c765d1d1c" ] } ], "mendeley" : { "formattedCitation" : "(Decelle et al. 2013)", "manualFormatting" : "Decelle et al. (2013)", "plainTextFormattedCitation" : "(Decelle et al. 2013)", "previouslyFormattedCitation" : "(Decelle et al. 2013)" }, "properties" : {  }, "schema" : "https://github.com/citation-style-language/schema/raw/master/csl-citation.json" }</w:instrText>
      </w:r>
      <w:r>
        <w:fldChar w:fldCharType="separate"/>
      </w:r>
      <w:r w:rsidRPr="009F58D8">
        <w:rPr>
          <w:noProof/>
        </w:rPr>
        <w:t xml:space="preserve">Decelle et al. </w:t>
      </w:r>
      <w:r>
        <w:rPr>
          <w:noProof/>
        </w:rPr>
        <w:t>(</w:t>
      </w:r>
      <w:r w:rsidRPr="009F58D8">
        <w:rPr>
          <w:noProof/>
        </w:rPr>
        <w:t>2013)</w:t>
      </w:r>
      <w:r>
        <w:fldChar w:fldCharType="end"/>
      </w:r>
      <w:r>
        <w:t xml:space="preserve"> estimated the Acantharia flux at our study site in 2008 based on measurements of dissolved strontium in the </w:t>
      </w:r>
      <w:r w:rsidR="0092470F">
        <w:t xml:space="preserve">sediment </w:t>
      </w:r>
      <w:r>
        <w:t xml:space="preserve">trap sample preservative and the C:Sr ratio of </w:t>
      </w:r>
      <w:r>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fldChar w:fldCharType="separate"/>
      </w:r>
      <w:r w:rsidRPr="009F58D8">
        <w:rPr>
          <w:noProof/>
        </w:rPr>
        <w:t xml:space="preserve">Martin et al. </w:t>
      </w:r>
      <w:r>
        <w:rPr>
          <w:noProof/>
        </w:rPr>
        <w:t>(</w:t>
      </w:r>
      <w:r w:rsidRPr="009F58D8">
        <w:rPr>
          <w:noProof/>
        </w:rPr>
        <w:t>2010)</w:t>
      </w:r>
      <w:r>
        <w:fldChar w:fldCharType="end"/>
      </w:r>
      <w:r>
        <w:t>. They estimated fluxes of only 0.005-0.008 mg C m</w:t>
      </w:r>
      <w:r w:rsidRPr="00604089">
        <w:rPr>
          <w:vertAlign w:val="superscript"/>
        </w:rPr>
        <w:t>-2</w:t>
      </w:r>
      <w:r>
        <w:t xml:space="preserve"> d</w:t>
      </w:r>
      <w:r w:rsidRPr="00604089">
        <w:rPr>
          <w:vertAlign w:val="superscript"/>
        </w:rPr>
        <w:t>-1</w:t>
      </w:r>
      <w:r>
        <w:t xml:space="preserve"> at 2000 m, with highest fluxes in December 2008, which are lower than all fluxes we measured during 2012/2013 (0.01-5.</w:t>
      </w:r>
      <w:r w:rsidR="00C97CFF">
        <w:t>1</w:t>
      </w:r>
      <w:r>
        <w:t xml:space="preserve"> mg C m</w:t>
      </w:r>
      <w:r w:rsidRPr="00604089">
        <w:rPr>
          <w:vertAlign w:val="superscript"/>
        </w:rPr>
        <w:t>-2</w:t>
      </w:r>
      <w:r>
        <w:t xml:space="preserve"> d</w:t>
      </w:r>
      <w:r w:rsidRPr="00604089">
        <w:rPr>
          <w:vertAlign w:val="superscript"/>
        </w:rPr>
        <w:t>-1</w:t>
      </w:r>
      <w:r>
        <w:t>)</w:t>
      </w:r>
      <w:r w:rsidR="0059473B">
        <w:t>.</w:t>
      </w:r>
      <w:r>
        <w:t xml:space="preserve"> </w:t>
      </w:r>
      <w:r w:rsidR="0059473B">
        <w:t xml:space="preserve">This suggests </w:t>
      </w:r>
      <w:r>
        <w:t xml:space="preserve">that Acantharia did not make a large contribution to POC fluxes at </w:t>
      </w:r>
      <w:r w:rsidR="00EB18EF">
        <w:t xml:space="preserve">the </w:t>
      </w:r>
      <w:r>
        <w:t xml:space="preserve">P2 </w:t>
      </w:r>
      <w:r w:rsidR="00EB18EF">
        <w:t xml:space="preserve">study site </w:t>
      </w:r>
      <w:r>
        <w:t xml:space="preserve">in 2008. However, the estimates of </w:t>
      </w:r>
      <w:r>
        <w:fldChar w:fldCharType="begin" w:fldLock="1"/>
      </w:r>
      <w:r w:rsidR="00B93937">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"http://www.mendeley.com/documents/?uuid=76efd1f3-04d9-447e-8870-e84c765d1d1c" ] } ], "mendeley" : { "formattedCitation" : "(Decelle et al. 2013)", "manualFormatting" : "Decelle et al. (2013)", "plainTextFormattedCitation" : "(Decelle et al. 2013)", "previouslyFormattedCitation" : "(Decelle et al. 2013)" }, "properties" : {  }, "schema" : "https://github.com/citation-style-language/schema/raw/master/csl-citation.json" }</w:instrText>
      </w:r>
      <w:r>
        <w:fldChar w:fldCharType="separate"/>
      </w:r>
      <w:r w:rsidRPr="009F58D8">
        <w:rPr>
          <w:noProof/>
        </w:rPr>
        <w:t xml:space="preserve">Decelle et al. </w:t>
      </w:r>
      <w:r>
        <w:rPr>
          <w:noProof/>
        </w:rPr>
        <w:t>(</w:t>
      </w:r>
      <w:r w:rsidRPr="009F58D8">
        <w:rPr>
          <w:noProof/>
        </w:rPr>
        <w:t>2013)</w:t>
      </w:r>
      <w:r>
        <w:fldChar w:fldCharType="end"/>
      </w:r>
      <w:r>
        <w:t xml:space="preserve"> only take into account dissolved Sr so rely on the assumption that all Acantharia were dissolved in the sediment trap sample. Since the sediment traps at P2 were not buffered wit</w:t>
      </w:r>
      <w:r w:rsidRPr="009D19FD">
        <w:t>h SrCl</w:t>
      </w:r>
      <w:r w:rsidRPr="009D19FD">
        <w:rPr>
          <w:vertAlign w:val="subscript"/>
        </w:rPr>
        <w:t>2</w:t>
      </w:r>
      <w:r>
        <w:t xml:space="preserve">, </w:t>
      </w:r>
      <w:r w:rsidRPr="009D19FD">
        <w:t xml:space="preserve">dissolution of </w:t>
      </w:r>
      <w:r>
        <w:t>A</w:t>
      </w:r>
      <w:r w:rsidRPr="009D19FD">
        <w:t xml:space="preserve">cantharia </w:t>
      </w:r>
      <w:r>
        <w:t xml:space="preserve">and their cysts would occur due to the high solubility of celestite in seawater </w:t>
      </w:r>
      <w:r w:rsidRPr="009D19FD">
        <w:fldChar w:fldCharType="begin" w:fldLock="1"/>
      </w:r>
      <w:r w:rsidR="00B93937">
        <w:instrText>ADDIN CSL_CITATION { "citationItems" : [ { "id" : "ITEM-1", "itemData" : { "DOI" : "10.1029/GM063p0369", "author" : [ { "dropping-particle" : "", "family" : "Bernstein", "given" : "Renate E", "non-dropping-particle" : "", "parse-names" : false, "suffix" : "" }, { "dropping-particle" : "", "family" : "Betzer", "given" : "Peter R", "non-dropping-particle" : "", "parse-names" : false, "suffix" : "" } ], "container-title" : "Marine Particles: Analysis and Characterization", "editor" : [ { "dropping-particle" : "", "family" : "Hurd", "given" : "D C", "non-dropping-particle" : "", "parse-names" : false, "suffix" : "" }, { "dropping-particle" : "", "family" : "W", "given" : "Spencer D", "non-dropping-particle" : "", "parse-names" : false, "suffix" : "" } ], "id" : "ITEM-1", "issued" : { "date-parts" : [ [ "1991" ] ] }, "page" : "369-374", "publisher" : "American Geophysical Union", "publisher-place" : "Washington, DC", "title" : "Labile phases and the ocean's strontium cycle: A method of sediment trap sampling for acantharians", "type" : "chapter" }, "uris" : [ "http://www.mendeley.com/documents/?uuid=b12e71a0-bf66-4879-bd9a-d405aac3c8c8", "http://www.mendeley.com/documents/?uuid=45f85b7e-713f-40b6-a24a-2f6147e4260e" ] } ], "mendeley" : { "formattedCitation" : "(Bernstein and Betzer 1991)", "plainTextFormattedCitation" : "(Bernstein and Betzer 1991)", "previouslyFormattedCitation" : "(Bernstein and Betzer 1991)" }, "properties" : {  }, "schema" : "https://github.com/citation-style-language/schema/raw/master/csl-citation.json" }</w:instrText>
      </w:r>
      <w:r w:rsidRPr="009D19FD">
        <w:fldChar w:fldCharType="separate"/>
      </w:r>
      <w:r w:rsidRPr="000C32D3">
        <w:rPr>
          <w:noProof/>
        </w:rPr>
        <w:t>(Bernstein and Betzer 1991)</w:t>
      </w:r>
      <w:r w:rsidRPr="009D19FD">
        <w:fldChar w:fldCharType="end"/>
      </w:r>
      <w:r w:rsidRPr="009D19FD">
        <w:t xml:space="preserve">. However, if fluxes of </w:t>
      </w:r>
      <w:r>
        <w:t>A</w:t>
      </w:r>
      <w:r w:rsidRPr="009D19FD">
        <w:t xml:space="preserve">cantharia are </w:t>
      </w:r>
      <w:r w:rsidR="0059473B">
        <w:t xml:space="preserve">sufficiently </w:t>
      </w:r>
      <w:r w:rsidRPr="009D19FD">
        <w:t xml:space="preserve">high, then dissolution of </w:t>
      </w:r>
      <w:r>
        <w:t>Acantharia</w:t>
      </w:r>
      <w:r w:rsidRPr="009D19FD">
        <w:t xml:space="preserve"> in the sample cup will increase the Sr concentration </w:t>
      </w:r>
      <w:r>
        <w:t xml:space="preserve">(essentially forming a buffer) </w:t>
      </w:r>
      <w:r w:rsidRPr="009D19FD">
        <w:t xml:space="preserve">and allow preservation of the </w:t>
      </w:r>
      <w:r>
        <w:t>Acantharia</w:t>
      </w:r>
      <w:r w:rsidRPr="009D19FD">
        <w:t xml:space="preserve"> </w:t>
      </w:r>
      <w:r>
        <w:t xml:space="preserve">even </w:t>
      </w:r>
      <w:r w:rsidRPr="009D19FD">
        <w:t xml:space="preserve">in long term moorings </w:t>
      </w:r>
      <w:r w:rsidRPr="009D19FD">
        <w:fldChar w:fldCharType="begin" w:fldLock="1"/>
      </w:r>
      <w:r w:rsidR="00B93937">
        <w:instrText>ADDIN CSL_CITATION { "citationItems" : [ { "id" : "ITEM-1", "itemData" : { "DOI" : "10.1007/BF00391052", "author" : [ { "dropping-particle" : "", "family" : "Michaels", "given" : "A F", "non-dropping-particle" : "", "parse-names" : false, "suffix" : "" } ], "container-title" : "Marine Biology", "id" : "ITEM-1", "issued" : { "date-parts" : [ [ "1988" ] ] }, "page" : "559-569", "title" : "Vertical distribution and abundance of Acantharia and their symbionts", "type" : "article-journal", "volume" : "97" }, "uris" : [ "http://www.mendeley.com/documents/?uuid=56569154-dcd5-4915-8178-8f8814a77e01", "http://www.mendeley.com/documents/?uuid=7838f1e4-75a1-4bdd-b903-de7cb4addaff" ] }, { "id" : "ITEM-2",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"ITEM-2", "issue" : "1", "issued" : { "date-parts" : [ [ "1993" ] ] }, "page" : "99-114", "title" : "Abundance, encystment and sedimentation of acantharia during autumn 1990 in the East Greenland Sea", "type" : "article-journal", "volume" : "15" }, "uris" : [ "http://www.mendeley.com/documents/?uuid=26c32220-bbd7-4ed1-98f3-5fb9f6766313" ] } ], "mendeley" : { "formattedCitation" : "(Michaels 1988; Antia et al. 1993)", "plainTextFormattedCitation" : "(Michaels 1988; Antia et al. 1993)", "previouslyFormattedCitation" : "(Michaels 1988; Antia et al. 1993)" }, "properties" : {  }, "schema" : "https://github.com/citation-style-language/schema/raw/master/csl-citation.json" }</w:instrText>
      </w:r>
      <w:r w:rsidRPr="009D19FD">
        <w:fldChar w:fldCharType="separate"/>
      </w:r>
      <w:r w:rsidRPr="000C32D3">
        <w:rPr>
          <w:noProof/>
        </w:rPr>
        <w:t>(Michaels 1988; Antia et al. 1993)</w:t>
      </w:r>
      <w:r w:rsidRPr="009D19FD">
        <w:fldChar w:fldCharType="end"/>
      </w:r>
      <w:r w:rsidRPr="009D19FD">
        <w:t>.</w:t>
      </w:r>
      <w:r>
        <w:t xml:space="preserve"> </w:t>
      </w:r>
      <w:r w:rsidRPr="009D19FD">
        <w:t>This may explain why</w:t>
      </w:r>
      <w:r>
        <w:t xml:space="preserve"> both we and </w:t>
      </w:r>
      <w:r w:rsidRPr="009D19FD">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rsidRPr="009D19FD">
        <w:fldChar w:fldCharType="separate"/>
      </w:r>
      <w:r w:rsidRPr="009D19FD">
        <w:rPr>
          <w:noProof/>
        </w:rPr>
        <w:t xml:space="preserve">Martin et al. </w:t>
      </w:r>
      <w:r>
        <w:rPr>
          <w:noProof/>
        </w:rPr>
        <w:t>(</w:t>
      </w:r>
      <w:r w:rsidRPr="009D19FD">
        <w:rPr>
          <w:noProof/>
        </w:rPr>
        <w:t>2010)</w:t>
      </w:r>
      <w:r w:rsidRPr="009D19FD">
        <w:fldChar w:fldCharType="end"/>
      </w:r>
      <w:r>
        <w:t>, were able to observe acantharia</w:t>
      </w:r>
      <w:r w:rsidR="00C55000">
        <w:t>n</w:t>
      </w:r>
      <w:r>
        <w:t xml:space="preserve"> cysts in sediment trap samples despite the lack of </w:t>
      </w:r>
      <w:r w:rsidRPr="009D19FD">
        <w:t>SrCl</w:t>
      </w:r>
      <w:r w:rsidRPr="009D19FD">
        <w:rPr>
          <w:vertAlign w:val="subscript"/>
        </w:rPr>
        <w:t>2</w:t>
      </w:r>
      <w:r>
        <w:rPr>
          <w:vertAlign w:val="subscript"/>
        </w:rPr>
        <w:t xml:space="preserve"> </w:t>
      </w:r>
      <w:r>
        <w:t xml:space="preserve">buffer. Based on 8.25 µg Sr per cyst </w:t>
      </w:r>
      <w:r>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 } ], "mendeley" : { "formattedCitation" : "(Martin et al. 2010)", "plainTextFormattedCitation" : "(Martin et al. 2010)", "previouslyFormattedCitation" : "(Martin et al. 2010)" }, "properties" : {  }, "schema" : "https://github.com/citation-style-language/schema/raw/master/csl-citation.json" }</w:instrText>
      </w:r>
      <w:r>
        <w:fldChar w:fldCharType="separate"/>
      </w:r>
      <w:r w:rsidRPr="0086399F">
        <w:rPr>
          <w:noProof/>
        </w:rPr>
        <w:t>(Martin et al. 2010)</w:t>
      </w:r>
      <w:r>
        <w:fldChar w:fldCharType="end"/>
      </w:r>
      <w:r>
        <w:t>, ~890-1400 individual cysts would need to dissolve in one cup of sediment trap preservative to elevate the dissolved Sr concentrations to ~37-55 mg Sr L</w:t>
      </w:r>
      <w:r w:rsidRPr="000C4FCE">
        <w:rPr>
          <w:vertAlign w:val="superscript"/>
        </w:rPr>
        <w:t>-1</w:t>
      </w:r>
      <w:r>
        <w:t xml:space="preserve"> , i.e. the concentrations measured by </w:t>
      </w:r>
      <w:r>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fldChar w:fldCharType="separate"/>
      </w:r>
      <w:r w:rsidRPr="00142DCB">
        <w:rPr>
          <w:noProof/>
        </w:rPr>
        <w:t xml:space="preserve">Martin et al. </w:t>
      </w:r>
      <w:r>
        <w:rPr>
          <w:noProof/>
        </w:rPr>
        <w:t>(</w:t>
      </w:r>
      <w:r w:rsidRPr="00142DCB">
        <w:rPr>
          <w:noProof/>
        </w:rPr>
        <w:t>2010)</w:t>
      </w:r>
      <w:r>
        <w:fldChar w:fldCharType="end"/>
      </w:r>
      <w:r>
        <w:t xml:space="preserve"> when fluxes of acantharia</w:t>
      </w:r>
      <w:r w:rsidR="007B6F00">
        <w:t>n</w:t>
      </w:r>
      <w:r>
        <w:t xml:space="preserve"> cysts were high </w:t>
      </w:r>
      <w:r w:rsidRPr="00142DCB">
        <w:t>(149-577 ind. m</w:t>
      </w:r>
      <w:r w:rsidRPr="00142DCB">
        <w:rPr>
          <w:vertAlign w:val="superscript"/>
        </w:rPr>
        <w:t>-2</w:t>
      </w:r>
      <w:r w:rsidRPr="00142DCB">
        <w:t xml:space="preserve"> d</w:t>
      </w:r>
      <w:r w:rsidRPr="00142DCB">
        <w:rPr>
          <w:vertAlign w:val="superscript"/>
        </w:rPr>
        <w:t>-1</w:t>
      </w:r>
      <w:r w:rsidRPr="00142DCB">
        <w:t>)</w:t>
      </w:r>
      <w:r>
        <w:t>.</w:t>
      </w:r>
      <w:r w:rsidRPr="00142DCB">
        <w:t xml:space="preserve"> </w:t>
      </w:r>
      <w:r>
        <w:t xml:space="preserve">The estimates of Acantharia flux by </w:t>
      </w:r>
      <w:r>
        <w:fldChar w:fldCharType="begin" w:fldLock="1"/>
      </w:r>
      <w:r w:rsidR="00B93937">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"http://www.mendeley.com/documents/?uuid=76efd1f3-04d9-447e-8870-e84c765d1d1c" ] } ], "mendeley" : { "formattedCitation" : "(Decelle et al. 2013)", "manualFormatting" : "Decelle et al. (2013)", "plainTextFormattedCitation" : "(Decelle et al. 2013)", "previouslyFormattedCitation" : "(Decelle et al. 2013)" }, "properties" : {  }, "schema" : "https://github.com/citation-style-language/schema/raw/master/csl-citation.json" }</w:instrText>
      </w:r>
      <w:r>
        <w:fldChar w:fldCharType="separate"/>
      </w:r>
      <w:r w:rsidRPr="009F58D8">
        <w:rPr>
          <w:noProof/>
        </w:rPr>
        <w:t xml:space="preserve">Decelle et al. </w:t>
      </w:r>
      <w:r>
        <w:rPr>
          <w:noProof/>
        </w:rPr>
        <w:t>(</w:t>
      </w:r>
      <w:r w:rsidRPr="009F58D8">
        <w:rPr>
          <w:noProof/>
        </w:rPr>
        <w:t>2013)</w:t>
      </w:r>
      <w:r>
        <w:fldChar w:fldCharType="end"/>
      </w:r>
      <w:r>
        <w:t xml:space="preserve"> based on only dissolved Sr may therefore be an underestimate if fluxes of Acantharia were high enough to elevate the Sr concentration in the preservative to a level that would enable buffering and prevent further dissolution. Thus, our study highlights that both the particulate and dissolved </w:t>
      </w:r>
      <w:r>
        <w:lastRenderedPageBreak/>
        <w:t>fractions of sediment trap samples must be assessed to determine absolute Acantharia fluxes and their contribution to POC flux.</w:t>
      </w:r>
    </w:p>
    <w:p w14:paraId="4311C95E" w14:textId="46307D5B" w:rsidR="00516E98" w:rsidRDefault="00516E98" w:rsidP="00D058F7">
      <w:pPr>
        <w:spacing w:line="360" w:lineRule="auto"/>
        <w:jc w:val="both"/>
      </w:pPr>
    </w:p>
    <w:p w14:paraId="527B03C1" w14:textId="5E9DC387" w:rsidR="00055B72" w:rsidRDefault="00EB18EF" w:rsidP="00516E98">
      <w:pPr>
        <w:pStyle w:val="Caption"/>
        <w:spacing w:line="360" w:lineRule="auto"/>
      </w:pPr>
      <w:bookmarkStart w:id="11" w:name="_Ref349311265"/>
      <w:r w:rsidRPr="00EB18EF">
        <w:rPr>
          <w:noProof/>
          <w:lang w:eastAsia="en-GB"/>
        </w:rPr>
        <w:drawing>
          <wp:inline distT="0" distB="0" distL="0" distR="0" wp14:anchorId="27212E36" wp14:editId="017C74D3">
            <wp:extent cx="5270500" cy="3364300"/>
            <wp:effectExtent l="0" t="0" r="6350" b="7620"/>
            <wp:docPr id="8" name="Picture 8" descr="D:\Post-Doc\manuscripts\Acantharia- MannoBelcher\resubmitted\Fig.4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t-Doc\manuscripts\Acantharia- MannoBelcher\resubmitted\Fig.4 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364300"/>
                    </a:xfrm>
                    <a:prstGeom prst="rect">
                      <a:avLst/>
                    </a:prstGeom>
                    <a:noFill/>
                    <a:ln>
                      <a:noFill/>
                    </a:ln>
                  </pic:spPr>
                </pic:pic>
              </a:graphicData>
            </a:graphic>
          </wp:inline>
        </w:drawing>
      </w:r>
    </w:p>
    <w:p w14:paraId="1C66F85D" w14:textId="4821CB19" w:rsidR="00516E98" w:rsidRDefault="00516E98" w:rsidP="00516E98">
      <w:pPr>
        <w:pStyle w:val="Caption"/>
        <w:spacing w:line="360" w:lineRule="auto"/>
      </w:pPr>
      <w:r>
        <w:t xml:space="preserve">Fig. </w:t>
      </w:r>
      <w:fldSimple w:instr=" SEQ Figure \* ARABIC ">
        <w:r w:rsidR="007B6F00">
          <w:rPr>
            <w:noProof/>
          </w:rPr>
          <w:t>4</w:t>
        </w:r>
      </w:fldSimple>
      <w:bookmarkEnd w:id="11"/>
      <w:r>
        <w:t xml:space="preserve">: Sediment trap fluxes of particulate organic carbon (POC, black solid line), </w:t>
      </w:r>
      <w:r w:rsidR="0059473B">
        <w:t xml:space="preserve">carbon flux due to </w:t>
      </w:r>
      <w:r>
        <w:t>acantharia</w:t>
      </w:r>
      <w:r w:rsidR="00C55000">
        <w:t>n</w:t>
      </w:r>
      <w:r>
        <w:t xml:space="preserve"> cysts (grey solid line</w:t>
      </w:r>
      <w:r w:rsidR="00FF67BA">
        <w:t>, triangle markers</w:t>
      </w:r>
      <w:r>
        <w:t>), and the percentage contribution of acantharia</w:t>
      </w:r>
      <w:r w:rsidR="00C55000">
        <w:t>n</w:t>
      </w:r>
      <w:r>
        <w:t xml:space="preserve"> cysts to the total POC flux (dashed, thick black line). </w:t>
      </w:r>
      <w:r w:rsidR="00055B72">
        <w:t>Shown also (g</w:t>
      </w:r>
      <w:r w:rsidR="00DF2712">
        <w:t>reen</w:t>
      </w:r>
      <w:r w:rsidR="00055B72">
        <w:t xml:space="preserve"> dotted line) is the monthly mean satellite chlorophyll </w:t>
      </w:r>
      <w:r w:rsidR="00055B72">
        <w:rPr>
          <w:i/>
        </w:rPr>
        <w:t>a</w:t>
      </w:r>
      <w:r w:rsidR="00055B72">
        <w:t xml:space="preserve"> concentration (mg m</w:t>
      </w:r>
      <w:r w:rsidR="00055B72" w:rsidRPr="000D055A">
        <w:rPr>
          <w:vertAlign w:val="superscript"/>
        </w:rPr>
        <w:t>-3</w:t>
      </w:r>
      <w:r w:rsidR="00055B72">
        <w:t xml:space="preserve">). </w:t>
      </w:r>
      <w:r w:rsidR="00737937">
        <w:t>The v</w:t>
      </w:r>
      <w:r>
        <w:t>ertical grey dotted line marks period 1 and 2 defined by the magnitude of the</w:t>
      </w:r>
      <w:r w:rsidR="0059473B">
        <w:t xml:space="preserve"> acantharian cyst</w:t>
      </w:r>
      <w:r>
        <w:t xml:space="preserve"> flux (see main text).</w:t>
      </w:r>
    </w:p>
    <w:p w14:paraId="6D308888" w14:textId="1452361B" w:rsidR="00C43706" w:rsidRPr="00516E98" w:rsidRDefault="00C43706" w:rsidP="00C43706">
      <w:pPr>
        <w:spacing w:line="360" w:lineRule="auto"/>
      </w:pPr>
      <w:r>
        <w:rPr>
          <w:b/>
        </w:rPr>
        <w:t>Po</w:t>
      </w:r>
      <w:r w:rsidR="0059473B">
        <w:rPr>
          <w:b/>
        </w:rPr>
        <w:t>tential</w:t>
      </w:r>
      <w:r>
        <w:rPr>
          <w:b/>
        </w:rPr>
        <w:t xml:space="preserve"> environmental drivers of acantharia</w:t>
      </w:r>
      <w:r w:rsidR="00C55000">
        <w:rPr>
          <w:b/>
        </w:rPr>
        <w:t>n</w:t>
      </w:r>
      <w:r>
        <w:rPr>
          <w:b/>
        </w:rPr>
        <w:t xml:space="preserve"> cyst fluxes</w:t>
      </w:r>
    </w:p>
    <w:p w14:paraId="3CBAB23E" w14:textId="1CB84526" w:rsidR="00877764" w:rsidRDefault="00C43706" w:rsidP="005F0E41">
      <w:pPr>
        <w:spacing w:line="360" w:lineRule="auto"/>
      </w:pPr>
      <w:r>
        <w:t xml:space="preserve">Our study and that of </w:t>
      </w:r>
      <w:r>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fldChar w:fldCharType="separate"/>
      </w:r>
      <w:r w:rsidRPr="0055768E">
        <w:rPr>
          <w:noProof/>
        </w:rPr>
        <w:t xml:space="preserve">Martin et al. </w:t>
      </w:r>
      <w:r>
        <w:rPr>
          <w:noProof/>
        </w:rPr>
        <w:t>(</w:t>
      </w:r>
      <w:r w:rsidRPr="0055768E">
        <w:rPr>
          <w:noProof/>
        </w:rPr>
        <w:t>2010)</w:t>
      </w:r>
      <w:r>
        <w:fldChar w:fldCharType="end"/>
      </w:r>
      <w:r>
        <w:t xml:space="preserve"> demonstrate that, despite the high solubility of Acantharia </w:t>
      </w:r>
      <w:r>
        <w:fldChar w:fldCharType="begin" w:fldLock="1"/>
      </w:r>
      <w:r w:rsidR="00B93937">
        <w:instrText>ADDIN CSL_CITATION { "citationItems" : [ { "id" : "ITEM-1", "itemData" : { "DOI" : "10.1093/plankt/13.2.399", "author" : [ { "dropping-particle" : "", "family" : "Michaels", "given" : "Anthony F", "non-dropping-particle" : "", "parse-names" : false, "suffix" : "" } ], "container-title" : "Journal of Plankton Research", "id" : "ITEM-1", "issue" : "2", "issued" : { "date-parts" : [ [ "1991" ] ] }, "page" : "399-418", "title" : "Acantharian abundance and symbiont productivity at the VERTEX seasonal station", "type" : "article-journal", "volume" : "13" }, "uris" : [ "http://www.mendeley.com/documents/?uuid=5d0dd02c-2606-41be-b7fe-f48a02f6274a", "http://www.mendeley.com/documents/?uuid=5c707c09-9b72-4efa-b77c-8fbae8dbb4ea" ] }, { "id" : "ITEM-2", "itemData" : { "DOI" : "10.1093/plankt/17.1.131", "author" : [ { "dropping-particle" : "", "family" : "Michaels", "given" : "Anthony F", "non-dropping-particle" : "", "parse-names" : false, "suffix" : "" }, { "dropping-particle" : "", "family" : "Caron", "given" : "David A", "non-dropping-particle" : "", "parse-names" : false, "suffix" : "" }, { "dropping-particle" : "", "family" : "Swanberg", "given" : "Neil R", "non-dropping-particle" : "", "parse-names" : false, "suffix" : "" }, { "dropping-particle" : "", "family" : "Howse", "given" : "Frances A", "non-dropping-particle" : "", "parse-names" : false, "suffix" : "" }, { "dropping-particle" : "", "family" : "Michaels", "given" : "Claire M", "non-dropping-particle" : "", "parse-names" : false, "suffix" : "" } ], "container-title" : "Journal of Plankton Research", "id" : "ITEM-2", "issue" : "I", "issued" : { "date-parts" : [ [ "1995" ] ] }, "page" : "131-163", "title" : "Planktonic sarcodines (Acantharia, Radiolaria, Foraminifera) in surface waters near Bermuda: abundance, biomass and vertical flux", "type" : "article-journal", "volume" : "17" }, "uris" : [ "http://www.mendeley.com/documents/?uuid=73d4ec7e-3c52-48b1-a27a-ef47a67ff8c5", "http://www.mendeley.com/documents/?uuid=8f479ac4-b687-4360-8760-a9444cfbe29f" ] }, { "id" : "ITEM-3", "itemData" : { "DOI" : "10.1016/0016-7037(92)90304-2", "author" : [ { "dropping-particle" : "", "family" : "Bernstein", "given" : "Renate E", "non-dropping-particle" : "", "parse-names" : false, "suffix" : "" }, { "dropping-particle" : "", "family" : "Byrne", "given" : "Robert H", "non-dropping-particle" : "", "parse-names" : false, "suffix" : "" }, { "dropping-particle" : "", "family" : "Betzer", "given" : "Peter R", "non-dropping-particle" : "", "parse-names" : false, "suffix" : "" }, { "dropping-particle" : "", "family" : "Greco", "given" : "Anthony M", "non-dropping-particle" : "", "parse-names" : false, "suffix" : "" } ], "container-title" : "Geochimica et Cosmochimica Acta", "id" : "ITEM-3", "issued" : { "date-parts" : [ [ "1992" ] ] }, "page" : "3273-3279", "title" : "Morphologies and transformations of celestite in seawater: The role of acantharians in strontium and barium geochemistry", "type" : "article-journal", "volume" : "56" }, "uris" : [ "http://www.mendeley.com/documents/?uuid=913766c8-ba1e-42ce-b0cd-5cf063758a68", "http://www.mendeley.com/documents/?uuid=d942356c-2b01-4a03-ae2b-ecc1811a1b7e", "http://www.mendeley.com/documents/?uuid=6a5f2446-a89c-4d76-ab4a-a451c267bd0d" ] } ], "mendeley" : { "formattedCitation" : "(Michaels 1991; Bernstein et al. 1992; Michaels et al. 1995)", "plainTextFormattedCitation" : "(Michaels 1991; Bernstein et al. 1992; Michaels et al. 1995)", "previouslyFormattedCitation" : "(Michaels 1991; Bernstein et al. 1992; Michaels et al. 1995)" }, "properties" : {  }, "schema" : "https://github.com/citation-style-language/schema/raw/master/csl-citation.json" }</w:instrText>
      </w:r>
      <w:r>
        <w:fldChar w:fldCharType="separate"/>
      </w:r>
      <w:r w:rsidRPr="000C32D3">
        <w:rPr>
          <w:noProof/>
        </w:rPr>
        <w:t>(Michaels 1991; Bernstein et al. 1992; Michaels et al. 1995)</w:t>
      </w:r>
      <w:r>
        <w:fldChar w:fldCharType="end"/>
      </w:r>
      <w:r>
        <w:t xml:space="preserve">, high fluxes of </w:t>
      </w:r>
      <w:r w:rsidRPr="00D306F6">
        <w:t>acantharia</w:t>
      </w:r>
      <w:r w:rsidR="00C55000" w:rsidRPr="00D306F6">
        <w:t>n</w:t>
      </w:r>
      <w:r w:rsidRPr="00D306F6">
        <w:t xml:space="preserve"> cysts can indeed reach bathypelagic</w:t>
      </w:r>
      <w:r w:rsidR="003F5FB4">
        <w:t xml:space="preserve"> depths</w:t>
      </w:r>
      <w:r w:rsidRPr="00D306F6">
        <w:t xml:space="preserve">; what drives these large </w:t>
      </w:r>
      <w:r w:rsidR="00685B74">
        <w:t>flux</w:t>
      </w:r>
      <w:r w:rsidR="00685B74" w:rsidRPr="00D306F6">
        <w:t xml:space="preserve"> </w:t>
      </w:r>
      <w:r w:rsidRPr="00D306F6">
        <w:t xml:space="preserve">events is however unclear. </w:t>
      </w:r>
      <w:r w:rsidRPr="00D306F6">
        <w:fldChar w:fldCharType="begin" w:fldLock="1"/>
      </w:r>
      <w:r w:rsidR="00B93937">
        <w:instrText>ADDIN CSL_CITATION { "citationItems" : [ { "id" : "ITEM-1",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"ITEM-1",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"http://www.mendeley.com/documents/?uuid=0aae0990-6e45-44cb-9bcb-7fa99005d3ce" ] } ], "mendeley" : { "formattedCitation" : "(Martin et al. 2010)", "manualFormatting" : "Martin et al. (2010)", "plainTextFormattedCitation" : "(Martin et al. 2010)", "previouslyFormattedCitation" : "(Martin et al. 2010)" }, "properties" : {  }, "schema" : "https://github.com/citation-style-language/schema/raw/master/csl-citation.json" }</w:instrText>
      </w:r>
      <w:r w:rsidRPr="00D306F6">
        <w:fldChar w:fldCharType="separate"/>
      </w:r>
      <w:r w:rsidRPr="00D306F6">
        <w:rPr>
          <w:noProof/>
        </w:rPr>
        <w:t>Martin et al. (2010)</w:t>
      </w:r>
      <w:r w:rsidRPr="00D306F6">
        <w:fldChar w:fldCharType="end"/>
      </w:r>
      <w:r w:rsidRPr="00D306F6">
        <w:t xml:space="preserve"> hypothesise that, in high latitudes</w:t>
      </w:r>
      <w:r w:rsidR="005E382E" w:rsidRPr="00D306F6">
        <w:t>,</w:t>
      </w:r>
      <w:r w:rsidRPr="00D306F6">
        <w:t xml:space="preserve"> encystment could be </w:t>
      </w:r>
      <w:r w:rsidRPr="009415C5">
        <w:t>triggered by high productivity associated with the spring bloom, resulting in rapid sinking to depth so that developing</w:t>
      </w:r>
      <w:r w:rsidRPr="00D306F6">
        <w:t xml:space="preserve"> juveniles can utilise the pulse of POC following the spring bloom, whilst avoiding predation</w:t>
      </w:r>
      <w:r w:rsidR="00877764">
        <w:t>. Conversely, a</w:t>
      </w:r>
      <w:r w:rsidR="006346A0">
        <w:t>t lower latitudes</w:t>
      </w:r>
      <w:r w:rsidR="009E3D35">
        <w:t xml:space="preserve"> where particle flux is typically lower and there is less seasonal variability, acantharian cyst dissolution has been observed to occur at shallower depths </w:t>
      </w:r>
      <w:r w:rsidR="00877764">
        <w:fldChar w:fldCharType="begin" w:fldLock="1"/>
      </w:r>
      <w:r w:rsidR="00877764">
        <w:instrText>ADDIN CSL_CITATION { "citationItems" : [ { "id" : "ITEM-1", "itemData" : { "DOI" : "10.1093/plankt/17.1.131", "author" : [ { "dropping-particle" : "", "family" : "Michaels", "given" : "Anthony F", "non-dropping-particle" : "", "parse-names" : false, "suffix" : "" }, { "dropping-particle" : "", "family" : "Caron", "given" : "David A", "non-dropping-particle" : "", "parse-names" : false, "suffix" : "" }, { "dropping-particle" : "", "family" : "Swanberg", "given" : "Neil R", "non-dropping-particle" : "", "parse-names" : false, "suffix" : "" }, { "dropping-particle" : "", "family" : "Howse", "given" : "Frances A", "non-dropping-particle" : "", "parse-names" : false, "suffix" : "" }, { "dropping-particle" : "", "family" : "Michaels", "given" : "Claire M", "non-dropping-particle" : "", "parse-names" : false, "suffix" : "" } ], "container-title" : "Journal of Plankton Research", "id" : "ITEM-1", "issue" : "I", "issued" : { "date-parts" : [ [ "1995" ] ] }, "page" : "131-163", "title" : "Planktonic sarcodines (Acantharia, Radiolaria, Foraminifera) in surface waters near Bermuda: abundance, biomass and vertical flux", "type" : "article-journal", "volume" : "17" }, "uris" : [ "http://www.mendeley.com/documents/?uuid=73d4ec7e-3c52-48b1-a27a-ef47a67ff8c5" ] }, { "id" : "ITEM-2", "itemData" : { "DOI" : "10.1016/0016-7037(92)90304-2", "author" : [ { "dropping-particle" : "", "family" : "Bernstein", "given" : "Renate E", "non-dropping-particle" : "", "parse-names" : false, "suffix" : "" }, { "dropping-particle" : "", "family" : "Byrne", "given" : "Robert H", "non-dropping-particle" : "", "parse-names" : false, "suffix" : "" }, { "dropping-particle" : "", "family" : "Betzer", "given" : "Peter R", "non-dropping-particle" : "", "parse-names" : false, "suffix" : "" }, { "dropping-particle" : "", "family" : "Greco", "given" : "Anthony M", "non-dropping-particle" : "", "parse-names" : false, "suffix" : "" } ], "container-title" : "Geochimica et Cosmochimica Acta", "id" : "ITEM-2", "issued" : { "date-parts" : [ [ "1992" ] ] }, "page" : "3273-3279", "title" : "Morphologies and transformations of celestite in seawater: The role of acantharians in strontium and barium geochemistry", "type" : "article-journal", "volume" : "56" }, "uris" : [ "http://www.mendeley.com/documents/?uuid=913766c8-ba1e-42ce-b0cd-5cf063758a68" ] } ], "mendeley" : { "formattedCitation" : "(Bernstein et al. 1992; Michaels et al. 1995)", "plainTextFormattedCitation" : "(Bernstein et al. 1992; Michaels et al. 1995)", "previouslyFormattedCitation" : "(Bernstein et al. 1992; Michaels et al. 1995)" }, "properties" : {  }, "schema" : "https://github.com/citation-style-language/schema/raw/master/csl-citation.json" }</w:instrText>
      </w:r>
      <w:r w:rsidR="00877764">
        <w:fldChar w:fldCharType="separate"/>
      </w:r>
      <w:r w:rsidR="00877764" w:rsidRPr="00877764">
        <w:rPr>
          <w:noProof/>
        </w:rPr>
        <w:t>(Bernstein et al. 1992; Michaels et al. 1995)</w:t>
      </w:r>
      <w:r w:rsidR="00877764">
        <w:fldChar w:fldCharType="end"/>
      </w:r>
      <w:r w:rsidR="00877764">
        <w:t xml:space="preserve">. This difference in acantharian cyst fluxes between high </w:t>
      </w:r>
      <w:r w:rsidR="00877764">
        <w:lastRenderedPageBreak/>
        <w:t xml:space="preserve">and low latitudes could also be due to differences in cyst size and/or abundances of cyst forming species </w:t>
      </w:r>
      <w:r w:rsidR="00877764">
        <w:fldChar w:fldCharType="begin" w:fldLock="1"/>
      </w:r>
      <w:r w:rsidR="00877764">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 } ], "mendeley" : { "formattedCitation" : "(Decelle et al. 2013)", "plainTextFormattedCitation" : "(Decelle et al. 2013)", "previouslyFormattedCitation" : "(Decelle et al. 2013)" }, "properties" : {  }, "schema" : "https://github.com/citation-style-language/schema/raw/master/csl-citation.json" }</w:instrText>
      </w:r>
      <w:r w:rsidR="00877764">
        <w:fldChar w:fldCharType="separate"/>
      </w:r>
      <w:r w:rsidR="00877764" w:rsidRPr="00877764">
        <w:rPr>
          <w:noProof/>
        </w:rPr>
        <w:t>(Decelle et al. 2013)</w:t>
      </w:r>
      <w:r w:rsidR="00877764">
        <w:fldChar w:fldCharType="end"/>
      </w:r>
      <w:r w:rsidR="00877764">
        <w:t>.</w:t>
      </w:r>
    </w:p>
    <w:p w14:paraId="4B2FB74F" w14:textId="1E1779C1" w:rsidR="00877764" w:rsidRDefault="00D306F6" w:rsidP="00921E44">
      <w:pPr>
        <w:spacing w:line="360" w:lineRule="auto"/>
      </w:pPr>
      <w:r>
        <w:t xml:space="preserve">It is possible that the extremely high flux of acantharian cysts that we observed in the 2012/2013 </w:t>
      </w:r>
      <w:r w:rsidR="00EB18EF">
        <w:t xml:space="preserve">austral summer </w:t>
      </w:r>
      <w:r>
        <w:t xml:space="preserve">season is related to the fact that POC fluxes were also exceptionally high when compared to historical observations at this site </w:t>
      </w:r>
      <w:r>
        <w:fldChar w:fldCharType="begin" w:fldLock="1"/>
      </w:r>
      <w:r w:rsidR="00B93937">
        <w:instrText>ADDIN CSL_CITATION { "citationItems" : [ { "id" : "ITEM-1", "itemData" : { "DOI" : "10.5194/bg-12-1955-2015", "ISSN" : "1726-4189", "author" : [ { "dropping-particle" : "", "family" : "Manno", "given" : "C.", "non-dropping-particle" : "", "parse-names" : false, "suffix" : "" }, { "dropping-particle" : "", "family" : "Stowasser", "given" : "G.", "non-dropping-particle" : "", "parse-names" : false, "suffix" : "" }, { "dropping-particle" : "", "family" : "Enderlein", "given" : "P.", "non-dropping-particle" : "", "parse-names" : false, "suffix" : "" }, { "dropping-particle" : "", "family" : "Fielding", "given" : "S.", "non-dropping-particle" : "", "parse-names" : false, "suffix" : "" }, { "dropping-particle" : "", "family" : "Tarling", "given" : "G. A.", "non-dropping-particle" : "", "parse-names" : false, "suffix" : "" } ], "container-title" : "Biogeosciences", "id" : "ITEM-1", "issue" : "6", "issued" : { "date-parts" : [ [ "2015", "3", "25" ] ] }, "page" : "1955-1965", "title" : "The contribution of zooplankton faecal pellets to deep-carbon transport in the Scotia Sea (Southern Ocean)", "type" : "article-journal", "volume" : "12" }, "uris" : [ "http://www.mendeley.com/documents/?uuid=7d8919a0-6197-4f06-a8bc-db544e507d4e" ] } ], "mendeley" : { "formattedCitation" : "(Manno et al. 2015)", "plainTextFormattedCitation" : "(Manno et al. 2015)", "previouslyFormattedCitation" : "(Manno et al. 2015)" }, "properties" : {  }, "schema" : "https://github.com/citation-style-language/schema/raw/master/csl-citation.json" }</w:instrText>
      </w:r>
      <w:r>
        <w:fldChar w:fldCharType="separate"/>
      </w:r>
      <w:r w:rsidRPr="00D306F6">
        <w:rPr>
          <w:noProof/>
        </w:rPr>
        <w:t>(Manno et al. 2015)</w:t>
      </w:r>
      <w:r>
        <w:fldChar w:fldCharType="end"/>
      </w:r>
      <w:r>
        <w:t>.</w:t>
      </w:r>
      <w:r w:rsidR="00BB19EE">
        <w:t xml:space="preserve"> Although s</w:t>
      </w:r>
      <w:r w:rsidR="00877764">
        <w:t xml:space="preserve">ome Acantharia are mixotrophic through symbiosis with intracellular microalgae, cyst-forming Acantharia do not host symbiotic microalgae and hence can live in deep waters where there is no light, relying on prey and sinking organic matter for energy </w:t>
      </w:r>
      <w:r w:rsidR="00877764">
        <w:fldChar w:fldCharType="begin" w:fldLock="1"/>
      </w:r>
      <w:r w:rsidR="00877764">
        <w:instrText>ADDIN CSL_CITATION { "citationItems" : [ { "id" : "ITEM-1",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"ITEM-1", "issue" : "1", "issued" : { "date-parts" : [ [ "2013" ] ] }, "title" : "Diversity, Ecology and Biogeochemistry of Cyst-Forming Acantharia (Radiolaria) in the Oceans", "type" : "article-journal", "volume" : "8" }, "uris" : [ "http://www.mendeley.com/documents/?uuid=25fae23b-4772-4666-b5f9-026c89bcf63a" ] } ], "mendeley" : { "formattedCitation" : "(Decelle et al. 2013)", "plainTextFormattedCitation" : "(Decelle et al. 2013)", "previouslyFormattedCitation" : "(Decelle et al. 2013)" }, "properties" : {  }, "schema" : "https://github.com/citation-style-language/schema/raw/master/csl-citation.json" }</w:instrText>
      </w:r>
      <w:r w:rsidR="00877764">
        <w:fldChar w:fldCharType="separate"/>
      </w:r>
      <w:r w:rsidR="00877764" w:rsidRPr="00B93937">
        <w:rPr>
          <w:noProof/>
        </w:rPr>
        <w:t>(Decelle et al. 2013)</w:t>
      </w:r>
      <w:r w:rsidR="00877764">
        <w:fldChar w:fldCharType="end"/>
      </w:r>
      <w:r w:rsidR="00877764">
        <w:t>.</w:t>
      </w:r>
      <w:r>
        <w:t xml:space="preserve"> </w:t>
      </w:r>
      <w:r w:rsidR="005C64A5">
        <w:t xml:space="preserve">Very large interannual variations in POC flux </w:t>
      </w:r>
      <w:r w:rsidR="005F0E41">
        <w:t>were</w:t>
      </w:r>
      <w:r w:rsidR="005C64A5">
        <w:t xml:space="preserve"> </w:t>
      </w:r>
      <w:r w:rsidR="005F0E41">
        <w:t>record</w:t>
      </w:r>
      <w:r w:rsidR="005C64A5">
        <w:t xml:space="preserve">ed in sediment traps deployed in the Northeast Atlantic, with evidence pointing to </w:t>
      </w:r>
      <w:r w:rsidR="005D0DDD">
        <w:t>R</w:t>
      </w:r>
      <w:r w:rsidR="005F0E41">
        <w:t>adiolaria</w:t>
      </w:r>
      <w:r w:rsidR="005C64A5">
        <w:t xml:space="preserve"> as </w:t>
      </w:r>
      <w:r w:rsidR="002A2629">
        <w:t>key factors in the</w:t>
      </w:r>
      <w:r w:rsidR="005C64A5">
        <w:t xml:space="preserve"> observed large pulses of highly enriched material </w:t>
      </w:r>
      <w:r w:rsidR="005C64A5">
        <w:fldChar w:fldCharType="begin" w:fldLock="1"/>
      </w:r>
      <w:r w:rsidR="00B93937">
        <w:instrText>ADDIN CSL_CITATION { "citationItems" : [ { "id" : "ITEM-1", "itemData" : { "DOI" : "10.1029/2008GB003221", "author" : [ { "dropping-particle" : "", "family" : "Lampitt", "given" : "R S", "non-dropping-particle" : "", "parse-names" : false, "suffix" : "" }, { "dropping-particle" : "", "family" : "Salter", "given" : "I", "non-dropping-particle" : "", "parse-names" : false, "suffix" : "" }, { "dropping-particle" : "", "family" : "Johns", "given" : "D", "non-dropping-particle" : "", "parse-names" : false, "suffix" : "" } ], "container-title" : "Global Biogeochemical Cycles", "id" : "ITEM-1", "issued" : { "date-parts" : [ [ "2009" ] ] }, "title" : "Radiolaria: Major exporters of organic carbon to the deep ocean", "type" : "article-journal", "volume" : "23" }, "uris" : [ "http://www.mendeley.com/documents/?uuid=23a88ba5-4a67-44dd-a1f1-335879d50db6" ] } ], "mendeley" : { "formattedCitation" : "(Lampitt et al. 2009)", "plainTextFormattedCitation" : "(Lampitt et al. 2009)", "previouslyFormattedCitation" : "(Lampitt et al. 2009)" }, "properties" : {  }, "schema" : "https://github.com/citation-style-language/schema/raw/master/csl-citation.json" }</w:instrText>
      </w:r>
      <w:r w:rsidR="005C64A5">
        <w:fldChar w:fldCharType="separate"/>
      </w:r>
      <w:r w:rsidR="005C64A5" w:rsidRPr="005C64A5">
        <w:rPr>
          <w:noProof/>
        </w:rPr>
        <w:t>(Lampitt et al. 2009)</w:t>
      </w:r>
      <w:r w:rsidR="005C64A5">
        <w:fldChar w:fldCharType="end"/>
      </w:r>
      <w:r w:rsidR="005C64A5">
        <w:t>.</w:t>
      </w:r>
      <w:r w:rsidR="005F0E41">
        <w:t xml:space="preserve"> Like </w:t>
      </w:r>
      <w:r w:rsidR="005F0E41">
        <w:fldChar w:fldCharType="begin" w:fldLock="1"/>
      </w:r>
      <w:r w:rsidR="00B93937">
        <w:instrText>ADDIN CSL_CITATION { "citationItems" : [ { "id" : "ITEM-1", "itemData" : { "DOI" : "10.1029/2008GB003221", "author" : [ { "dropping-particle" : "", "family" : "Lampitt", "given" : "R S", "non-dropping-particle" : "", "parse-names" : false, "suffix" : "" }, { "dropping-particle" : "", "family" : "Salter", "given" : "I", "non-dropping-particle" : "", "parse-names" : false, "suffix" : "" }, { "dropping-particle" : "", "family" : "Johns", "given" : "D", "non-dropping-particle" : "", "parse-names" : false, "suffix" : "" } ], "container-title" : "Global Biogeochemical Cycles", "id" : "ITEM-1", "issued" : { "date-parts" : [ [ "2009" ] ] }, "title" : "Radiolaria: Major exporters of organic carbon to the deep ocean", "type" : "article-journal", "volume" : "23" }, "uris" : [ "http://www.mendeley.com/documents/?uuid=23a88ba5-4a67-44dd-a1f1-335879d50db6" ] } ], "mendeley" : { "formattedCitation" : "(Lampitt et al. 2009)", "manualFormatting" : "Lampitt et al. (2009)", "plainTextFormattedCitation" : "(Lampitt et al. 2009)", "previouslyFormattedCitation" : "(Lampitt et al. 2009)" }, "properties" : {  }, "schema" : "https://github.com/citation-style-language/schema/raw/master/csl-citation.json" }</w:instrText>
      </w:r>
      <w:r w:rsidR="005F0E41">
        <w:fldChar w:fldCharType="separate"/>
      </w:r>
      <w:r w:rsidR="005F0E41" w:rsidRPr="005F0E41">
        <w:rPr>
          <w:noProof/>
        </w:rPr>
        <w:t xml:space="preserve">Lampitt et al. </w:t>
      </w:r>
      <w:r w:rsidR="005F0E41">
        <w:rPr>
          <w:noProof/>
        </w:rPr>
        <w:t>(</w:t>
      </w:r>
      <w:r w:rsidR="005F0E41" w:rsidRPr="005F0E41">
        <w:rPr>
          <w:noProof/>
        </w:rPr>
        <w:t>2009)</w:t>
      </w:r>
      <w:r w:rsidR="005F0E41">
        <w:fldChar w:fldCharType="end"/>
      </w:r>
      <w:r w:rsidR="005F0E41">
        <w:t xml:space="preserve">, we suggest that some combination of ecological conditions drove </w:t>
      </w:r>
      <w:r w:rsidR="009C7A0C">
        <w:t xml:space="preserve">high abundances </w:t>
      </w:r>
      <w:r w:rsidR="005F0E41">
        <w:t xml:space="preserve">(and/or high encystment) </w:t>
      </w:r>
      <w:r w:rsidR="009C7A0C">
        <w:t>of</w:t>
      </w:r>
      <w:r w:rsidR="005F0E41">
        <w:t>, in our case A</w:t>
      </w:r>
      <w:r w:rsidR="009C7A0C">
        <w:t xml:space="preserve">cantharia, and </w:t>
      </w:r>
      <w:r w:rsidR="005F0E41">
        <w:t>increased deep ocean flux</w:t>
      </w:r>
      <w:r w:rsidR="003617CE">
        <w:t>.</w:t>
      </w:r>
      <w:r w:rsidR="00877764">
        <w:t xml:space="preserve"> </w:t>
      </w:r>
    </w:p>
    <w:p w14:paraId="6FB0608E" w14:textId="6EB35DBD" w:rsidR="00C43706" w:rsidRPr="00CF2C4B" w:rsidRDefault="00C43706" w:rsidP="00921E44">
      <w:pPr>
        <w:spacing w:line="360" w:lineRule="auto"/>
        <w:rPr>
          <w:b/>
        </w:rPr>
      </w:pPr>
      <w:r>
        <w:t>The P2 mooring is situated in a dynamic region, lying in the path of the Southern Antarctic Circumpolar Current Front (SACCF) (</w:t>
      </w:r>
      <w:r w:rsidR="00FE0510">
        <w:t>Fig. 1</w:t>
      </w:r>
      <w:r>
        <w:t xml:space="preserve">), which separates </w:t>
      </w:r>
      <w:r w:rsidR="0059473B">
        <w:t xml:space="preserve">oceanic </w:t>
      </w:r>
      <w:r>
        <w:t xml:space="preserve">zones with distinct water mass properties </w:t>
      </w:r>
      <w:r>
        <w:fldChar w:fldCharType="begin" w:fldLock="1"/>
      </w:r>
      <w:r w:rsidR="00B93937">
        <w:instrText>ADDIN CSL_CITATION { "citationItems" : [ { "id" : "ITEM-1", "itemData" : { "DOI" : "10.1016/0967-0637(95)00021-W", "author" : [ { "dropping-particle" : "", "family" : "Orsi", "given" : "H", "non-dropping-particle" : "", "parse-names" : false, "suffix" : "" }, { "dropping-particle" : "", "family" : "Whitworth III", "given" : "Thomas", "non-dropping-particle" : "", "parse-names" : false, "suffix" : "" }, { "dropping-particle" : "", "family" : "Nowlin Jr", "given" : "Worth D", "non-dropping-particle" : "", "parse-names" : false, "suffix" : "" } ], "container-title" : "Deep Sea Research Part I: Oceanographic Research Papers", "id" : "ITEM-1", "issue" : "5", "issued" : { "date-parts" : [ [ "1995" ] ] }, "page" : "641-673", "title" : "On the meridional extent and fronts of the Antarctic Circumpolar Current", "type" : "article-journal", "volume" : "42" }, "uris" : [ "http://www.mendeley.com/documents/?uuid=13760d78-1b15-466d-9f72-d671b981f3aa" ] } ], "mendeley" : { "formattedCitation" : "(Orsi et al. 1995)", "plainTextFormattedCitation" : "(Orsi et al. 1995)", "previouslyFormattedCitation" : "(Orsi et al. 1995)" }, "properties" : {  }, "schema" : "https://github.com/citation-style-language/schema/raw/master/csl-citation.json" }</w:instrText>
      </w:r>
      <w:r>
        <w:fldChar w:fldCharType="separate"/>
      </w:r>
      <w:r w:rsidR="002A2629" w:rsidRPr="002A2629">
        <w:rPr>
          <w:noProof/>
        </w:rPr>
        <w:t>(Orsi et al. 1995)</w:t>
      </w:r>
      <w:r>
        <w:fldChar w:fldCharType="end"/>
      </w:r>
      <w:r>
        <w:t xml:space="preserve">. These different water masses are associated with contrasting phytoplankton community composition and food web structure </w:t>
      </w:r>
      <w:r>
        <w:fldChar w:fldCharType="begin" w:fldLock="1"/>
      </w:r>
      <w:r w:rsidR="00B93937">
        <w:instrText>ADDIN CSL_CITATION { "citationItems" : [ { "id" : "ITEM-1", "itemData" : { "DOI" : "10.1016/j.dsr2.2011.06.006", "ISSN" : "09670645", "author" : [ { "dropping-particle" : "", "family" : "Korb", "given" : "Rebecca E.", "non-dropping-particle" : "", "parse-names" : false, "suffix" : "" }, { "dropping-particle" : "", "family" : "Whitehouse", "given" : "M.J.", "non-dropping-particle" : "", "parse-names" : false, "suffix" : "" }, { "dropping-particle" : "", "family" : "Ward", "given" : "Peter", "non-dropping-particle" : "", "parse-names" : false, "suffix" : "" }, { "dropping-particle" : "", "family" : "Gordon", "given" : "Marina", "non-dropping-particle" : "", "parse-names" : false, "suffix" : "" }, { "dropping-particle" : "", "family" : "Venables", "given" : "Hugh J.", "non-dropping-particle" : "", "parse-names" : false, "suffix" : "" }, { "dropping-particle" : "", "family" : "Poulton", "given" : "Alex J.", "non-dropping-particle" : "", "parse-names" : false, "suffix" : "" } ], "container-title" : "Deep Sea Research Part II: Topical Studies in Oceanography", "id" : "ITEM-1", "issued" : { "date-parts" : [ [ "2012", "1" ] ] }, "page" : "67-77", "publisher" : "Elsevier", "title" : "Regional and seasonal differences in microplankton biomass, productivity, and structure across the Scotia Sea: Implications for the export of biogenic carbon", "type" : "article-journal", "volume" : "59-60" }, "uris" : [ "http://www.mendeley.com/documents/?uuid=f3366b58-9889-49d3-a9d4-16c16fb2ab93" ] }, { "id" : "ITEM-2", "itemData" : { "DOI" : "10.5194/bg-7-343-2010", "ISSN" : "1726-4189", "author" : [ { "dropping-particle" : "", "family" : "Korb", "given" : "Rebecca E.", "non-dropping-particle" : "", "parse-names" : false, "suffix" : "" }, { "dropping-particle" : "", "family" : "Whitehouse", "given" : "M.J.", "non-dropping-particle" : "", "parse-names" : false, "suffix" : "" }, { "dropping-particle" : "", "family" : "Gordon", "given" : "M.", "non-dropping-particle" : "", "parse-names" : false, "suffix" : "" }, { "dropping-particle" : "", "family" : "Ward", "given" : "P.", "non-dropping-particle" : "", "parse-names" : false, "suffix" : "" }, { "dropping-particle" : "", "family" : "Poulton", "given" : "A. J.", "non-dropping-particle" : "", "parse-names" : false, "suffix" : "" } ], "container-title" : "Biogeosciences", "id" : "ITEM-2", "issue" : "1", "issued" : { "date-parts" : [ [ "2010", "1", "28" ] ] }, "page" : "343-356", "title" : "Summer microplankton community structure across the Scotia Sea: implications for biological carbon export", "type" : "article-journal", "volume" : "7" }, "uris" : [ "http://www.mendeley.com/documents/?uuid=e81266b7-e426-40b8-b8ad-1d96568907a4" ] }, { "id" : "ITEM-3", "itemData" : { "DOI" : "10.1016/j.dsr2.2011.08.005", "ISSN" : "09670645", "author" : [ { "dropping-particle" : "", "family" : "Ward", "given" : "Peter", "non-dropping-particle" : "", "parse-names" : false, "suffix" : "" }, { "dropping-particle" : "", "family" : "Atkinson", "given" : "Angus", "non-dropping-particle" : "", "parse-names" : false, "suffix" : "" }, { "dropping-particle" : "", "family" : "Venables", "given" : "Hugh J.", "non-dropping-particle" : "", "parse-names" : false, "suffix" : "" }, { "dropping-particle" : "", "family" : "Tarling", "given" : "Geraint A.", "non-dropping-particle" : "", "parse-names" : false, "suffix" : "" }, { "dropping-particle" : "", "family" : "Whitehouse", "given" : "Mick J.", "non-dropping-particle" : "", "parse-names" : false, "suffix" : "" }, { "dropping-particle" : "", "family" : "Fielding", "given" : "Sophie", "non-dropping-particle" : "", "parse-names" : false, "suffix" : "" }, { "dropping-particle" : "", "family" : "Collins", "given" : "Martin A.", "non-dropping-particle" : "", "parse-names" : false, "suffix" : "" }, { "dropping-particle" : "", "family" : "Korb", "given" : "Rebecca", "non-dropping-particle" : "", "parse-names" : false, "suffix" : "" }, { "dropping-particle" : "", "family" : "Black", "given" : "Andrew", "non-dropping-particle" : "", "parse-names" : false, "suffix" : "" }, { "dropping-particle" : "", "family" : "Stowasser", "given" : "Gabriele", "non-dropping-particle" : "", "parse-names" : false, "suffix" : "" }, { "dropping-particle" : "", "family" : "Schmidt", "given" : "Katrin", "non-dropping-particle" : "", "parse-names" : false, "suffix" : "" }, { "dropping-particle" : "", "family" : "Thorpe", "given" : "Sally E.", "non-dropping-particle" : "", "parse-names" : false, "suffix" : "" }, { "dropping-particle" : "", "family" : "Enderlein", "given" : "Peter", "non-dropping-particle" : "", "parse-names" : false, "suffix" : "" } ], "container-title" : "Deep Sea Research Part II: Topical Studies in Oceanography", "id" : "ITEM-3", "issued" : { "date-parts" : [ [ "2012", "1" ] ] }, "page" : "253-266", "publisher" : "Elsevier", "title" : "Food web structure and bioregions in the Scotia Sea: A seasonal synthesis", "type" : "article-journal", "volume" : "59-60" }, "uris" : [ "http://www.mendeley.com/documents/?uuid=fc0d6e65-c56b-47a4-a72a-41d8240e5e4b" ] } ], "mendeley" : { "formattedCitation" : "(Korb et al. 2010, 2012; Ward et al. 2012)", "plainTextFormattedCitation" : "(Korb et al. 2010, 2012; Ward et al. 2012)", "previouslyFormattedCitation" : "(Korb et al. 2010, 2012; Ward et al. 2012)" }, "properties" : {  }, "schema" : "https://github.com/citation-style-language/schema/raw/master/csl-citation.json" }</w:instrText>
      </w:r>
      <w:r>
        <w:fldChar w:fldCharType="separate"/>
      </w:r>
      <w:r w:rsidRPr="001E74F9">
        <w:rPr>
          <w:noProof/>
        </w:rPr>
        <w:t>(Korb et al. 2010, 2012; Ward et al. 2012)</w:t>
      </w:r>
      <w:r>
        <w:fldChar w:fldCharType="end"/>
      </w:r>
      <w:r>
        <w:t xml:space="preserve">. Therefore, variability, both seasonally and annually, in the position of the SACCF </w:t>
      </w:r>
      <w:r>
        <w:fldChar w:fldCharType="begin" w:fldLock="1"/>
      </w:r>
      <w:r w:rsidR="00B93937">
        <w:instrText>ADDIN CSL_CITATION { "citationItems" : [ { "id" : "ITEM-1", "itemData" : { "DOI" : "10.1029/2007JC004647", "ISBN" : "0148-0227", "ISSN" : "21699291", "abstract" : "We describe large-scale features of the Antarctic Circumpolar Current (ACC) in the Atlantic part of the Southern Ocean by merging Argo data and data obtained by novel animal-borne CTD sensors. Twenty one of these CTD-Satellite Relay Data Loggers (CTD-SRDLs) were attached to Southern elephant seals (Mirounga leonina) on South Georgia. The merged data yield unified gridded hydrogaphic fields with high temporal and spatial resolution, enabling the determination of features absent in each of the data sets separately. The structure and variability of the frontal field revealed by this data set were compared with those in daily quarter-degree, optimally interpolated sea surface temperature fields and fields of weekly gridded sea level anomaly. In general, the frontal positions derived using our data set are in agreement with previous work, especially where the pathways are constrained by topography, e. g., at the North Scotia Ridge and the South Scotia Ridge. However, with the improved temporal and spacial resolution provided by the CTD-SRDLs, we were able to observe some novel features. All frontal positions are more variable than previously indicated across the Scotia Sea and west of the Mid-Atlantic Ridge on seasonal time scales. The merged data set shows the temporal variability of the Southern ACC Front (SACCF) north of South Georgia and in its position east of the island, where the SACCF lies further north than has been suggested in previous work. In addition, the Subantarctic Front crosses the Mid-Atlantic Ridge about 400 km further north when compared to previous work.", "author" : [ { "dropping-particle" : "", "family" : "Boehme", "given" : "L.", "non-dropping-particle" : "", "parse-names" : false, "suffix" : "" }, { "dropping-particle" : "", "family" : "Meredith", "given" : "M. P.", "non-dropping-particle" : "", "parse-names" : false, "suffix" : "" }, { "dropping-particle" : "", "family" : "Thorpe", "given" : "S. E.", "non-dropping-particle" : "", "parse-names" : false, "suffix" : "" }, { "dropping-particle" : "", "family" : "Biuw", "given" : "M.", "non-dropping-particle" : "", "parse-names" : false, "suffix" : "" }, { "dropping-particle" : "", "family" : "Fedak", "given" : "M.", "non-dropping-particle" : "", "parse-names" : false, "suffix" : "" } ], "container-title" : "Journal of Geophysical Research", "id" : "ITEM-1", "issued" : { "date-parts" : [ [ "2008" ] ] }, "page" : "C09012", "title" : "Antarctic circumpolar current frontal system in the South Atlantic: Monitoring using merged Argo and animal-borne sensor data", "type" : "article-journal", "volume" : "113" }, "uris" : [ "http://www.mendeley.com/documents/?uuid=ab562797-4a32-419f-a577-96a4bd87b331" ] } ], "mendeley" : { "formattedCitation" : "(Boehme et al. 2008)", "plainTextFormattedCitation" : "(Boehme et al. 2008)", "previouslyFormattedCitation" : "(Boehme et al. 2008)" }, "properties" : {  }, "schema" : "https://github.com/citation-style-language/schema/raw/master/csl-citation.json" }</w:instrText>
      </w:r>
      <w:r>
        <w:fldChar w:fldCharType="separate"/>
      </w:r>
      <w:r w:rsidRPr="00CF5FE5">
        <w:rPr>
          <w:noProof/>
        </w:rPr>
        <w:t>(Boehme et al. 2008)</w:t>
      </w:r>
      <w:r>
        <w:fldChar w:fldCharType="end"/>
      </w:r>
      <w:r>
        <w:t xml:space="preserve"> could cause variation in the environmental conditions (and associated phytoplankton community) at our study site on these timescales. On longer timescales, anomalies in the </w:t>
      </w:r>
      <w:r w:rsidR="0059473B">
        <w:t>sea surface temperature (</w:t>
      </w:r>
      <w:r>
        <w:t>SST</w:t>
      </w:r>
      <w:r w:rsidR="0059473B">
        <w:t>)</w:t>
      </w:r>
      <w:r>
        <w:t xml:space="preserve"> in the Scotia Sea can be generated through atmospheric teleconnections with the El Niño Southern Oscillation (ENSO), resulting in ecosystem fluctuations </w:t>
      </w:r>
      <w:r>
        <w:fldChar w:fldCharType="begin" w:fldLock="1"/>
      </w:r>
      <w:r w:rsidR="00B93937">
        <w:instrText>ADDIN CSL_CITATION { "citationItems" : [ { "id" : "ITEM-1", "itemData" : { "DOI" : "10.1016/j.dsr2.2008.05.020", "ISBN" : "4412232212", "ISSN" : "09670645", "abstract" : "The ocean around South Georgia, in the southwest Atlantic sector of the Southern Ocean, is highly productive, with large stocks of Antarctic krill supporting extensive colonies of marine- and land-based predators. The operation of this ecosystem is strongly influenced by physical forcings, and the role of the El Ni\u00f1o/Southern Oscillation (ENSO) phenomenon has been highlighted previously. Here we examine in detail the transmission of ENSO signals to South Georgia, and investigate other sources of interannual variability. ENSO variability generates anomalies in sea-surface temperature (SST) across the South Pacific via atmospheric teleconnections. These anomalies are advected toward South Georgia within the Antarctic Circumpolar Current (ACC), and previous studies have focussed on long-period advection (order of 2-3 years) from the southwest Pacific. We observe here, however, that the region close to the Antarctic Peninsula in the southeast Pacific is especially susceptible to ENSO forcing via anomalous meridional winds; this induces SST anomalies that are advected to South Georgia on a much more rapid timescale (order 5-6 months). The phasing of these teleconnections is such that anomalies that reach the southeast Pacific from farther west tend to be reinforced here by air-sea-ice interaction. We also find an important role for the Southern Annular Mode (SAM) in determining SST variability at South Georgia. This is a circumpolar mode of climate variability, and thus can readily influence local SST at South Georgia directly. The SAM is, however, not perfectly zonally symmetric, and (like ENSO) has a particular impact on meridional winds in the southeast Pacific. The average timescale for SAM influence on South Georgia SST is shorter than that of ENSO, since it includes a stronger component of direct local forcing. The South Georgia ecosystem is not self-sustaining, with import of krill from breeding and nursery grounds upstream in the ACC being important. We speculate here that these varying meridional winds close to the Antarctic Peninsula play a direct role in promoting/restricting the injection of shelf waters (and the krill therein) into the ACC, following which anomalies in krill density would be advected toward South Georgia. This offers a dynamical mechanism that might contribute to interannual changes in biological communities at South Georgia, in addition to existing theories. Both SAM and ENSO have shown long-period changes in recent decades, wi\u2026", "author" : [ { "dropping-particle" : "", "family" : "Meredith", "given" : "Michael P.", "non-dropping-particle" : "", "parse-names" : false, "suffix" : "" }, { "dropping-particle" : "", "family" : "Murphy", "given" : "Eugene J.", "non-dropping-particle" : "", "parse-names" : false, "suffix" : "" }, { "dropping-particle" : "", "family" : "Hawker", "given" : "Elizabeth J.", "non-dropping-particle" : "", "parse-names" : false, "suffix" : "" }, { "dropping-particle" : "", "family" : "King", "given" : "John C.", "non-dropping-particle" : "", "parse-names" : false, "suffix" : "" }, { "dropping-particle" : "", "family" : "Wallace", "given" : "Margaret I.", "non-dropping-particle" : "", "parse-names" : false, "suffix" : "" } ], "container-title" : "Deep-Sea Research Part II: Topical Studies in Oceanography", "id" : "ITEM-1", "issue" : "18-19", "issued" : { "date-parts" : [ [ "2008" ] ] }, "page" : "2007-2022", "title" : "On the interannual variability of ocean temperatures around South Georgia, Southern Ocean: Forcing by El Ni\u00f1o/Southern Oscillation and the Southern Annular Mode", "type" : "article-journal", "volume" : "55" }, "uris" : [ "http://www.mendeley.com/documents/?uuid=98717c91-26c6-440c-939a-a2d636220f7a" ] }, { "id" : "ITEM-2", "itemData" : { "DOI" : "10.1098/rspb.2007.1180", "ISBN" : "09628452", "ISSN" : "0962-8452", "PMID" : "17939986", "abstract" : "Determining how climate fluctuations affect ocean ecosystems requires an understanding of how biological and physical processes interact across a wide range of scales. Here we examine the role of physical and biological processes in generating fluctuations in the ecosystem around South Georgia in the South Atlantic sector of the Southern Ocean. Anomalies in sea surface temperature (SST) in the South Pacific sector of the Southern Ocean have previously been shown to be generated through atmospheric teleconnections with El Ni\u00f1o Southern Oscillation (ENSO)-related processes. These SST anomalies are propagated via the Antarctic Circumpolar Current into the South Atlantic (on time scales of more than 1 year), where ENSO and Southern Annular Mode-related atmospheric processes have a direct influence on short (less than six months) time scales. We find that across the South Atlantic sector, these changes in SST, and related fluctuations in winter sea ice extent, affect the recruitment and dispersal of Antarctic krill. This oceanographically driven variation in krill population dynamics and abundance in turn affects the breeding success of seabird and marine mammal predators that depend on krill as food. Such propagating anomalies, mediated through physical and trophic interactions, are likely to be an important component of variation in ocean ecosystems and affect responses to longer term change. Population models derived on the basis of these oceanic fluctuations indicate that plausible rates of regional warming of 1oC over the next 100 years could lead to more than a 95% reduction in the biomass and abundance of krill across the Scotia Sea by the end of the century.", "author" : [ { "dropping-particle" : "", "family" : "Murphy", "given" : "E. J", "non-dropping-particle" : "", "parse-names" : false, "suffix" : "" }, { "dropping-particle" : "", "family" : "Trathan", "given" : "P. N", "non-dropping-particle" : "", "parse-names" : false, "suffix" : "" }, { "dropping-particle" : "", "family" : "Watkins", "given" : "J. L", "non-dropping-particle" : "", "parse-names" : false, "suffix" : "" }, { "dropping-particle" : "", "family" : "Reid", "given" : "K.", "non-dropping-particle" : "", "parse-names" : false, "suffix" : "" }, { "dropping-particle" : "", "family" : "Meredith", "given" : "M. P", "non-dropping-particle" : "", "parse-names" : false, "suffix" : "" }, { "dropping-particle" : "", "family" : "Forcada", "given" : "J.", "non-dropping-particle" : "", "parse-names" : false, "suffix" : "" }, { "dropping-particle" : "", "family" : "Thorpe", "given" : "S. E", "non-dropping-particle" : "", "parse-names" : false, "suffix" : "" }, { "dropping-particle" : "", "family" : "Johnston", "given" : "N. M", "non-dropping-particle" : "", "parse-names" : false, "suffix" : "" }, { "dropping-particle" : "", "family" : "Rothery", "given" : "P.", "non-dropping-particle" : "", "parse-names" : false, "suffix" : "" } ], "container-title" : "Proceedings of the Royal Society B: Biological Sciences", "id" : "ITEM-2", "issued" : { "date-parts" : [ [ "2007" ] ] }, "page" : "3057-3067", "title" : "Climatically driven fluctuations in Southern Ocean ecosystems", "type" : "article-journal", "volume" : "274" }, "uris" : [ "http://www.mendeley.com/documents/?uuid=761c3ed9-e5a8-4499-bf8a-4a4a78572495" ] } ], "mendeley" : { "formattedCitation" : "(Murphy et al. 2007a; Meredith et al. 2008)", "plainTextFormattedCitation" : "(Murphy et al. 2007a; Meredith et al. 2008)", "previouslyFormattedCitation" : "(Murphy et al. 2007a; Meredith et al. 2008)" }, "properties" : {  }, "schema" : "https://github.com/citation-style-language/schema/raw/master/csl-citation.json" }</w:instrText>
      </w:r>
      <w:r>
        <w:fldChar w:fldCharType="separate"/>
      </w:r>
      <w:r w:rsidRPr="007169D0">
        <w:rPr>
          <w:noProof/>
        </w:rPr>
        <w:t>(Murphy et al. 2007a; Meredith et al. 2008)</w:t>
      </w:r>
      <w:r>
        <w:fldChar w:fldCharType="end"/>
      </w:r>
      <w:r>
        <w:t>.</w:t>
      </w:r>
    </w:p>
    <w:p w14:paraId="6F1A3FF4" w14:textId="4134388B" w:rsidR="00F2693F" w:rsidRDefault="002A2629" w:rsidP="002610D1">
      <w:pPr>
        <w:spacing w:line="360" w:lineRule="auto"/>
        <w:jc w:val="center"/>
      </w:pPr>
      <w:r w:rsidRPr="002A2629">
        <w:rPr>
          <w:noProof/>
          <w:lang w:eastAsia="en-GB"/>
        </w:rPr>
        <w:lastRenderedPageBreak/>
        <w:drawing>
          <wp:inline distT="0" distB="0" distL="0" distR="0" wp14:anchorId="7BF6F734" wp14:editId="35921C72">
            <wp:extent cx="5270500" cy="3513667"/>
            <wp:effectExtent l="0" t="0" r="6350" b="0"/>
            <wp:docPr id="3" name="Picture 3" descr="C:\Users\annbel\Documents\Post-Doc\manuscripts\Acantharia- MannoBelcher\submitted\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bel\Documents\Post-Doc\manuscripts\Acantharia- MannoBelcher\submitted\Fig.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513667"/>
                    </a:xfrm>
                    <a:prstGeom prst="rect">
                      <a:avLst/>
                    </a:prstGeom>
                    <a:noFill/>
                    <a:ln>
                      <a:noFill/>
                    </a:ln>
                  </pic:spPr>
                </pic:pic>
              </a:graphicData>
            </a:graphic>
          </wp:inline>
        </w:drawing>
      </w:r>
    </w:p>
    <w:p w14:paraId="6A103CB7" w14:textId="28B66B33" w:rsidR="00F2693F" w:rsidRDefault="00632C48" w:rsidP="00BE5686">
      <w:pPr>
        <w:pStyle w:val="Caption"/>
      </w:pPr>
      <w:bookmarkStart w:id="12" w:name="_Ref500597318"/>
      <w:r>
        <w:t xml:space="preserve">Fig. </w:t>
      </w:r>
      <w:fldSimple w:instr=" SEQ Figure \* ARABIC ">
        <w:r w:rsidR="007B6F00">
          <w:rPr>
            <w:noProof/>
          </w:rPr>
          <w:t>5</w:t>
        </w:r>
      </w:fldSimple>
      <w:bookmarkEnd w:id="12"/>
      <w:r w:rsidR="00F2693F">
        <w:t xml:space="preserve">: A) </w:t>
      </w:r>
      <w:r w:rsidR="00AC6A57">
        <w:t>Monthly mean s</w:t>
      </w:r>
      <w:r w:rsidR="00F2693F">
        <w:t xml:space="preserve">atellite chlorophyll </w:t>
      </w:r>
      <w:r w:rsidR="00F2693F">
        <w:rPr>
          <w:i/>
        </w:rPr>
        <w:t xml:space="preserve">a </w:t>
      </w:r>
      <w:r w:rsidR="00F2693F">
        <w:t>(Chl) concentration (mg m</w:t>
      </w:r>
      <w:r w:rsidR="00F2693F" w:rsidRPr="000D055A">
        <w:rPr>
          <w:vertAlign w:val="superscript"/>
        </w:rPr>
        <w:t>-3</w:t>
      </w:r>
      <w:r w:rsidR="00F2693F">
        <w:t xml:space="preserve">) and B) </w:t>
      </w:r>
      <w:r w:rsidR="00F54C0A">
        <w:t xml:space="preserve">monthly </w:t>
      </w:r>
      <w:r w:rsidR="00F2693F">
        <w:t>sea surface temperature (SST, °C) at the P2 site for the period 200</w:t>
      </w:r>
      <w:r w:rsidR="00B713DD">
        <w:t>8</w:t>
      </w:r>
      <w:r w:rsidR="00F2693F">
        <w:t>-201</w:t>
      </w:r>
      <w:r w:rsidR="0092470F">
        <w:t>5</w:t>
      </w:r>
      <w:r w:rsidR="00F2693F">
        <w:t xml:space="preserve">. Data have been averaged over a </w:t>
      </w:r>
      <w:r w:rsidR="00D412B2">
        <w:t xml:space="preserve">55 x 55 km </w:t>
      </w:r>
      <w:r w:rsidR="00F2693F">
        <w:t>box centred on the P2 site</w:t>
      </w:r>
      <w:r w:rsidR="00875751">
        <w:t xml:space="preserve">. The period of sediment trap analysis of this study is highlighted by </w:t>
      </w:r>
      <w:r w:rsidR="00B713DD">
        <w:t>grey</w:t>
      </w:r>
      <w:r w:rsidR="00875751">
        <w:t xml:space="preserve"> shading.</w:t>
      </w:r>
      <w:r w:rsidR="00737937">
        <w:t xml:space="preserve"> X-</w:t>
      </w:r>
      <w:r w:rsidR="002A2629">
        <w:t>axis ticks mark January of each year.</w:t>
      </w:r>
    </w:p>
    <w:p w14:paraId="2DB095C7" w14:textId="1F671E0E" w:rsidR="00007B37" w:rsidRDefault="00F936F1" w:rsidP="000C32D3">
      <w:pPr>
        <w:spacing w:line="360" w:lineRule="auto"/>
      </w:pPr>
      <w:r>
        <w:t xml:space="preserve">The occurrence of peak fluxes of acantharian cysts in austral summer could be linked with productivity, as noted by previous studies </w:t>
      </w:r>
      <w:r>
        <w:fldChar w:fldCharType="begin" w:fldLock="1"/>
      </w:r>
      <w:r>
        <w:instrText>ADDIN CSL_CITATION { "citationItems" : [ { "id" : "ITEM-1", "itemData" : { "DOI" : "10.1016/0377-8398(90)90011-A", "ISBN" : "03778398", "ISSN" : "03778398", "abstract" : "Large numbers of acantharian cysts, up to more than 30 individuals per m3, were collected during the austral summer (January-February) 1985 in the Weddell Sea, Antarctica by a multiple open-closing plankton net system. Stations were sampled 17 days later in the season and revealed slightly higher abundances of cysts. Samples collected in the same region during winter and spring 1986 (July-November) contained no acantharian cysts. The numbers of cysts decreased from open ocean conditions to locations close to the ice shelf coast. Cysts were most abundant in water depths between 100 and 300 meters. The morphology of the cysts, constructed from differently shaped strontium sulfate plates or from amorphous strontium sulfate, is described and the taxonomy of the different types discussed. \u00a9 1990 Elsevier Science Publishers B.V.", "author" : [ { "dropping-particle" : "", "family" : "Spindler", "given" : "Michael", "non-dropping-particle" : "", "parse-names" : false, "suffix" : "" }, { "dropping-particle" : "", "family" : "Beyer", "given" : "Kerstin", "non-dropping-particle" : "", "parse-names" : false, "suffix" : "" } ], "container-title" : "Marine Micropaleontology", "id" : "ITEM-1", "issue" : "3-4", "issued" : { "date-parts" : [ [ "1990" ] ] }, "page" : "209-218", "title" : "Distribution, abundance and diversity of Antarctic acantharian cysts", "type" : "article-journal", "volume" : "15" }, "uris" : [ "http://www.mendeley.com/documents/?uuid=4ef16628-acc8-4453-8354-70921c7dfca4" ] }, { "id" : "ITEM-2", "itemData" : { "author" : [ { "dropping-particle" : "", "family" : "Martin", "given" : "Patrick", "non-dropping-particle" : "", "parse-names" : false, "suffix" : "" }, { "dropping-particle" : "", "family" : "Allen", "given" : "John T", "non-dropping-particle" : "", "parse-names" : false, "suffix" : "" }, { "dropping-particle" : "", "family" : "Cooper", "given" : "Matthew J", "non-dropping-particle" : "", "parse-names" : false, "suffix" : "" }, { "dropping-particle" : "", "family" : "Johns", "given" : "David G", "non-dropping-particle" : "", "parse-names" : false, "suffix" : "" }, { "dropping-particle" : "", "family" : "Lampitt", "given" : "Richard S", "non-dropping-particle" : "", "parse-names" : false, "suffix" : "" }, { "dropping-particle" : "", "family" : "Sanders", "given" : "Richard", "non-dropping-particle" : "", "parse-names" : false, "suffix" : "" }, { "dropping-particle" : "", "family" : "Teagle", "given" : "Damon A H", "non-dropping-particle" : "", "parse-names" : false, "suffix" : "" } ], "container-title" : "Limnology and Oceanography", "id" : "ITEM-2", "issue" : "2", "issued" : { "date-parts" : [ [ "2010" ] ] }, "page" : "604-614", "title" : "Sedimentation of acantharian cysts in the Iceland Basin: Strontium as a ballast for deep ocean particle flux, and implications for acantharian reproductive strategies", "type" : "article-journal", "volume" : "55" }, "uris" : [ "http://www.mendeley.com/documents/?uuid=94b6c34f-6265-4b24-9de4-db2cce10f37d" ] }, { "id" : "ITEM-3", "itemData" : { "DOI" : "10.1371/journal.pone.0053598", "author" : [ { "dropping-particle" : "", "family" : "Decelle", "given" : "Johan", "non-dropping-particle" : "", "parse-names" : false, "suffix" : "" }, { "dropping-particle" : "", "family" : "Martin", "given" : "Patrick", "non-dropping-particle" : "", "parse-names" : false, "suffix" : "" }, { "dropping-particle" : "", "family" : "Paborstava", "given" : "Katsiaryna", "non-dropping-particle" : "", "parse-names" : false, "suffix" : "" }, { "dropping-particle" : "", "family" : "Pond", "given" : "David W", "non-dropping-particle" : "", "parse-names" : false, "suffix" : "" }, { "dropping-particle" : "", "family" : "Tarling", "given" : "Geraint", "non-dropping-particle" : "", "parse-names" : false, "suffix" : "" }, { "dropping-particle" : "", "family" : "Mah\u00e9", "given" : "Fr\u00e9d\u00e9ric", "non-dropping-particle" : "", "parse-names" : false, "suffix" : "" }, { "dropping-particle" : "", "family" : "Vargas", "given" : "Colomban", "non-dropping-particle" : "de", "parse-names" : false, "suffix" : "" }, { "dropping-particle" : "", "family" : "Lampitt", "given" : "Richard S.", "non-dropping-particle" : "", "parse-names" : false, "suffix" : "" }, { "dropping-particle" : "", "family" : "Not", "given" : "Fabrice", "non-dropping-particle" : "", "parse-names" : false, "suffix" : "" } ], "container-title" : "PLOS ONE", "id" : "ITEM-3", "issue" : "1", "issued" : { "date-parts" : [ [ "2013" ] ] }, "title" : "Diversity, Ecology and Biogeochemistry of Cyst-Forming Acantharia (Radiolaria) in the Oceans", "type" : "article-journal", "volume" : "8" }, "uris" : [ "http://www.mendeley.com/documents/?uuid=25fae23b-4772-4666-b5f9-026c89bcf63a" ] } ], "mendeley" : { "formattedCitation" : "(Spindler and Beyer 1990; Martin et al. 2010; Decelle et al. 2013)", "plainTextFormattedCitation" : "(Spindler and Beyer 1990; Martin et al. 2010; Decelle et al. 2013)", "previouslyFormattedCitation" : "(Spindler and Beyer 1990; Martin et al. 2010; Decelle et al. 2013)" }, "properties" : {  }, "schema" : "https://github.com/citation-style-language/schema/raw/master/csl-citation.json" }</w:instrText>
      </w:r>
      <w:r>
        <w:fldChar w:fldCharType="separate"/>
      </w:r>
      <w:r w:rsidRPr="008C5A5E">
        <w:rPr>
          <w:noProof/>
        </w:rPr>
        <w:t>(Spindler and Beyer 1990; Martin et al. 2010; Decelle et al. 2013)</w:t>
      </w:r>
      <w:r>
        <w:fldChar w:fldCharType="end"/>
      </w:r>
      <w:r>
        <w:t>. However, r</w:t>
      </w:r>
      <w:r w:rsidR="0059473B">
        <w:t xml:space="preserve">emotely sensed </w:t>
      </w:r>
      <w:r w:rsidR="007234AA">
        <w:t>chl</w:t>
      </w:r>
      <w:r w:rsidR="00EA0258">
        <w:t xml:space="preserve">orophyll </w:t>
      </w:r>
      <w:r w:rsidR="0059473B">
        <w:t>for the P2 site suggest</w:t>
      </w:r>
      <w:r w:rsidR="00A13FAA">
        <w:t>s</w:t>
      </w:r>
      <w:r w:rsidR="007234AA">
        <w:t xml:space="preserve"> that chl</w:t>
      </w:r>
      <w:r w:rsidR="00EA0258">
        <w:t>orophyll</w:t>
      </w:r>
      <w:r w:rsidR="007234AA">
        <w:t xml:space="preserve"> concentrations were atypically low </w:t>
      </w:r>
      <w:r w:rsidR="009F221A">
        <w:t xml:space="preserve">(&lt;0.4 mg </w:t>
      </w:r>
      <w:r w:rsidR="0059473B">
        <w:t xml:space="preserve">chl </w:t>
      </w:r>
      <w:r w:rsidR="0059473B" w:rsidRPr="00B34B26">
        <w:rPr>
          <w:i/>
        </w:rPr>
        <w:t>a</w:t>
      </w:r>
      <w:r w:rsidR="0059473B">
        <w:t xml:space="preserve"> </w:t>
      </w:r>
      <w:r w:rsidR="009F221A">
        <w:t>m</w:t>
      </w:r>
      <w:r w:rsidR="009F221A" w:rsidRPr="00AB54C8">
        <w:rPr>
          <w:vertAlign w:val="superscript"/>
        </w:rPr>
        <w:t>-3</w:t>
      </w:r>
      <w:r w:rsidR="009F221A">
        <w:t xml:space="preserve">) </w:t>
      </w:r>
      <w:r w:rsidR="002A2629">
        <w:t>throughout</w:t>
      </w:r>
      <w:r w:rsidR="007234AA">
        <w:t xml:space="preserve"> the summer of 2012/2013</w:t>
      </w:r>
      <w:r w:rsidR="00930C51">
        <w:t xml:space="preserve"> (</w:t>
      </w:r>
      <w:r w:rsidR="00FE0510">
        <w:t>Fig. 5</w:t>
      </w:r>
      <w:r w:rsidR="00930C51">
        <w:t xml:space="preserve">). </w:t>
      </w:r>
      <w:r w:rsidR="00D43BDC">
        <w:t xml:space="preserve">As </w:t>
      </w:r>
      <w:r w:rsidR="006578F6">
        <w:t>A</w:t>
      </w:r>
      <w:r w:rsidR="00D43BDC">
        <w:t>cantharia can feed on a variety of small particulate material including bacteria, mic</w:t>
      </w:r>
      <w:r w:rsidR="0059473B">
        <w:t>r</w:t>
      </w:r>
      <w:r w:rsidR="00D43BDC">
        <w:t xml:space="preserve">o and picoplankton, as well as copepods and other grazers </w:t>
      </w:r>
      <w:r w:rsidR="00B875A6">
        <w:fldChar w:fldCharType="begin" w:fldLock="1"/>
      </w:r>
      <w:r w:rsidR="00B93937">
        <w:instrText>ADDIN CSL_CITATION { "citationItems" : [ { "id" : "ITEM-1", "itemData" : { "author" : [ { "dropping-particle" : "", "family" : "Caron", "given" : "David A.", "non-dropping-particle" : "", "parse-names" : false, "suffix" : "" }, { "dropping-particle" : "", "family" : "Swanberg", "given" : "N.R.", "non-dropping-particle" : "", "parse-names" : false, "suffix" : "" } ], "container-title" : "Reviews in Aquatic Sciences", "id" : "ITEM-1", "issued" : { "date-parts" : [ [ "1990" ] ] }, "page" : "147-180", "title" : "The ecology of planktonic sarcodines", "type" : "article-journal", "volume" : "3" }, "uris" : [ "http://www.mendeley.com/documents/?uuid=c08cae37-42d3-424d-9477-044dc6447365" ] } ], "mendeley" : { "formattedCitation" : "(Caron and Swanberg 1990)", "plainTextFormattedCitation" : "(Caron and Swanberg 1990)", "previouslyFormattedCitation" : "(Caron and Swanberg 1990)" }, "properties" : {  }, "schema" : "https://github.com/citation-style-language/schema/raw/master/csl-citation.json" }</w:instrText>
      </w:r>
      <w:r w:rsidR="00B875A6">
        <w:fldChar w:fldCharType="separate"/>
      </w:r>
      <w:r w:rsidR="000C32D3" w:rsidRPr="000C32D3">
        <w:rPr>
          <w:noProof/>
        </w:rPr>
        <w:t>(Caron and Swanberg 1990)</w:t>
      </w:r>
      <w:r w:rsidR="00B875A6">
        <w:fldChar w:fldCharType="end"/>
      </w:r>
      <w:r w:rsidR="00B875A6">
        <w:t>,</w:t>
      </w:r>
      <w:r w:rsidR="00D43BDC">
        <w:t xml:space="preserve"> </w:t>
      </w:r>
      <w:r w:rsidR="00244FE4">
        <w:t>in low chl</w:t>
      </w:r>
      <w:r w:rsidR="00875751">
        <w:t>orophyll</w:t>
      </w:r>
      <w:r w:rsidR="00244FE4">
        <w:t xml:space="preserve"> years </w:t>
      </w:r>
      <w:r w:rsidR="00D43BDC">
        <w:t>they may be able to outcompete species that are reliant on phytoplankton</w:t>
      </w:r>
      <w:r w:rsidR="00632C48">
        <w:t xml:space="preserve">. </w:t>
      </w:r>
      <w:r w:rsidR="00AC1086">
        <w:t xml:space="preserve">Abundances of </w:t>
      </w:r>
      <w:r w:rsidR="006578F6">
        <w:t>A</w:t>
      </w:r>
      <w:r w:rsidR="00AC1086">
        <w:t xml:space="preserve">cantharia measured by </w:t>
      </w:r>
      <w:r w:rsidR="00AC1086">
        <w:fldChar w:fldCharType="begin" w:fldLock="1"/>
      </w:r>
      <w:r w:rsidR="00B93937">
        <w:instrText>ADDIN CSL_CITATION { "citationItems" : [ { "id" : "ITEM-1", "itemData" : { "DOI" : "10.1093/plankt/15.1.99", "ISSN" : "01427873", "abstract" : "The abundance and sedimentation of acantharia and their cysts was recorded in the water column and sediment traps in the East Greenland Sea in August-September 1990. Although acantharia constituted &lt;1% of total suspended particulate organic carbon (POC) in the water column, up to 90% (average 55%) of the POC sedimenting in 100 m was present in the form of acantharian cysts during a 9 day drift experiment. Rapid dissolution of strontium sulphate, of which their shells and spines are constructed, was evidenced by their disappearance with depth in the water column, maximum dissolution occurring between 500 and 1000 m water depth. Mass encystment and sedimentation of this single group of sarcodine protozoa can have dramatic effects on, the measurement of particulate fluxes in the open ocean, and may be a recurrent phenomenon in the eastern North Atlantic.", "author" : [ { "dropping-particle" : "", "family" : "Antia", "given" : "Avan N.", "non-dropping-particle" : "", "parse-names" : false, "suffix" : "" }, { "dropping-particle" : "", "family" : "Bauerfeind", "given" : "Eduard", "non-dropping-particle" : "", "parse-names" : false, "suffix" : "" }, { "dropping-particle" : "V.", "family" : "Bodungen", "given" : "Bodo", "non-dropping-particle" : "", "parse-names" : false, "suffix" : "" }, { "dropping-particle" : "", "family" : "Zeller", "given" : "Ute", "non-dropping-particle" : "", "parse-names" : false, "suffix" : "" } ], "container-title" : "Journal of Plankton Research", "id" : "ITEM-1", "issue" : "1", "issued" : { "date-parts" : [ [ "1993" ] ] }, "page" : "99-114", "title" : "Abundance, encystment and sedimentation of acantharia during autumn 1990 in the East Greenland Sea", "type" : "article-journal", "volume" : "15" }, "uris" : [ "http://www.mendeley.com/documents/?uuid=26c32220-bbd7-4ed1-98f3-5fb9f6766313" ] } ], "mendeley" : { "formattedCitation" : "(Antia et al. 1993)", "manualFormatting" : "Antia et al. (1993)", "plainTextFormattedCitation" : "(Antia et al. 1993)", "previouslyFormattedCitation" : "(Antia et al. 1993)" }, "properties" : {  }, "schema" : "https://github.com/citation-style-language/schema/raw/master/csl-citation.json" }</w:instrText>
      </w:r>
      <w:r w:rsidR="00AC1086">
        <w:fldChar w:fldCharType="separate"/>
      </w:r>
      <w:r w:rsidR="00AC1086" w:rsidRPr="009B7F71">
        <w:rPr>
          <w:noProof/>
        </w:rPr>
        <w:t xml:space="preserve">Antia et al. </w:t>
      </w:r>
      <w:r w:rsidR="00AC1086">
        <w:rPr>
          <w:noProof/>
        </w:rPr>
        <w:t>(</w:t>
      </w:r>
      <w:r w:rsidR="00AC1086" w:rsidRPr="009B7F71">
        <w:rPr>
          <w:noProof/>
        </w:rPr>
        <w:t>1993)</w:t>
      </w:r>
      <w:r w:rsidR="00AC1086">
        <w:fldChar w:fldCharType="end"/>
      </w:r>
      <w:r w:rsidR="00AC1086">
        <w:t xml:space="preserve"> were high despite conditions of low algal biomass and productivity, </w:t>
      </w:r>
      <w:r w:rsidR="00DC047A">
        <w:t>suggesting</w:t>
      </w:r>
      <w:r w:rsidR="0059473B">
        <w:t xml:space="preserve"> </w:t>
      </w:r>
      <w:r w:rsidR="00443EC8">
        <w:t>that</w:t>
      </w:r>
      <w:r w:rsidR="00AC1086">
        <w:t xml:space="preserve"> </w:t>
      </w:r>
      <w:r w:rsidR="006578F6">
        <w:t>A</w:t>
      </w:r>
      <w:r w:rsidR="00AC1086">
        <w:t>cantharia can indeed thrive in low chl</w:t>
      </w:r>
      <w:r w:rsidR="00875751">
        <w:t>orophyll</w:t>
      </w:r>
      <w:r w:rsidR="00AC1086">
        <w:t xml:space="preserve"> conditions.</w:t>
      </w:r>
      <w:r w:rsidR="00930C51">
        <w:t xml:space="preserve"> However</w:t>
      </w:r>
      <w:r w:rsidR="00C54B69">
        <w:t>,</w:t>
      </w:r>
      <w:r w:rsidR="00007B37">
        <w:t xml:space="preserve"> monthly remotely sensed chlorophyll data are limited by clo</w:t>
      </w:r>
      <w:r w:rsidR="00C54B69">
        <w:t>ud cover, temporal averagin</w:t>
      </w:r>
      <w:r w:rsidR="00007B37">
        <w:t xml:space="preserve">g and shallow penetration depths. Therefore, </w:t>
      </w:r>
      <w:r w:rsidR="00C54B69">
        <w:t>we cannot rule out the occurrence of small scale, or patchy</w:t>
      </w:r>
      <w:r w:rsidR="00EB18EF">
        <w:t>,</w:t>
      </w:r>
      <w:r w:rsidR="00C54B69">
        <w:t xml:space="preserve"> </w:t>
      </w:r>
      <w:r w:rsidR="00007B37">
        <w:t xml:space="preserve">phytoplankton </w:t>
      </w:r>
      <w:r w:rsidR="00C54B69">
        <w:t xml:space="preserve">blooms extending deeper in the </w:t>
      </w:r>
      <w:r w:rsidR="00007B37">
        <w:t>water column. Indeed depth-</w:t>
      </w:r>
      <w:r w:rsidR="00C54B69">
        <w:t xml:space="preserve">integrated chlorophyll can be high in </w:t>
      </w:r>
      <w:r w:rsidR="00007B37">
        <w:t xml:space="preserve">our study </w:t>
      </w:r>
      <w:r w:rsidR="00C54B69">
        <w:t xml:space="preserve">region </w:t>
      </w:r>
      <w:r w:rsidR="00C54B69">
        <w:fldChar w:fldCharType="begin" w:fldLock="1"/>
      </w:r>
      <w:r w:rsidR="00C54B69">
        <w:instrText>ADDIN CSL_CITATION { "citationItems" : [ { "id" : "ITEM-1", "itemData" : { "DOI" : "10.1016/j.dsr2.2011.06.006", "ISSN" : "09670645", "author" : [ { "dropping-particle" : "", "family" : "Korb", "given" : "Rebecca E.", "non-dropping-particle" : "", "parse-names" : false, "suffix" : "" }, { "dropping-particle" : "", "family" : "Whitehouse", "given" : "M.J.", "non-dropping-particle" : "", "parse-names" : false, "suffix" : "" }, { "dropping-particle" : "", "family" : "Ward", "given" : "Peter", "non-dropping-particle" : "", "parse-names" : false, "suffix" : "" }, { "dropping-particle" : "", "family" : "Gordon", "given" : "Marina", "non-dropping-particle" : "", "parse-names" : false, "suffix" : "" }, { "dropping-particle" : "", "family" : "Venables", "given" : "Hugh J.", "non-dropping-particle" : "", "parse-names" : false, "suffix" : "" }, { "dropping-particle" : "", "family" : "Poulton", "given" : "Alex J.", "non-dropping-particle" : "", "parse-names" : false, "suffix" : "" } ], "container-title" : "Deep Sea Research Part II: Topical Studies in Oceanography", "id" : "ITEM-1", "issued" : { "date-parts" : [ [ "2012", "1" ] ] }, "page" : "67-77", "publisher" : "Elsevier", "title" : "Regional and seasonal differences in microplankton biomass, productivity, and structure across the Scotia Sea: Implications for the export of biogenic carbon", "type" : "article-journal", "volume" : "59-60" }, "uris" : [ "http://www.mendeley.com/documents/?uuid=f3366b58-9889-49d3-a9d4-16c16fb2ab93" ] } ], "mendeley" : { "formattedCitation" : "(Korb et al. 2012)", "plainTextFormattedCitation" : "(Korb et al. 2012)", "previouslyFormattedCitation" : "(Korb et al. 2012)" }, "properties" : {  }, "schema" : "https://github.com/citation-style-language/schema/raw/master/csl-citation.json" }</w:instrText>
      </w:r>
      <w:r w:rsidR="00C54B69">
        <w:fldChar w:fldCharType="separate"/>
      </w:r>
      <w:r w:rsidR="00C54B69" w:rsidRPr="00C54B69">
        <w:rPr>
          <w:noProof/>
        </w:rPr>
        <w:t>(Korb et al. 2012)</w:t>
      </w:r>
      <w:r w:rsidR="00C54B69">
        <w:fldChar w:fldCharType="end"/>
      </w:r>
      <w:r w:rsidR="00DC047A">
        <w:t>. W</w:t>
      </w:r>
      <w:r w:rsidR="00007B37">
        <w:t>e observed a large amount of phytodetrital material in the</w:t>
      </w:r>
      <w:r w:rsidR="00F717C3">
        <w:t xml:space="preserve"> December 2012 sediment trap </w:t>
      </w:r>
      <w:r w:rsidR="00007B37">
        <w:t xml:space="preserve">sample, </w:t>
      </w:r>
      <w:r w:rsidR="00F717C3">
        <w:t xml:space="preserve">suggesting </w:t>
      </w:r>
      <w:r w:rsidR="00DC047A">
        <w:t xml:space="preserve">that </w:t>
      </w:r>
      <w:r w:rsidR="00F717C3">
        <w:t xml:space="preserve">productivity </w:t>
      </w:r>
      <w:r w:rsidR="00DC047A">
        <w:t xml:space="preserve">could have been higher than </w:t>
      </w:r>
      <w:r w:rsidR="00EB18EF">
        <w:t>indicated</w:t>
      </w:r>
      <w:r w:rsidR="00DC047A">
        <w:t xml:space="preserve"> by remotely sensed data.</w:t>
      </w:r>
    </w:p>
    <w:p w14:paraId="699F25AE" w14:textId="7EC975EE" w:rsidR="007234AA" w:rsidRDefault="00930C51" w:rsidP="000C32D3">
      <w:pPr>
        <w:spacing w:line="360" w:lineRule="auto"/>
      </w:pPr>
      <w:r>
        <w:lastRenderedPageBreak/>
        <w:t xml:space="preserve">Remotely sensed SST data </w:t>
      </w:r>
      <w:r w:rsidR="00EB18EF">
        <w:t xml:space="preserve">reveals </w:t>
      </w:r>
      <w:r>
        <w:t>that the austral winter of 2012 was unusually warm compared to the winters of 2008-2011, with SST &gt; 0</w:t>
      </w:r>
      <w:r w:rsidRPr="002F74F1">
        <w:rPr>
          <w:rFonts w:cs="Lucida Grande"/>
          <w:b/>
          <w:color w:val="000000"/>
        </w:rPr>
        <w:t>°</w:t>
      </w:r>
      <w:r w:rsidRPr="002F74F1">
        <w:t>C</w:t>
      </w:r>
      <w:r>
        <w:t xml:space="preserve"> (</w:t>
      </w:r>
      <w:r w:rsidR="00FE0510">
        <w:t>Fig. 5</w:t>
      </w:r>
      <w:r>
        <w:t xml:space="preserve">). </w:t>
      </w:r>
      <w:r w:rsidR="00632C48">
        <w:t>Acantharia are mo</w:t>
      </w:r>
      <w:r w:rsidR="0059473B">
        <w:t>st</w:t>
      </w:r>
      <w:r w:rsidR="00632C48">
        <w:t xml:space="preserve"> abundant in tropical and subtropical waters </w:t>
      </w:r>
      <w:r w:rsidR="00632C48">
        <w:fldChar w:fldCharType="begin" w:fldLock="1"/>
      </w:r>
      <w:r w:rsidR="00B93937">
        <w:instrText>ADDIN CSL_CITATION { "citationItems" : [ { "id" : "ITEM-1", "itemData" : { "DOI" : "10.1002/9780470015902.a0002102.pub2", "ISBN" : "9780470015902", "author" : [ { "dropping-particle" : "", "family" : "Decelle", "given" : "Johan", "non-dropping-particle" : "", "parse-names" : false, "suffix" : "" }, { "dropping-particle" : "", "family" : "Not", "given" : "Fabrice", "non-dropping-particle" : "", "parse-names" : false, "suffix" : "" } ], "container-title" : "eLS", "id" : "ITEM-1", "issued" : { "date-parts" : [ [ "2015" ] ] }, "publisher" : "John Wiley &amp; Sons, Ltd", "publisher-place" : "Chichester", "title" : "Acantharia", "type" : "chapter" }, "uris" : [ "http://www.mendeley.com/documents/?uuid=a11465e5-7511-4f9b-804c-500acf55ac8c", "http://www.mendeley.com/documents/?uuid=6d95b82d-b5c2-413a-bded-dca3466f7a41" ] } ], "mendeley" : { "formattedCitation" : "(Decelle and Not 2015)", "plainTextFormattedCitation" : "(Decelle and Not 2015)", "previouslyFormattedCitation" : "(Decelle and Not 2015)" }, "properties" : {  }, "schema" : "https://github.com/citation-style-language/schema/raw/master/csl-citation.json" }</w:instrText>
      </w:r>
      <w:r w:rsidR="00632C48">
        <w:fldChar w:fldCharType="separate"/>
      </w:r>
      <w:r w:rsidR="00632C48" w:rsidRPr="000C32D3">
        <w:rPr>
          <w:noProof/>
        </w:rPr>
        <w:t>(Decelle and Not 2015)</w:t>
      </w:r>
      <w:r w:rsidR="00632C48">
        <w:fldChar w:fldCharType="end"/>
      </w:r>
      <w:r w:rsidR="00632C48">
        <w:t xml:space="preserve">, </w:t>
      </w:r>
      <w:r w:rsidR="00BE5686">
        <w:t>therefore the higher temperatures in our study region in austral winter 2012 may have been favourable to the growth of Acantharia.</w:t>
      </w:r>
    </w:p>
    <w:p w14:paraId="2FE833C8" w14:textId="535017C1" w:rsidR="009628E0" w:rsidRPr="00DD38ED" w:rsidRDefault="009628E0" w:rsidP="000C32D3">
      <w:pPr>
        <w:spacing w:line="360" w:lineRule="auto"/>
        <w:rPr>
          <w:b/>
        </w:rPr>
      </w:pPr>
      <w:r w:rsidRPr="00DD38ED">
        <w:rPr>
          <w:b/>
        </w:rPr>
        <w:t>Conclu</w:t>
      </w:r>
      <w:r w:rsidR="008F1308">
        <w:rPr>
          <w:b/>
        </w:rPr>
        <w:t>ding remarks</w:t>
      </w:r>
    </w:p>
    <w:p w14:paraId="63A951FF" w14:textId="11FA21D1" w:rsidR="007C6BDF" w:rsidRDefault="007563C8" w:rsidP="000C32D3">
      <w:pPr>
        <w:spacing w:line="360" w:lineRule="auto"/>
      </w:pPr>
      <w:r>
        <w:t>This study is the first to document such high fluxes of acantharia</w:t>
      </w:r>
      <w:r w:rsidR="00C55000">
        <w:t>n</w:t>
      </w:r>
      <w:r>
        <w:t xml:space="preserve"> cysts to the bathypelagic</w:t>
      </w:r>
      <w:r w:rsidR="003F5FB4">
        <w:t xml:space="preserve"> zone</w:t>
      </w:r>
      <w:r>
        <w:t xml:space="preserve">. </w:t>
      </w:r>
      <w:r w:rsidR="00960DA9">
        <w:t xml:space="preserve">Our data highlight </w:t>
      </w:r>
      <w:r>
        <w:t>that a</w:t>
      </w:r>
      <w:r w:rsidR="007C6BDF">
        <w:t>cantharia</w:t>
      </w:r>
      <w:r w:rsidR="00C55000">
        <w:t>n</w:t>
      </w:r>
      <w:r w:rsidR="007C6BDF">
        <w:t xml:space="preserve"> </w:t>
      </w:r>
      <w:r>
        <w:t xml:space="preserve">cysts </w:t>
      </w:r>
      <w:r w:rsidR="007C6BDF">
        <w:t>can make an important contribution to POC fluxes</w:t>
      </w:r>
      <w:r w:rsidR="003F5FB4">
        <w:t xml:space="preserve"> in the bathypelagic zone</w:t>
      </w:r>
      <w:r w:rsidR="007C6BDF">
        <w:t>, and that it is important to analyse both particulate and dissolved fractions of sediment trap samples to quantify these fluxes accurately</w:t>
      </w:r>
      <w:r w:rsidR="007C6BDF" w:rsidRPr="003B71B9">
        <w:t>.</w:t>
      </w:r>
      <w:r w:rsidR="00BE5686">
        <w:t xml:space="preserve"> A</w:t>
      </w:r>
      <w:r w:rsidR="003B71B9" w:rsidRPr="003B71B9">
        <w:t>s we only observed one high acantharia</w:t>
      </w:r>
      <w:r w:rsidR="00C55000">
        <w:t>n</w:t>
      </w:r>
      <w:r w:rsidR="003B71B9" w:rsidRPr="003B71B9">
        <w:t xml:space="preserve"> cyst flux event</w:t>
      </w:r>
      <w:r w:rsidR="0059473B">
        <w:t>,</w:t>
      </w:r>
      <w:r w:rsidR="003B71B9" w:rsidRPr="003B71B9">
        <w:t xml:space="preserve"> </w:t>
      </w:r>
      <w:r w:rsidR="007C6BDF" w:rsidRPr="003B71B9">
        <w:t xml:space="preserve">we can only </w:t>
      </w:r>
      <w:r w:rsidR="003B71B9" w:rsidRPr="003B71B9">
        <w:t>hypothesise about the driving environmental conditions</w:t>
      </w:r>
      <w:r w:rsidR="007C6BDF" w:rsidRPr="003B71B9">
        <w:t xml:space="preserve">, and hence </w:t>
      </w:r>
      <w:r w:rsidR="006578F6" w:rsidRPr="003B71B9">
        <w:t xml:space="preserve">we </w:t>
      </w:r>
      <w:r w:rsidR="007C6BDF" w:rsidRPr="003B71B9">
        <w:t xml:space="preserve">are not able </w:t>
      </w:r>
      <w:r w:rsidR="0059473B">
        <w:t xml:space="preserve">at present </w:t>
      </w:r>
      <w:r w:rsidR="007C6BDF" w:rsidRPr="003B71B9">
        <w:t>to assess the reoccurrence of such events. Our</w:t>
      </w:r>
      <w:r w:rsidR="007C6BDF">
        <w:t xml:space="preserve"> study highlights the need for further research into the life </w:t>
      </w:r>
      <w:r w:rsidR="00E5679C">
        <w:t xml:space="preserve">strategies and </w:t>
      </w:r>
      <w:r w:rsidR="007C6BDF">
        <w:t>c</w:t>
      </w:r>
      <w:r w:rsidR="00E5679C">
        <w:t xml:space="preserve">ycles </w:t>
      </w:r>
      <w:r w:rsidR="006578F6">
        <w:t>of A</w:t>
      </w:r>
      <w:r w:rsidR="007C6BDF">
        <w:t>cantharia</w:t>
      </w:r>
      <w:r w:rsidR="006578F6">
        <w:t xml:space="preserve"> to understand and predict the occurrence </w:t>
      </w:r>
      <w:r w:rsidR="00604F22">
        <w:t xml:space="preserve">of </w:t>
      </w:r>
      <w:r w:rsidR="006578F6">
        <w:t xml:space="preserve">high bathypelagic </w:t>
      </w:r>
      <w:r w:rsidR="003F5FB4">
        <w:t xml:space="preserve">zone </w:t>
      </w:r>
      <w:r w:rsidR="006578F6">
        <w:t>fluxes of Acantharia and assess their importance to the global biological carbon pump.</w:t>
      </w:r>
    </w:p>
    <w:p w14:paraId="35F6F071" w14:textId="520052AB" w:rsidR="00D7510A" w:rsidRDefault="00D7510A" w:rsidP="000C32D3">
      <w:pPr>
        <w:spacing w:line="360" w:lineRule="auto"/>
        <w:rPr>
          <w:b/>
        </w:rPr>
      </w:pPr>
      <w:r>
        <w:rPr>
          <w:b/>
        </w:rPr>
        <w:t>Acknowledgements</w:t>
      </w:r>
    </w:p>
    <w:p w14:paraId="3D784C72" w14:textId="482B0593" w:rsidR="00D7510A" w:rsidRDefault="00D7510A" w:rsidP="000C32D3">
      <w:pPr>
        <w:autoSpaceDE w:val="0"/>
        <w:autoSpaceDN w:val="0"/>
        <w:adjustRightInd w:val="0"/>
        <w:spacing w:after="0" w:line="360" w:lineRule="auto"/>
      </w:pPr>
      <w:r>
        <w:t xml:space="preserve">We would like to thank the crew, officers and scientists aboard the </w:t>
      </w:r>
      <w:r>
        <w:rPr>
          <w:i/>
        </w:rPr>
        <w:t xml:space="preserve">R.R.S. James Clark Ross </w:t>
      </w:r>
      <w:r>
        <w:t xml:space="preserve">during research cruises JR280 and JR291. </w:t>
      </w:r>
      <w:r w:rsidR="00576279">
        <w:t>Special thanks to Pete</w:t>
      </w:r>
      <w:r w:rsidR="00EB18EF">
        <w:t>r</w:t>
      </w:r>
      <w:r w:rsidR="00576279">
        <w:t xml:space="preserve"> Enderlein, Gabrielle Stowasser and Sophie Fielding for their help in deployment and recovery of the sediment trap. </w:t>
      </w:r>
      <w:r>
        <w:t xml:space="preserve">In particular, we would like to </w:t>
      </w:r>
      <w:r w:rsidR="0068552F">
        <w:t xml:space="preserve">thank </w:t>
      </w:r>
      <w:r w:rsidR="00FB6B8F">
        <w:t>Meltem Ok for her</w:t>
      </w:r>
      <w:r w:rsidR="00D16727">
        <w:t xml:space="preserve"> dedicated</w:t>
      </w:r>
      <w:r w:rsidR="00FB6B8F">
        <w:t xml:space="preserve"> work </w:t>
      </w:r>
      <w:r w:rsidR="00D058F7">
        <w:t>supporting sediment trap sample analysis</w:t>
      </w:r>
      <w:r w:rsidR="0068552F">
        <w:t>. Additionally we thank P</w:t>
      </w:r>
      <w:r w:rsidR="00800BC6">
        <w:t xml:space="preserve">aul </w:t>
      </w:r>
      <w:r w:rsidR="0068552F">
        <w:t>Geissler</w:t>
      </w:r>
      <w:r w:rsidR="004F75E9">
        <w:t xml:space="preserve"> for carrying out CHN analysis. </w:t>
      </w:r>
      <w:r w:rsidR="00EB18EF">
        <w:t xml:space="preserve">We thank the reviewers and journal editor for their constructive comments on our manuscript. </w:t>
      </w:r>
      <w:r w:rsidR="00D16727">
        <w:t>The work undertaken was</w:t>
      </w:r>
      <w:r>
        <w:t xml:space="preserve"> supported by the Ocean Ecosystems programme at British Antarctic Survey.</w:t>
      </w:r>
      <w:r w:rsidR="0059473B">
        <w:t xml:space="preserve"> The chlorophyll </w:t>
      </w:r>
      <w:r w:rsidR="0059473B" w:rsidRPr="00981394">
        <w:rPr>
          <w:i/>
        </w:rPr>
        <w:t>a</w:t>
      </w:r>
      <w:r w:rsidR="0059473B">
        <w:t xml:space="preserve"> and sea surface temperature data were provided by </w:t>
      </w:r>
      <w:r w:rsidR="0059473B" w:rsidRPr="00886329">
        <w:t>NASA Goddard Space Flight Center, Ocean Ecology Laboratory, Ocean Biology Processing Group</w:t>
      </w:r>
      <w:r w:rsidR="0059473B">
        <w:t xml:space="preserve"> (2014):</w:t>
      </w:r>
      <w:r w:rsidR="0059473B" w:rsidRPr="0059473B">
        <w:t xml:space="preserve"> </w:t>
      </w:r>
      <w:r w:rsidR="0059473B">
        <w:t>Moderate-resolution Imaging Spectroradiometer (MODIS) Aqua Chlorophyll Data; 2014 Reprocessing. NASA OB.DAAC, Greenbelt, MD, USA. doi: 10.5067/AQUA/MODIS/L3M/CHL/2014.</w:t>
      </w:r>
      <w:r w:rsidR="0059473B">
        <w:br/>
        <w:t xml:space="preserve">Accessed on </w:t>
      </w:r>
      <w:r w:rsidR="00827056">
        <w:t>09</w:t>
      </w:r>
      <w:r w:rsidR="0059473B">
        <w:t>/</w:t>
      </w:r>
      <w:r w:rsidR="00827056">
        <w:t>10</w:t>
      </w:r>
      <w:r w:rsidR="0059473B">
        <w:t>/201</w:t>
      </w:r>
      <w:r w:rsidR="00827056">
        <w:t>4.</w:t>
      </w:r>
    </w:p>
    <w:p w14:paraId="3581C294" w14:textId="77777777" w:rsidR="007800B2" w:rsidRDefault="007800B2" w:rsidP="000C32D3">
      <w:pPr>
        <w:autoSpaceDE w:val="0"/>
        <w:autoSpaceDN w:val="0"/>
        <w:adjustRightInd w:val="0"/>
        <w:spacing w:after="0" w:line="360" w:lineRule="auto"/>
      </w:pPr>
    </w:p>
    <w:p w14:paraId="2F7F5121" w14:textId="77777777" w:rsidR="00D81996" w:rsidRPr="00D81996" w:rsidRDefault="00D81996" w:rsidP="00D81996">
      <w:pPr>
        <w:rPr>
          <w:b/>
          <w:szCs w:val="21"/>
        </w:rPr>
      </w:pPr>
      <w:r w:rsidRPr="00D81996">
        <w:rPr>
          <w:b/>
        </w:rPr>
        <w:t>Compliance with Ethical Standards:</w:t>
      </w:r>
    </w:p>
    <w:p w14:paraId="18867E04" w14:textId="77777777" w:rsidR="00D81996" w:rsidRPr="00D81996" w:rsidRDefault="00D81996" w:rsidP="00D81996">
      <w:pPr>
        <w:rPr>
          <w:b/>
        </w:rPr>
      </w:pPr>
      <w:r w:rsidRPr="00D81996">
        <w:rPr>
          <w:b/>
        </w:rPr>
        <w:t>Funding</w:t>
      </w:r>
    </w:p>
    <w:p w14:paraId="6BE6B777" w14:textId="06738373" w:rsidR="00D81996" w:rsidRPr="00D81996" w:rsidRDefault="00D81996" w:rsidP="00D81996">
      <w:r w:rsidRPr="00D81996">
        <w:lastRenderedPageBreak/>
        <w:t xml:space="preserve">This study was </w:t>
      </w:r>
      <w:r>
        <w:t>supported by</w:t>
      </w:r>
      <w:r w:rsidRPr="00D81996">
        <w:t xml:space="preserve"> </w:t>
      </w:r>
      <w:r>
        <w:t>the Ocean Ecosystems programme at British Antarctic Survey.</w:t>
      </w:r>
    </w:p>
    <w:p w14:paraId="561956F0" w14:textId="77777777" w:rsidR="00D81996" w:rsidRPr="00D81996" w:rsidRDefault="00D81996" w:rsidP="00D81996">
      <w:pPr>
        <w:rPr>
          <w:b/>
        </w:rPr>
      </w:pPr>
      <w:r w:rsidRPr="00D81996">
        <w:rPr>
          <w:b/>
        </w:rPr>
        <w:t>Conflict of Interest</w:t>
      </w:r>
    </w:p>
    <w:p w14:paraId="1E664D20" w14:textId="7688C821" w:rsidR="00D81996" w:rsidRPr="00D81996" w:rsidRDefault="00D81996" w:rsidP="00D81996">
      <w:r>
        <w:t>The authors declare that they have no conflict of interest.</w:t>
      </w:r>
    </w:p>
    <w:p w14:paraId="0EE37614" w14:textId="77777777" w:rsidR="00D81996" w:rsidRPr="00D81996" w:rsidRDefault="00D81996" w:rsidP="00D81996">
      <w:pPr>
        <w:rPr>
          <w:b/>
        </w:rPr>
      </w:pPr>
      <w:r w:rsidRPr="00D81996">
        <w:rPr>
          <w:b/>
        </w:rPr>
        <w:t>Ethical approval</w:t>
      </w:r>
    </w:p>
    <w:p w14:paraId="620D0EB1" w14:textId="7AE06DDB" w:rsidR="00D81996" w:rsidRPr="00D81996" w:rsidRDefault="00D81996" w:rsidP="00D81996">
      <w:r w:rsidRPr="00D81996">
        <w:t>This article does not contain any studies with animals performed by any of the authors.</w:t>
      </w:r>
    </w:p>
    <w:p w14:paraId="63C4B098" w14:textId="77777777" w:rsidR="00875751" w:rsidRPr="00D718E4" w:rsidRDefault="00875751" w:rsidP="000C32D3">
      <w:pPr>
        <w:autoSpaceDE w:val="0"/>
        <w:autoSpaceDN w:val="0"/>
        <w:adjustRightInd w:val="0"/>
        <w:spacing w:after="0" w:line="360" w:lineRule="auto"/>
      </w:pPr>
    </w:p>
    <w:p w14:paraId="4EEE1C36" w14:textId="7F50113F" w:rsidR="00D7510A" w:rsidRDefault="00D7510A" w:rsidP="000C32D3">
      <w:pPr>
        <w:spacing w:line="360" w:lineRule="auto"/>
        <w:rPr>
          <w:b/>
        </w:rPr>
      </w:pPr>
      <w:r>
        <w:rPr>
          <w:b/>
        </w:rPr>
        <w:t>References</w:t>
      </w:r>
    </w:p>
    <w:p w14:paraId="7446DADE" w14:textId="5C21F370" w:rsidR="00694572" w:rsidRPr="00694572" w:rsidRDefault="0068552F" w:rsidP="00694572">
      <w:pPr>
        <w:widowControl w:val="0"/>
        <w:autoSpaceDE w:val="0"/>
        <w:autoSpaceDN w:val="0"/>
        <w:adjustRightInd w:val="0"/>
        <w:spacing w:line="360" w:lineRule="auto"/>
        <w:ind w:left="480" w:hanging="480"/>
        <w:rPr>
          <w:rFonts w:ascii="Cambria" w:hAnsi="Cambria" w:cs="Times New Roman"/>
          <w:noProof/>
          <w:szCs w:val="24"/>
        </w:rPr>
      </w:pPr>
      <w:r>
        <w:rPr>
          <w:b/>
        </w:rPr>
        <w:fldChar w:fldCharType="begin" w:fldLock="1"/>
      </w:r>
      <w:r>
        <w:rPr>
          <w:b/>
        </w:rPr>
        <w:instrText xml:space="preserve">ADDIN Mendeley Bibliography CSL_BIBLIOGRAPHY </w:instrText>
      </w:r>
      <w:r>
        <w:rPr>
          <w:b/>
        </w:rPr>
        <w:fldChar w:fldCharType="separate"/>
      </w:r>
      <w:r w:rsidR="00694572" w:rsidRPr="00694572">
        <w:rPr>
          <w:rFonts w:ascii="Cambria" w:hAnsi="Cambria" w:cs="Times New Roman"/>
          <w:noProof/>
          <w:szCs w:val="24"/>
        </w:rPr>
        <w:t>Antia AN, Bauerfeind E, Bodungen B V., Zeller U (1993) Abundance, encystment and sedimentation of acantharia during autumn 1990 in the East Greenland Sea. J Plankton Res 15:99–114. doi: 10.1093/plankt/15.1.99</w:t>
      </w:r>
    </w:p>
    <w:p w14:paraId="5D4769E3"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Beers JR, Steward GL (1970) The preservation of acantharians in fixed plankton samples. Limnol Oceanogr 15:825–827. doi: 10.4319/lo.1970.15.5.0825</w:t>
      </w:r>
    </w:p>
    <w:p w14:paraId="17B61165"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Belcher A, Iversen MH, Manno C, Henson SA, Tarling GA, Sanders R (2016) The role of particle associated microbes in remineralization of fecal pellets in the upper mesopelagic of the Scotia Sea, Antarctica. Limnol Oceanogr 61:1049–1064. doi: 10.1002/lno.10269</w:t>
      </w:r>
    </w:p>
    <w:p w14:paraId="3EC600B2"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Belcher A, Manno C, Ward P, Henson SA, Sanders R, Tarling GA (2017) Copepod faecal pellet transfer through the meso- and bathypelagic layers in the Southern Ocean in spring. Biogeosciences 14:1–15. doi: 10.5194/bg-14-1-2017</w:t>
      </w:r>
    </w:p>
    <w:p w14:paraId="4D157E8F"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Bernstein RE, Betzer PR (1991) Labile phases and the ocean’s strontium cycle: A method of sediment trap sampling for acantharians. In: Hurd DC, W SD (eds) Marine Particles: Analysis and Characterization. American Geophysical Union, Washington, DC, pp 369–374</w:t>
      </w:r>
    </w:p>
    <w:p w14:paraId="4CA5223E"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Bernstein RE, Betzer PR, Feely RA, Byrne RH, Lamb MF, Michaels AF (1987) Acantharian Fluxes and Strontium to Chlorinity Ratios in the North Pacific Ocean. Science (80- ) 237:1490–1494. doi: 10.1126/science.237.4821.1490</w:t>
      </w:r>
    </w:p>
    <w:p w14:paraId="761F8CBF"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Bernstein RE, Byrne RH, Betzer PR, Greco AM (1992) Morphologies and transformations of celestite in seawater: The role of acantharians in strontium and barium geochemistry. Geochim Cosmochim Acta 56:3273–3279. doi: 10.1016/0016-7037(92)90304-2</w:t>
      </w:r>
    </w:p>
    <w:p w14:paraId="33676EA1"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lastRenderedPageBreak/>
        <w:t>Biard T, Stemmann L, Picheral M, Mayot N, Vandromme P, Hauss H, Gorsky G, Guidi L, Kiko R, Not F (2016) In situ imaging reveals the biomass of giant protists in the global ocean. Nature 532:504–507. doi: 10.1038/nature17652</w:t>
      </w:r>
    </w:p>
    <w:p w14:paraId="220BD80D"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Bochdansky AB, Clouse MA, Hansell DA (2017) Mesoscale and high-frequency variability of macroscopic particles (&gt;100μm) in the Ross Sea and its relevance for late-season particulate carbon export. J Mar Syst 166:120–131. doi: 10.1016/j.jmarsys.2016.08.010</w:t>
      </w:r>
    </w:p>
    <w:p w14:paraId="3B6C4217"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Boehme L, Meredith MP, Thorpe SE, Biuw M, Fedak M (2008) Antarctic circumpolar current frontal system in the South Atlantic: Monitoring using merged Argo and animal-borne sensor data. J Geophys Res 113:C09012. doi: 10.1029/2007JC004647</w:t>
      </w:r>
    </w:p>
    <w:p w14:paraId="43303E41"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Buesseler KO, Antia AN, Chen M, Fowler SW, Gardner WD, Gustafsson O, Harada K, Michaels AF, Rutgers van der Loeff M, Sarin M, Steinberg DK, Trull T (2007) An assessment of the use of sediment traps for estimating upper ocean particle fluxes. J Mar Res 65:345–416. doi: 10.1357/002224007781567621</w:t>
      </w:r>
    </w:p>
    <w:p w14:paraId="2CD10B8C"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Caron DA, Swanberg NR (1990) The ecology of planktonic sarcodines. Rev Aquat Sci 3:147–180.</w:t>
      </w:r>
    </w:p>
    <w:p w14:paraId="6AB4BBB8"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de Villiers S (1999) Seawater Sr and Sr/Ca variability in the Atlantic and Pacific oceans. Earth Planet Sci Lett 171:623–634. doi: 10.1016/S0012-821X(99)00174-0</w:t>
      </w:r>
    </w:p>
    <w:p w14:paraId="32927516"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 xml:space="preserve">Decelle J, Not F (2015) Acantharia. In: eLS. John Wiley &amp; Sons, Ltd, Chichester, </w:t>
      </w:r>
    </w:p>
    <w:p w14:paraId="37A28E68"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Decelle J, Martin P, Paborstava K, Pond DW, Tarling G, Mahé F, de Vargas C, Lampitt RS, Not F (2013) Diversity, Ecology and Biogeochemistry of Cyst-Forming Acantharia (Radiolaria) in the Oceans. PLoS One. doi: 10.1371/journal.pone.0053598</w:t>
      </w:r>
    </w:p>
    <w:p w14:paraId="723DF535"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González HE, Daneri G, Iriarte JL, Yannicelli B, Menschel E, Barría C, Pantoja S, Lizárraga L (2009) Carbon fluxes within the epipelagic zone of the Humboldt Current System off Chile: The significance of euphausiids and diatoms as key functional groups for the biological pump. Prog Oceanogr 83:217–227. doi: 10.1016/j.pocean.2009.07.036</w:t>
      </w:r>
    </w:p>
    <w:p w14:paraId="4DF4F2C1"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 xml:space="preserve">Guidi L, Chaffron S, Bittner L, Eveillard D, Larhlimi A, Roux S, Darzi Y, Audic S, Berline L, Brum J, Coelho LP, Espinoza JCI, Malviya S, Sunagawa S, Dimier C, Kandels-Lewis S, Picheral M, Poulain J, Searson S, Coordinators TO, Stemmann L, Not F, Hingamp P, Speich S, Follows M, Karp-Boss L, Boss E, Ogata H, Pesant S, Weissenbach J, </w:t>
      </w:r>
      <w:r w:rsidRPr="00694572">
        <w:rPr>
          <w:rFonts w:ascii="Cambria" w:hAnsi="Cambria" w:cs="Times New Roman"/>
          <w:noProof/>
          <w:szCs w:val="24"/>
        </w:rPr>
        <w:lastRenderedPageBreak/>
        <w:t>Wincker P, Acinas SG, Bork P, de Vargas C, Iudicone D, Sullivan MB, Raes J, Karsenti E, Bowler C, Gorsky G (2016) Plankton networks driving carbon export in the oligotrophic ocean. Nature 532:465–470. doi: 10.1038/nature16942</w:t>
      </w:r>
    </w:p>
    <w:p w14:paraId="4911C3BC"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Hilton J, Lishman JP, Mackness S, Heaney SI (1986) An automated method for the analysis of “particulate” carbon and nitrogen in natural waters. Hydrobiologia 141:269–271. doi: 10.1007/BF00014221</w:t>
      </w:r>
    </w:p>
    <w:p w14:paraId="498ED32C"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Honjo S, Manganini SJ, Krishfield RA, Francois R (2008) Particulate organic carbon fluxes to the ocean interior and factors controlling the biological pump : A synthesis of global sediment trap programs since 1983. Prog Oceanogr 76:217–285. doi: 10.1016/j.pocean.2007.11.003</w:t>
      </w:r>
    </w:p>
    <w:p w14:paraId="07480A97"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Iversen MH, Ploug H (2013) Temperature effects on carbon-specific respiration rate and sinking velocity of diatom aggregates - potential implications for deep ocean export processes. Biogeosciences 10:4073–4085. doi: 10.5194/bg-10-4073-2013</w:t>
      </w:r>
    </w:p>
    <w:p w14:paraId="71CB00E5"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Korb RE, Whitehouse MJ, Gordon M, Ward P, Poulton AJ (2010) Summer microplankton community structure across the Scotia Sea: implications for biological carbon export. Biogeosciences 7:343–356. doi: 10.5194/bg-7-343-2010</w:t>
      </w:r>
    </w:p>
    <w:p w14:paraId="13EE3A52"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Korb RE, Whitehouse MJ, Ward P, Gordon M, Venables HJ, Poulton AJ (2012) Regional and seasonal differences in microplankton biomass, productivity, and structure across the Scotia Sea: Implications for the export of biogenic carbon. Deep Sea Res Part II Top Stud Oceanogr 59–60:67–77. doi: 10.1016/j.dsr2.2011.06.006</w:t>
      </w:r>
    </w:p>
    <w:p w14:paraId="35400946"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Kwon EY, Primeau F, Sarmiento JL (2009) The impact of remineralization depth on the air–sea carbon balance. Nat Geosci 2:630–635. doi: 10.1038/ngeo612</w:t>
      </w:r>
    </w:p>
    <w:p w14:paraId="74B07FB8"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Lampitt RS, Salter I, Johns D (2009) Radiolaria: Major exporters of organic carbon to the deep ocean. Global Biogeochem Cycles. doi: 10.1029/2008GB003221</w:t>
      </w:r>
    </w:p>
    <w:p w14:paraId="3220A603"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Manno C, Stowasser G, Enderlein P, Fielding S, Tarling GA (2015) The contribution of zooplankton faecal pellets to deep-carbon transport in the Scotia Sea (Southern Ocean). Biogeosciences 12:1955–1965. doi: 10.5194/bg-12-1955-2015</w:t>
      </w:r>
    </w:p>
    <w:p w14:paraId="298D97C9"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Martin P, Allen JT, Cooper MJ, Johns DG, Lampitt RS, Sanders R, Teagle DAH (2010) Sedimentation of acantharian cysts in the Iceland Basin: Strontium as a ballast for deep ocean particle flux, and implications for acantharian reproductive strategies. Limnol Oceanogr 55:604–614.</w:t>
      </w:r>
    </w:p>
    <w:p w14:paraId="3804B391"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lastRenderedPageBreak/>
        <w:t>Meredith MP, Murphy EJ, Hawker EJ, King JC, Wallace MI (2008) On the interannual variability of ocean temperatures around South Georgia, Southern Ocean: Forcing by El Niño/Southern Oscillation and the Southern Annular Mode. Deep Res Part II Top Stud Oceanogr 55:2007–2022. doi: 10.1016/j.dsr2.2008.05.020</w:t>
      </w:r>
    </w:p>
    <w:p w14:paraId="27698856"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Michaels AF (1988) Vertical distribution and abundance of Acantharia and their symbionts. Mar Biol 97:559–569. doi: 10.1007/BF00391052</w:t>
      </w:r>
    </w:p>
    <w:p w14:paraId="16A009BC"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Michaels AF (1991) Acantharian abundance and symbiont productivity at the VERTEX seasonal station. J Plankton Res 13:399–418. doi: 10.1093/plankt/13.2.399</w:t>
      </w:r>
    </w:p>
    <w:p w14:paraId="14A23782"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Michaels AF, Caron DA, Swanberg NR, Howse FA, Michaels CM (1995) Planktonic sarcodines (Acantharia, Radiolaria, Foraminifera) in surface waters near Bermuda: abundance, biomass and vertical flux. J Plankton Res 17:131–163. doi: 10.1093/plankt/17.1.131</w:t>
      </w:r>
    </w:p>
    <w:p w14:paraId="2E383145"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Moore JK, Abbott MR, Richman JG (1999) Location and dynamics of the Antarctic Polar Front from satellite sea surface temperature data. J Geophys Res Ocean 104:3059–3073. doi: 10.1029/1998JC900032</w:t>
      </w:r>
    </w:p>
    <w:p w14:paraId="3CC70300"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Murphy EJ, Trathan PN, Watkins JL, Reid K, Meredith MP, Forcada J, Thorpe SE, Johnston NM, Rothery P (2007a) Climatically driven fluctuations in Southern Ocean ecosystems. Proc R Soc B Biol Sci 274:3057–3067. doi: 10.1098/rspb.2007.1180</w:t>
      </w:r>
    </w:p>
    <w:p w14:paraId="39CAF629"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Murphy EJ, Watkins JL, Trathan PN, Reid K, Meredith MP, Thorpe SE, Johnston NM, Clarke A, Tarling GA, Collins MA, Forcada J, Shreeve RS, Atkinson A, Korb R, Whitehouse MJ, Ward P, Rodhouse PG, Enderlein P, Hirst AG, Martin AR, Hill SL, Staniland IJ, Pond DW, Briggs DR, Cunningham NJ, Fleming AH (2007b) Spatial and temporal operation of the Scotia Sea ecosystem: a review of large-scale links in a krill centred food web. Philos Trans R Soc B Biol Sci 362:113–148. doi: 10.1098/rstb.2006.1957</w:t>
      </w:r>
    </w:p>
    <w:p w14:paraId="3A525099"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Orsi H, Whitworth III T, Nowlin Jr WD (1995) On the meridional extent and fronts of the Antarctic Circumpolar Current. Deep Sea Res Part I Oceanogr Res Pap 42:641–673. doi: 10.1016/0967-0637(95)00021-W</w:t>
      </w:r>
    </w:p>
    <w:p w14:paraId="02EABEEC"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Park J, Oh I-S, Kim H-C, Yoo S (2010) Variability of SeaWiFs chlorophyll-a in the southwest Atlantic sector of the Southern Ocean: Strong topographic effects and weak seasonality. Deep Sea Res Part I Oceanogr Res Pap 57:604–620. doi: 10.1016/j.dsr.2010.01.004</w:t>
      </w:r>
    </w:p>
    <w:p w14:paraId="02AB2633"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lastRenderedPageBreak/>
        <w:t>Rembauville M, Blain S, Armand L, Quéguiner B, Salter I (2015) Export fluxes in a naturally iron-fertilized area of the Southern Ocean – Part 2: Importance of diatom resting spores and faecal pellets for export. Biogeosciences 12:3171–3195. doi: 10.5194/bg-12-3171-2015</w:t>
      </w:r>
    </w:p>
    <w:p w14:paraId="7AE52A6C"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Rembauville M, Manno C, Tarling GA, Blain S, Salter I (2016) Strong contribution of diatom resting spores to deep-sea carbon transfer in naturally iron-fertilized waters downstream of South Georgia. Deep Res Part I 115:22–35. doi: 10.1016/j.dsr.2016.05.002</w:t>
      </w:r>
    </w:p>
    <w:p w14:paraId="44997567"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Roca-Marti M, Puigcorbé V, Iversen MH, Rutgers van der Loeff M, Klaas C, Cheah W, Bracher A, Masqué P (2017) High particulate organic carbon export during the decline of a vast diatom bloom in the Atlantic sector of the Southern Ocean. Deep Sea Res Part II Top Stud Oceanogr 138:102–115. doi: 10.1016/j.dsr2.2015.12.007</w:t>
      </w:r>
    </w:p>
    <w:p w14:paraId="4E39D2A6"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Rushdi AI, McManus J, Collier RW (2000) Marine barite and celestite saturation in seawater. Mar Chem 69:19–31. doi: 10.1016/S0304-4203(99)00089-4</w:t>
      </w:r>
    </w:p>
    <w:p w14:paraId="1B53092B"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Sarmiento JL, Gruber N, Brzezinski MA, Dunne JP (2004) High-latitude controls of thermocline nutrients and low latitude biological productivity. Nature 427:56–60. doi: 10.1038/nature10605</w:t>
      </w:r>
    </w:p>
    <w:p w14:paraId="5B936872"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Smayda TJ (1970) The suspension and sinking of phytoplankton in the sea. Oceanogr Mar Biol Annu Rev 8:353–414.</w:t>
      </w:r>
    </w:p>
    <w:p w14:paraId="411AD599"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Smith WHF, Sandwell DT (1997) Global seafloor topography from satellite altimetry and ship depth sounding. Science (80- ) 277:1956–1962.</w:t>
      </w:r>
    </w:p>
    <w:p w14:paraId="3D8135E9"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Spindler M, Beyer K (1990) Distribution, abundance and diversity of Antarctic acantharian cysts. Mar Micropaleontol 15:209–218. doi: 10.1016/0377-8398(90)90011-A</w:t>
      </w:r>
    </w:p>
    <w:p w14:paraId="20FDF1A1"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Steinberg DK, Lomas MW, Cope JS (2012) Long-term increase in mesozooplankton biomass in the Sargasso Sea: Linkage to climate and implications for food web dynamics and biogeochemical cycling. Global Biogeochem Cycles 26:1–16. doi: 10.1029/2010GB004026</w:t>
      </w:r>
    </w:p>
    <w:p w14:paraId="492B79FD"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Thorpe SE, Heywood KJ, Brandon MA, Stevens DP (2002) Variability of the southern Antarctic Circumpolar Current front north of South Georgia. J Mar Syst 37:87–105. doi: 10.1016/S0924-7963(02)00197-5</w:t>
      </w:r>
    </w:p>
    <w:p w14:paraId="23F3CA36"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lastRenderedPageBreak/>
        <w:t>Turner JT (2015) Zooplankton fecal pellets, marine snow, phytodetritus and the ocean’s biological pump. Prog Oceanogr 130:205–248. doi: 10.1016/j.pocean.2014.08.005</w:t>
      </w:r>
    </w:p>
    <w:p w14:paraId="5AA1314A"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Volk T, Hoffert MI (1985) Ocean Carbon Pumps: Analysis of relative strengths and efficiencies in ocean driven atmospheric CO2 changes. In: Sundquist ET, Broecker WS (eds) The carbon cycle and atmospheric CO2:Natural variations Archean to Present. American Geophysical Union, Washington, DC, pp 99–110</w:t>
      </w:r>
    </w:p>
    <w:p w14:paraId="74ECBC25" w14:textId="77777777" w:rsidR="00694572" w:rsidRPr="00694572" w:rsidRDefault="00694572" w:rsidP="00694572">
      <w:pPr>
        <w:widowControl w:val="0"/>
        <w:autoSpaceDE w:val="0"/>
        <w:autoSpaceDN w:val="0"/>
        <w:adjustRightInd w:val="0"/>
        <w:spacing w:line="360" w:lineRule="auto"/>
        <w:ind w:left="480" w:hanging="480"/>
        <w:rPr>
          <w:rFonts w:ascii="Cambria" w:hAnsi="Cambria" w:cs="Times New Roman"/>
          <w:noProof/>
          <w:szCs w:val="24"/>
        </w:rPr>
      </w:pPr>
      <w:r w:rsidRPr="00694572">
        <w:rPr>
          <w:rFonts w:ascii="Cambria" w:hAnsi="Cambria" w:cs="Times New Roman"/>
          <w:noProof/>
          <w:szCs w:val="24"/>
        </w:rPr>
        <w:t>Waite A, Fisher A, Thompson PA, Harrison PJ (1997) Sinking rate versus cell volume relationships illuminate sinking rate control mechanisms in marine diatoms. Mar Ecol Ser 157:97–108. doi: 10.3354/meps157097</w:t>
      </w:r>
    </w:p>
    <w:p w14:paraId="38FAD698" w14:textId="77777777" w:rsidR="00694572" w:rsidRPr="00694572" w:rsidRDefault="00694572" w:rsidP="00694572">
      <w:pPr>
        <w:widowControl w:val="0"/>
        <w:autoSpaceDE w:val="0"/>
        <w:autoSpaceDN w:val="0"/>
        <w:adjustRightInd w:val="0"/>
        <w:spacing w:line="360" w:lineRule="auto"/>
        <w:ind w:left="480" w:hanging="480"/>
        <w:rPr>
          <w:rFonts w:ascii="Cambria" w:hAnsi="Cambria"/>
          <w:noProof/>
        </w:rPr>
      </w:pPr>
      <w:r w:rsidRPr="00694572">
        <w:rPr>
          <w:rFonts w:ascii="Cambria" w:hAnsi="Cambria" w:cs="Times New Roman"/>
          <w:noProof/>
          <w:szCs w:val="24"/>
        </w:rPr>
        <w:t>Ward P, Atkinson A, Venables HJ, Tarling GA, Whitehouse MJ, Fielding S, Collins MA, Korb R, Black A, Stowasser G, Schmidt K, Thorpe SE, Enderlein P (2012) Food web structure and bioregions in the Scotia Sea: A seasonal synthesis. Deep Sea Res Part II Top Stud Oceanogr 59–60:253–266. doi: 10.1016/j.dsr2.2011.08.005</w:t>
      </w:r>
    </w:p>
    <w:p w14:paraId="523029B2" w14:textId="69A86881" w:rsidR="0091305F" w:rsidRDefault="0068552F" w:rsidP="0091305F">
      <w:pPr>
        <w:widowControl w:val="0"/>
        <w:autoSpaceDE w:val="0"/>
        <w:autoSpaceDN w:val="0"/>
        <w:adjustRightInd w:val="0"/>
        <w:spacing w:line="360" w:lineRule="auto"/>
        <w:rPr>
          <w:b/>
        </w:rPr>
      </w:pPr>
      <w:r>
        <w:rPr>
          <w:b/>
        </w:rPr>
        <w:fldChar w:fldCharType="end"/>
      </w:r>
    </w:p>
    <w:sectPr w:rsidR="0091305F" w:rsidSect="000C32D3">
      <w:footerReference w:type="default" r:id="rId15"/>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F5D08" w14:textId="77777777" w:rsidR="00B106AD" w:rsidRDefault="00B106AD" w:rsidP="00D16727">
      <w:pPr>
        <w:spacing w:after="0" w:line="240" w:lineRule="auto"/>
      </w:pPr>
      <w:r>
        <w:separator/>
      </w:r>
    </w:p>
  </w:endnote>
  <w:endnote w:type="continuationSeparator" w:id="0">
    <w:p w14:paraId="58405BF1" w14:textId="77777777" w:rsidR="00B106AD" w:rsidRDefault="00B106AD" w:rsidP="00D1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614560"/>
      <w:docPartObj>
        <w:docPartGallery w:val="Page Numbers (Bottom of Page)"/>
        <w:docPartUnique/>
      </w:docPartObj>
    </w:sdtPr>
    <w:sdtEndPr>
      <w:rPr>
        <w:noProof/>
      </w:rPr>
    </w:sdtEndPr>
    <w:sdtContent>
      <w:p w14:paraId="66D13573" w14:textId="22FD19C7" w:rsidR="00BB19EE" w:rsidRDefault="00BB19EE">
        <w:pPr>
          <w:pStyle w:val="Footer"/>
          <w:jc w:val="right"/>
        </w:pPr>
        <w:r>
          <w:fldChar w:fldCharType="begin"/>
        </w:r>
        <w:r>
          <w:instrText xml:space="preserve"> PAGE   \* MERGEFORMAT </w:instrText>
        </w:r>
        <w:r>
          <w:fldChar w:fldCharType="separate"/>
        </w:r>
        <w:r w:rsidR="00951D42">
          <w:rPr>
            <w:noProof/>
          </w:rPr>
          <w:t>11</w:t>
        </w:r>
        <w:r>
          <w:rPr>
            <w:noProof/>
          </w:rPr>
          <w:fldChar w:fldCharType="end"/>
        </w:r>
      </w:p>
    </w:sdtContent>
  </w:sdt>
  <w:p w14:paraId="65AD64B7" w14:textId="77777777" w:rsidR="00BB19EE" w:rsidRDefault="00BB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9F1B9" w14:textId="77777777" w:rsidR="00B106AD" w:rsidRDefault="00B106AD" w:rsidP="00D16727">
      <w:pPr>
        <w:spacing w:after="0" w:line="240" w:lineRule="auto"/>
      </w:pPr>
      <w:r>
        <w:separator/>
      </w:r>
    </w:p>
  </w:footnote>
  <w:footnote w:type="continuationSeparator" w:id="0">
    <w:p w14:paraId="0E17677A" w14:textId="77777777" w:rsidR="00B106AD" w:rsidRDefault="00B106AD" w:rsidP="00D167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63"/>
    <w:rsid w:val="00007B37"/>
    <w:rsid w:val="000104BE"/>
    <w:rsid w:val="000151B1"/>
    <w:rsid w:val="00015C3F"/>
    <w:rsid w:val="000266D5"/>
    <w:rsid w:val="00055B72"/>
    <w:rsid w:val="00061364"/>
    <w:rsid w:val="0006793E"/>
    <w:rsid w:val="00094404"/>
    <w:rsid w:val="000959B1"/>
    <w:rsid w:val="000A38D7"/>
    <w:rsid w:val="000B59B0"/>
    <w:rsid w:val="000C2AEB"/>
    <w:rsid w:val="000C32D3"/>
    <w:rsid w:val="000C3355"/>
    <w:rsid w:val="000C5052"/>
    <w:rsid w:val="000C5149"/>
    <w:rsid w:val="000D055A"/>
    <w:rsid w:val="000F2B13"/>
    <w:rsid w:val="000F3B2B"/>
    <w:rsid w:val="00100A37"/>
    <w:rsid w:val="001029F3"/>
    <w:rsid w:val="0011405C"/>
    <w:rsid w:val="00116FD9"/>
    <w:rsid w:val="00124D15"/>
    <w:rsid w:val="0013437E"/>
    <w:rsid w:val="00135105"/>
    <w:rsid w:val="00142DCB"/>
    <w:rsid w:val="00146972"/>
    <w:rsid w:val="00155963"/>
    <w:rsid w:val="00162F84"/>
    <w:rsid w:val="00175E6E"/>
    <w:rsid w:val="00183CE3"/>
    <w:rsid w:val="001873E8"/>
    <w:rsid w:val="001A25E4"/>
    <w:rsid w:val="001B2289"/>
    <w:rsid w:val="001C1228"/>
    <w:rsid w:val="001C12AC"/>
    <w:rsid w:val="001D6FE8"/>
    <w:rsid w:val="001D72BD"/>
    <w:rsid w:val="001E74F9"/>
    <w:rsid w:val="001F1448"/>
    <w:rsid w:val="001F1910"/>
    <w:rsid w:val="001F499D"/>
    <w:rsid w:val="001F6196"/>
    <w:rsid w:val="002007E7"/>
    <w:rsid w:val="00201210"/>
    <w:rsid w:val="00203CE7"/>
    <w:rsid w:val="00204381"/>
    <w:rsid w:val="00205B91"/>
    <w:rsid w:val="0021550C"/>
    <w:rsid w:val="00224646"/>
    <w:rsid w:val="002255FC"/>
    <w:rsid w:val="00225860"/>
    <w:rsid w:val="002311B8"/>
    <w:rsid w:val="002344F9"/>
    <w:rsid w:val="00242BED"/>
    <w:rsid w:val="00244FE4"/>
    <w:rsid w:val="002478B9"/>
    <w:rsid w:val="00253001"/>
    <w:rsid w:val="002570CF"/>
    <w:rsid w:val="002610D1"/>
    <w:rsid w:val="00272FB0"/>
    <w:rsid w:val="00276581"/>
    <w:rsid w:val="00297F92"/>
    <w:rsid w:val="002A2629"/>
    <w:rsid w:val="002A37C7"/>
    <w:rsid w:val="002C626D"/>
    <w:rsid w:val="002D6B9A"/>
    <w:rsid w:val="002F61BE"/>
    <w:rsid w:val="002F74F1"/>
    <w:rsid w:val="00303C7C"/>
    <w:rsid w:val="00313CFB"/>
    <w:rsid w:val="0031518C"/>
    <w:rsid w:val="00323E7D"/>
    <w:rsid w:val="003335F9"/>
    <w:rsid w:val="00340B8B"/>
    <w:rsid w:val="003524EB"/>
    <w:rsid w:val="003617CE"/>
    <w:rsid w:val="0036227D"/>
    <w:rsid w:val="00365C75"/>
    <w:rsid w:val="003732A9"/>
    <w:rsid w:val="00381F85"/>
    <w:rsid w:val="00392D48"/>
    <w:rsid w:val="00394242"/>
    <w:rsid w:val="003A1472"/>
    <w:rsid w:val="003A7076"/>
    <w:rsid w:val="003B70F5"/>
    <w:rsid w:val="003B71B9"/>
    <w:rsid w:val="003C42A8"/>
    <w:rsid w:val="003C5B58"/>
    <w:rsid w:val="003D699B"/>
    <w:rsid w:val="003E1E4C"/>
    <w:rsid w:val="003F4D2C"/>
    <w:rsid w:val="003F5652"/>
    <w:rsid w:val="003F5FB4"/>
    <w:rsid w:val="00404B07"/>
    <w:rsid w:val="00406164"/>
    <w:rsid w:val="00406C76"/>
    <w:rsid w:val="00417EBD"/>
    <w:rsid w:val="00423C18"/>
    <w:rsid w:val="0043790F"/>
    <w:rsid w:val="00443EC8"/>
    <w:rsid w:val="004474B0"/>
    <w:rsid w:val="00452A92"/>
    <w:rsid w:val="00463E51"/>
    <w:rsid w:val="00466E42"/>
    <w:rsid w:val="00481251"/>
    <w:rsid w:val="00497361"/>
    <w:rsid w:val="004A21EC"/>
    <w:rsid w:val="004A4666"/>
    <w:rsid w:val="004B3767"/>
    <w:rsid w:val="004C0136"/>
    <w:rsid w:val="004C4A09"/>
    <w:rsid w:val="004D5D01"/>
    <w:rsid w:val="004D5E64"/>
    <w:rsid w:val="004F75E9"/>
    <w:rsid w:val="00504588"/>
    <w:rsid w:val="005124EC"/>
    <w:rsid w:val="00513E23"/>
    <w:rsid w:val="00516E98"/>
    <w:rsid w:val="00521899"/>
    <w:rsid w:val="00522027"/>
    <w:rsid w:val="00523212"/>
    <w:rsid w:val="005238E9"/>
    <w:rsid w:val="00530AAB"/>
    <w:rsid w:val="005359EE"/>
    <w:rsid w:val="0055768E"/>
    <w:rsid w:val="00570620"/>
    <w:rsid w:val="00571137"/>
    <w:rsid w:val="00571EEF"/>
    <w:rsid w:val="00574CAE"/>
    <w:rsid w:val="00576279"/>
    <w:rsid w:val="005800FB"/>
    <w:rsid w:val="0058713C"/>
    <w:rsid w:val="0059430E"/>
    <w:rsid w:val="00594345"/>
    <w:rsid w:val="0059473B"/>
    <w:rsid w:val="005A1767"/>
    <w:rsid w:val="005A2DCC"/>
    <w:rsid w:val="005B5969"/>
    <w:rsid w:val="005B5D18"/>
    <w:rsid w:val="005B61EB"/>
    <w:rsid w:val="005C309F"/>
    <w:rsid w:val="005C64A5"/>
    <w:rsid w:val="005D0DDD"/>
    <w:rsid w:val="005D1800"/>
    <w:rsid w:val="005D1AED"/>
    <w:rsid w:val="005E11E4"/>
    <w:rsid w:val="005E315F"/>
    <w:rsid w:val="005E382E"/>
    <w:rsid w:val="005E5AD6"/>
    <w:rsid w:val="005F0E41"/>
    <w:rsid w:val="005F26CA"/>
    <w:rsid w:val="005F38AF"/>
    <w:rsid w:val="00601CAA"/>
    <w:rsid w:val="00604089"/>
    <w:rsid w:val="00604F22"/>
    <w:rsid w:val="0060574B"/>
    <w:rsid w:val="00605E97"/>
    <w:rsid w:val="00617EFB"/>
    <w:rsid w:val="0062387C"/>
    <w:rsid w:val="00625FDC"/>
    <w:rsid w:val="00632C48"/>
    <w:rsid w:val="006345E5"/>
    <w:rsid w:val="006346A0"/>
    <w:rsid w:val="00643A9D"/>
    <w:rsid w:val="00647C3C"/>
    <w:rsid w:val="006517E6"/>
    <w:rsid w:val="006537FB"/>
    <w:rsid w:val="006540AC"/>
    <w:rsid w:val="006578F6"/>
    <w:rsid w:val="00682090"/>
    <w:rsid w:val="0068239F"/>
    <w:rsid w:val="0068552F"/>
    <w:rsid w:val="00685B74"/>
    <w:rsid w:val="0068638C"/>
    <w:rsid w:val="006929A8"/>
    <w:rsid w:val="006932B9"/>
    <w:rsid w:val="00694572"/>
    <w:rsid w:val="006C1302"/>
    <w:rsid w:val="006C1EFE"/>
    <w:rsid w:val="006E589C"/>
    <w:rsid w:val="006F080B"/>
    <w:rsid w:val="006F1513"/>
    <w:rsid w:val="006F5FCC"/>
    <w:rsid w:val="007110AB"/>
    <w:rsid w:val="007124DF"/>
    <w:rsid w:val="007147FC"/>
    <w:rsid w:val="007169D0"/>
    <w:rsid w:val="00720C6D"/>
    <w:rsid w:val="007234AA"/>
    <w:rsid w:val="00737833"/>
    <w:rsid w:val="00737937"/>
    <w:rsid w:val="00744163"/>
    <w:rsid w:val="007461DA"/>
    <w:rsid w:val="00750CF4"/>
    <w:rsid w:val="007563C8"/>
    <w:rsid w:val="00757C0A"/>
    <w:rsid w:val="00764C9B"/>
    <w:rsid w:val="00774940"/>
    <w:rsid w:val="00775983"/>
    <w:rsid w:val="00775D4A"/>
    <w:rsid w:val="007800B2"/>
    <w:rsid w:val="00794616"/>
    <w:rsid w:val="007B1D2A"/>
    <w:rsid w:val="007B49D4"/>
    <w:rsid w:val="007B53A5"/>
    <w:rsid w:val="007B6F00"/>
    <w:rsid w:val="007C1A55"/>
    <w:rsid w:val="007C1C90"/>
    <w:rsid w:val="007C4231"/>
    <w:rsid w:val="007C55F3"/>
    <w:rsid w:val="007C6BDF"/>
    <w:rsid w:val="007D670A"/>
    <w:rsid w:val="007F1AD4"/>
    <w:rsid w:val="00800BC6"/>
    <w:rsid w:val="00802F28"/>
    <w:rsid w:val="00805E1F"/>
    <w:rsid w:val="008127FA"/>
    <w:rsid w:val="0082057B"/>
    <w:rsid w:val="00827056"/>
    <w:rsid w:val="00834163"/>
    <w:rsid w:val="008378B4"/>
    <w:rsid w:val="00860E71"/>
    <w:rsid w:val="0086399F"/>
    <w:rsid w:val="00875751"/>
    <w:rsid w:val="00877764"/>
    <w:rsid w:val="008955B8"/>
    <w:rsid w:val="008A02C3"/>
    <w:rsid w:val="008B270F"/>
    <w:rsid w:val="008B59BB"/>
    <w:rsid w:val="008B6ED8"/>
    <w:rsid w:val="008C4D9E"/>
    <w:rsid w:val="008C5A5E"/>
    <w:rsid w:val="008C64F1"/>
    <w:rsid w:val="008C6E36"/>
    <w:rsid w:val="008D18CD"/>
    <w:rsid w:val="008D7D8D"/>
    <w:rsid w:val="008E1989"/>
    <w:rsid w:val="008E36E3"/>
    <w:rsid w:val="008E4143"/>
    <w:rsid w:val="008F1308"/>
    <w:rsid w:val="008F2A7B"/>
    <w:rsid w:val="008F42F2"/>
    <w:rsid w:val="0090311E"/>
    <w:rsid w:val="009044A6"/>
    <w:rsid w:val="00911A2E"/>
    <w:rsid w:val="0091305F"/>
    <w:rsid w:val="00913828"/>
    <w:rsid w:val="00921E44"/>
    <w:rsid w:val="00923701"/>
    <w:rsid w:val="0092470F"/>
    <w:rsid w:val="00927995"/>
    <w:rsid w:val="00930C51"/>
    <w:rsid w:val="009415C5"/>
    <w:rsid w:val="0094572C"/>
    <w:rsid w:val="00951D42"/>
    <w:rsid w:val="00960DA9"/>
    <w:rsid w:val="0096146A"/>
    <w:rsid w:val="009628E0"/>
    <w:rsid w:val="0096579D"/>
    <w:rsid w:val="0097306D"/>
    <w:rsid w:val="009762FC"/>
    <w:rsid w:val="00981394"/>
    <w:rsid w:val="0098139D"/>
    <w:rsid w:val="009A0F37"/>
    <w:rsid w:val="009A5DA0"/>
    <w:rsid w:val="009A723F"/>
    <w:rsid w:val="009B22D2"/>
    <w:rsid w:val="009B7F71"/>
    <w:rsid w:val="009C10A6"/>
    <w:rsid w:val="009C7A0C"/>
    <w:rsid w:val="009D19FD"/>
    <w:rsid w:val="009E19CF"/>
    <w:rsid w:val="009E1C58"/>
    <w:rsid w:val="009E3D35"/>
    <w:rsid w:val="009F221A"/>
    <w:rsid w:val="009F58D8"/>
    <w:rsid w:val="00A13FAA"/>
    <w:rsid w:val="00A21217"/>
    <w:rsid w:val="00A260DE"/>
    <w:rsid w:val="00A27E32"/>
    <w:rsid w:val="00A53BD3"/>
    <w:rsid w:val="00A53D6A"/>
    <w:rsid w:val="00A70ACD"/>
    <w:rsid w:val="00A715F8"/>
    <w:rsid w:val="00A7698B"/>
    <w:rsid w:val="00A8093B"/>
    <w:rsid w:val="00A94386"/>
    <w:rsid w:val="00A95B7E"/>
    <w:rsid w:val="00AA7826"/>
    <w:rsid w:val="00AB057F"/>
    <w:rsid w:val="00AB54C8"/>
    <w:rsid w:val="00AB741B"/>
    <w:rsid w:val="00AC1086"/>
    <w:rsid w:val="00AC6A57"/>
    <w:rsid w:val="00AD5E84"/>
    <w:rsid w:val="00AE7A3A"/>
    <w:rsid w:val="00AF0602"/>
    <w:rsid w:val="00AF4B80"/>
    <w:rsid w:val="00B01298"/>
    <w:rsid w:val="00B02939"/>
    <w:rsid w:val="00B06582"/>
    <w:rsid w:val="00B106AD"/>
    <w:rsid w:val="00B23FAD"/>
    <w:rsid w:val="00B319A1"/>
    <w:rsid w:val="00B32770"/>
    <w:rsid w:val="00B358C5"/>
    <w:rsid w:val="00B5020D"/>
    <w:rsid w:val="00B51DE8"/>
    <w:rsid w:val="00B530A4"/>
    <w:rsid w:val="00B57B52"/>
    <w:rsid w:val="00B679A4"/>
    <w:rsid w:val="00B713DD"/>
    <w:rsid w:val="00B7274E"/>
    <w:rsid w:val="00B7278F"/>
    <w:rsid w:val="00B875A6"/>
    <w:rsid w:val="00B9128E"/>
    <w:rsid w:val="00B92878"/>
    <w:rsid w:val="00B93937"/>
    <w:rsid w:val="00B97B44"/>
    <w:rsid w:val="00BB19EE"/>
    <w:rsid w:val="00BD1811"/>
    <w:rsid w:val="00BD1847"/>
    <w:rsid w:val="00BD547C"/>
    <w:rsid w:val="00BD7E08"/>
    <w:rsid w:val="00BE5686"/>
    <w:rsid w:val="00BF096C"/>
    <w:rsid w:val="00BF0F52"/>
    <w:rsid w:val="00BF32DF"/>
    <w:rsid w:val="00BF3381"/>
    <w:rsid w:val="00BF40D4"/>
    <w:rsid w:val="00BF61A7"/>
    <w:rsid w:val="00C00254"/>
    <w:rsid w:val="00C01EA1"/>
    <w:rsid w:val="00C14038"/>
    <w:rsid w:val="00C2216F"/>
    <w:rsid w:val="00C22D43"/>
    <w:rsid w:val="00C24C12"/>
    <w:rsid w:val="00C37C99"/>
    <w:rsid w:val="00C427C5"/>
    <w:rsid w:val="00C43706"/>
    <w:rsid w:val="00C44A0E"/>
    <w:rsid w:val="00C54B69"/>
    <w:rsid w:val="00C55000"/>
    <w:rsid w:val="00C60783"/>
    <w:rsid w:val="00C654BB"/>
    <w:rsid w:val="00C712CD"/>
    <w:rsid w:val="00C7407E"/>
    <w:rsid w:val="00C761D9"/>
    <w:rsid w:val="00C76E9A"/>
    <w:rsid w:val="00C92F36"/>
    <w:rsid w:val="00C97CFF"/>
    <w:rsid w:val="00CA139E"/>
    <w:rsid w:val="00CA37BA"/>
    <w:rsid w:val="00CA579F"/>
    <w:rsid w:val="00CD3CB6"/>
    <w:rsid w:val="00CE3890"/>
    <w:rsid w:val="00CF2C4B"/>
    <w:rsid w:val="00CF5FE5"/>
    <w:rsid w:val="00D04FF8"/>
    <w:rsid w:val="00D058F7"/>
    <w:rsid w:val="00D07A90"/>
    <w:rsid w:val="00D11A20"/>
    <w:rsid w:val="00D16727"/>
    <w:rsid w:val="00D306F6"/>
    <w:rsid w:val="00D30E5B"/>
    <w:rsid w:val="00D412B2"/>
    <w:rsid w:val="00D434CB"/>
    <w:rsid w:val="00D43BDC"/>
    <w:rsid w:val="00D43D4A"/>
    <w:rsid w:val="00D50047"/>
    <w:rsid w:val="00D53C22"/>
    <w:rsid w:val="00D61BAD"/>
    <w:rsid w:val="00D74F43"/>
    <w:rsid w:val="00D7510A"/>
    <w:rsid w:val="00D81996"/>
    <w:rsid w:val="00D826CB"/>
    <w:rsid w:val="00D82925"/>
    <w:rsid w:val="00D91309"/>
    <w:rsid w:val="00D957A2"/>
    <w:rsid w:val="00DA21AA"/>
    <w:rsid w:val="00DB5A6D"/>
    <w:rsid w:val="00DC047A"/>
    <w:rsid w:val="00DC1F14"/>
    <w:rsid w:val="00DC4B34"/>
    <w:rsid w:val="00DC6784"/>
    <w:rsid w:val="00DD38ED"/>
    <w:rsid w:val="00DD528A"/>
    <w:rsid w:val="00DE0DC2"/>
    <w:rsid w:val="00DF002B"/>
    <w:rsid w:val="00DF2712"/>
    <w:rsid w:val="00DF551B"/>
    <w:rsid w:val="00E01F18"/>
    <w:rsid w:val="00E02F09"/>
    <w:rsid w:val="00E205DE"/>
    <w:rsid w:val="00E5608C"/>
    <w:rsid w:val="00E5679C"/>
    <w:rsid w:val="00E6123D"/>
    <w:rsid w:val="00E83918"/>
    <w:rsid w:val="00E90C4C"/>
    <w:rsid w:val="00EA0258"/>
    <w:rsid w:val="00EA24DC"/>
    <w:rsid w:val="00EB18EF"/>
    <w:rsid w:val="00EB6545"/>
    <w:rsid w:val="00EC229E"/>
    <w:rsid w:val="00ED595E"/>
    <w:rsid w:val="00EE242A"/>
    <w:rsid w:val="00EE6BD8"/>
    <w:rsid w:val="00EE6C7E"/>
    <w:rsid w:val="00F2693F"/>
    <w:rsid w:val="00F2713D"/>
    <w:rsid w:val="00F36BAA"/>
    <w:rsid w:val="00F402A1"/>
    <w:rsid w:val="00F416CF"/>
    <w:rsid w:val="00F46D45"/>
    <w:rsid w:val="00F5370B"/>
    <w:rsid w:val="00F54C0A"/>
    <w:rsid w:val="00F67C50"/>
    <w:rsid w:val="00F717C3"/>
    <w:rsid w:val="00F803A2"/>
    <w:rsid w:val="00F803C8"/>
    <w:rsid w:val="00F80C9E"/>
    <w:rsid w:val="00F80CF0"/>
    <w:rsid w:val="00F92FEC"/>
    <w:rsid w:val="00F936F1"/>
    <w:rsid w:val="00FA26D8"/>
    <w:rsid w:val="00FA554F"/>
    <w:rsid w:val="00FB658E"/>
    <w:rsid w:val="00FB6B8F"/>
    <w:rsid w:val="00FC29CE"/>
    <w:rsid w:val="00FC3F76"/>
    <w:rsid w:val="00FC5BC0"/>
    <w:rsid w:val="00FC6836"/>
    <w:rsid w:val="00FC68AD"/>
    <w:rsid w:val="00FD7E81"/>
    <w:rsid w:val="00FE0510"/>
    <w:rsid w:val="00FE6D2C"/>
    <w:rsid w:val="00FE7242"/>
    <w:rsid w:val="00FF123C"/>
    <w:rsid w:val="00FF67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7B37AE"/>
  <w14:defaultImageDpi w14:val="330"/>
  <w15:docId w15:val="{5A782476-2762-412D-8E95-049DDB7F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163"/>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link w:val="AffiliationChar"/>
    <w:qFormat/>
    <w:rsid w:val="00834163"/>
    <w:pPr>
      <w:spacing w:before="120" w:after="0" w:line="240" w:lineRule="auto"/>
      <w:contextualSpacing/>
      <w:jc w:val="both"/>
    </w:pPr>
    <w:rPr>
      <w:rFonts w:ascii="Times New Roman" w:eastAsia="Times New Roman" w:hAnsi="Times New Roman" w:cs="Times New Roman"/>
      <w:sz w:val="20"/>
      <w:szCs w:val="24"/>
      <w:lang w:eastAsia="de-DE"/>
    </w:rPr>
  </w:style>
  <w:style w:type="character" w:customStyle="1" w:styleId="AffiliationChar">
    <w:name w:val="Affiliation Char"/>
    <w:basedOn w:val="DefaultParagraphFont"/>
    <w:link w:val="Affiliation"/>
    <w:rsid w:val="00834163"/>
    <w:rPr>
      <w:rFonts w:ascii="Times New Roman" w:eastAsia="Times New Roman" w:hAnsi="Times New Roman" w:cs="Times New Roman"/>
      <w:sz w:val="20"/>
      <w:lang w:eastAsia="de-DE"/>
    </w:rPr>
  </w:style>
  <w:style w:type="paragraph" w:customStyle="1" w:styleId="Authors">
    <w:name w:val="Authors"/>
    <w:basedOn w:val="Normal"/>
    <w:link w:val="AuthorsChar"/>
    <w:qFormat/>
    <w:rsid w:val="00834163"/>
    <w:pPr>
      <w:spacing w:before="180" w:after="0" w:line="240" w:lineRule="auto"/>
      <w:contextualSpacing/>
      <w:jc w:val="both"/>
    </w:pPr>
    <w:rPr>
      <w:rFonts w:ascii="Times New Roman" w:eastAsia="Times New Roman" w:hAnsi="Times New Roman" w:cs="Times New Roman"/>
      <w:sz w:val="24"/>
      <w:szCs w:val="24"/>
      <w:lang w:eastAsia="de-DE"/>
    </w:rPr>
  </w:style>
  <w:style w:type="character" w:customStyle="1" w:styleId="AuthorsChar">
    <w:name w:val="Authors Char"/>
    <w:basedOn w:val="DefaultParagraphFont"/>
    <w:link w:val="Authors"/>
    <w:rsid w:val="00834163"/>
    <w:rPr>
      <w:rFonts w:ascii="Times New Roman" w:eastAsia="Times New Roman" w:hAnsi="Times New Roman" w:cs="Times New Roman"/>
      <w:lang w:eastAsia="de-DE"/>
    </w:rPr>
  </w:style>
  <w:style w:type="paragraph" w:styleId="BalloonText">
    <w:name w:val="Balloon Text"/>
    <w:basedOn w:val="Normal"/>
    <w:link w:val="BalloonTextChar"/>
    <w:uiPriority w:val="99"/>
    <w:semiHidden/>
    <w:unhideWhenUsed/>
    <w:rsid w:val="00E560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08C"/>
    <w:rPr>
      <w:rFonts w:ascii="Lucida Grande" w:eastAsiaTheme="minorHAnsi" w:hAnsi="Lucida Grande" w:cs="Lucida Grande"/>
      <w:sz w:val="18"/>
      <w:szCs w:val="18"/>
    </w:rPr>
  </w:style>
  <w:style w:type="table" w:styleId="TableGrid">
    <w:name w:val="Table Grid"/>
    <w:basedOn w:val="TableNormal"/>
    <w:uiPriority w:val="59"/>
    <w:rsid w:val="00FC6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95B7E"/>
    <w:pPr>
      <w:spacing w:line="240" w:lineRule="auto"/>
    </w:pPr>
    <w:rPr>
      <w:b/>
      <w:bCs/>
      <w:sz w:val="18"/>
      <w:szCs w:val="18"/>
    </w:rPr>
  </w:style>
  <w:style w:type="character" w:styleId="Hyperlink">
    <w:name w:val="Hyperlink"/>
    <w:rsid w:val="0011405C"/>
    <w:rPr>
      <w:color w:val="0000FF"/>
      <w:u w:val="single"/>
    </w:rPr>
  </w:style>
  <w:style w:type="character" w:styleId="FollowedHyperlink">
    <w:name w:val="FollowedHyperlink"/>
    <w:basedOn w:val="DefaultParagraphFont"/>
    <w:uiPriority w:val="99"/>
    <w:semiHidden/>
    <w:unhideWhenUsed/>
    <w:rsid w:val="0011405C"/>
    <w:rPr>
      <w:color w:val="800080" w:themeColor="followedHyperlink"/>
      <w:u w:val="single"/>
    </w:rPr>
  </w:style>
  <w:style w:type="character" w:styleId="CommentReference">
    <w:name w:val="annotation reference"/>
    <w:basedOn w:val="DefaultParagraphFont"/>
    <w:uiPriority w:val="99"/>
    <w:semiHidden/>
    <w:unhideWhenUsed/>
    <w:rsid w:val="00C76E9A"/>
    <w:rPr>
      <w:sz w:val="18"/>
      <w:szCs w:val="18"/>
    </w:rPr>
  </w:style>
  <w:style w:type="paragraph" w:styleId="CommentText">
    <w:name w:val="annotation text"/>
    <w:basedOn w:val="Normal"/>
    <w:link w:val="CommentTextChar"/>
    <w:uiPriority w:val="99"/>
    <w:unhideWhenUsed/>
    <w:rsid w:val="00C76E9A"/>
    <w:pPr>
      <w:spacing w:line="240" w:lineRule="auto"/>
    </w:pPr>
    <w:rPr>
      <w:sz w:val="24"/>
      <w:szCs w:val="24"/>
    </w:rPr>
  </w:style>
  <w:style w:type="character" w:customStyle="1" w:styleId="CommentTextChar">
    <w:name w:val="Comment Text Char"/>
    <w:basedOn w:val="DefaultParagraphFont"/>
    <w:link w:val="CommentText"/>
    <w:uiPriority w:val="99"/>
    <w:rsid w:val="00C76E9A"/>
    <w:rPr>
      <w:rFonts w:eastAsiaTheme="minorHAnsi"/>
    </w:rPr>
  </w:style>
  <w:style w:type="paragraph" w:styleId="CommentSubject">
    <w:name w:val="annotation subject"/>
    <w:basedOn w:val="CommentText"/>
    <w:next w:val="CommentText"/>
    <w:link w:val="CommentSubjectChar"/>
    <w:uiPriority w:val="99"/>
    <w:semiHidden/>
    <w:unhideWhenUsed/>
    <w:rsid w:val="00C76E9A"/>
    <w:rPr>
      <w:b/>
      <w:bCs/>
      <w:sz w:val="20"/>
      <w:szCs w:val="20"/>
    </w:rPr>
  </w:style>
  <w:style w:type="character" w:customStyle="1" w:styleId="CommentSubjectChar">
    <w:name w:val="Comment Subject Char"/>
    <w:basedOn w:val="CommentTextChar"/>
    <w:link w:val="CommentSubject"/>
    <w:uiPriority w:val="99"/>
    <w:semiHidden/>
    <w:rsid w:val="00C76E9A"/>
    <w:rPr>
      <w:rFonts w:eastAsiaTheme="minorHAnsi"/>
      <w:b/>
      <w:bCs/>
      <w:sz w:val="20"/>
      <w:szCs w:val="20"/>
    </w:rPr>
  </w:style>
  <w:style w:type="paragraph" w:styleId="Revision">
    <w:name w:val="Revision"/>
    <w:hidden/>
    <w:uiPriority w:val="99"/>
    <w:semiHidden/>
    <w:rsid w:val="00392D48"/>
    <w:rPr>
      <w:rFonts w:eastAsiaTheme="minorHAnsi"/>
      <w:sz w:val="22"/>
      <w:szCs w:val="22"/>
    </w:rPr>
  </w:style>
  <w:style w:type="paragraph" w:styleId="Header">
    <w:name w:val="header"/>
    <w:basedOn w:val="Normal"/>
    <w:link w:val="HeaderChar"/>
    <w:uiPriority w:val="99"/>
    <w:unhideWhenUsed/>
    <w:rsid w:val="00D16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727"/>
    <w:rPr>
      <w:rFonts w:eastAsiaTheme="minorHAnsi"/>
      <w:sz w:val="22"/>
      <w:szCs w:val="22"/>
    </w:rPr>
  </w:style>
  <w:style w:type="paragraph" w:styleId="Footer">
    <w:name w:val="footer"/>
    <w:basedOn w:val="Normal"/>
    <w:link w:val="FooterChar"/>
    <w:uiPriority w:val="99"/>
    <w:unhideWhenUsed/>
    <w:rsid w:val="00D16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727"/>
    <w:rPr>
      <w:rFonts w:eastAsiaTheme="minorHAnsi"/>
      <w:sz w:val="22"/>
      <w:szCs w:val="22"/>
    </w:rPr>
  </w:style>
  <w:style w:type="character" w:styleId="PlaceholderText">
    <w:name w:val="Placeholder Text"/>
    <w:basedOn w:val="DefaultParagraphFont"/>
    <w:uiPriority w:val="99"/>
    <w:semiHidden/>
    <w:rsid w:val="00A7698B"/>
    <w:rPr>
      <w:color w:val="808080"/>
    </w:rPr>
  </w:style>
  <w:style w:type="character" w:styleId="LineNumber">
    <w:name w:val="line number"/>
    <w:basedOn w:val="DefaultParagraphFont"/>
    <w:uiPriority w:val="99"/>
    <w:semiHidden/>
    <w:unhideWhenUsed/>
    <w:rsid w:val="000C32D3"/>
  </w:style>
  <w:style w:type="paragraph" w:styleId="PlainText">
    <w:name w:val="Plain Text"/>
    <w:basedOn w:val="Normal"/>
    <w:link w:val="PlainTextChar"/>
    <w:uiPriority w:val="99"/>
    <w:semiHidden/>
    <w:unhideWhenUsed/>
    <w:rsid w:val="00D8199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81996"/>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664677">
      <w:bodyDiv w:val="1"/>
      <w:marLeft w:val="0"/>
      <w:marRight w:val="0"/>
      <w:marTop w:val="0"/>
      <w:marBottom w:val="0"/>
      <w:divBdr>
        <w:top w:val="none" w:sz="0" w:space="0" w:color="auto"/>
        <w:left w:val="none" w:sz="0" w:space="0" w:color="auto"/>
        <w:bottom w:val="none" w:sz="0" w:space="0" w:color="auto"/>
        <w:right w:val="none" w:sz="0" w:space="0" w:color="auto"/>
      </w:divBdr>
    </w:div>
    <w:div w:id="2027367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s.ac.uk/project/scoobie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annbel@bas.ac.uk"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ceancolor.gsfc.nasa.gov/cgi/l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B2A56-3F0C-4921-AA1D-A2FB8681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29995</Words>
  <Characters>198874</Characters>
  <Application>Microsoft Office Word</Application>
  <DocSecurity>0</DocSecurity>
  <Lines>4519</Lines>
  <Paragraphs>2791</Paragraphs>
  <ScaleCrop>false</ScaleCrop>
  <HeadingPairs>
    <vt:vector size="2" baseType="variant">
      <vt:variant>
        <vt:lpstr>Title</vt:lpstr>
      </vt:variant>
      <vt:variant>
        <vt:i4>1</vt:i4>
      </vt:variant>
    </vt:vector>
  </HeadingPairs>
  <TitlesOfParts>
    <vt:vector size="1" baseType="lpstr">
      <vt:lpstr/>
    </vt:vector>
  </TitlesOfParts>
  <Company>National Oceanograpy Centre</Company>
  <LinksUpToDate>false</LinksUpToDate>
  <CharactersWithSpaces>226078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Belcher</dc:creator>
  <cp:keywords/>
  <dc:description/>
  <cp:lastModifiedBy>Belcher, Anna C.</cp:lastModifiedBy>
  <cp:revision>2</cp:revision>
  <dcterms:created xsi:type="dcterms:W3CDTF">2018-06-11T21:11:00Z</dcterms:created>
  <dcterms:modified xsi:type="dcterms:W3CDTF">2018-06-11T21:11:00Z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976509aa-f866-3691-96b2-f3b8e1bfb380</vt:lpwstr>
  </property>
  <property fmtid="{D5CDD505-2E9C-101B-9397-08002B2CF9AE}" pid="4" name="Mendeley Citation Style_1">
    <vt:lpwstr>http://www.zotero.org/styles/marine-biology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http://www.zotero.org/styles/marine-biology</vt:lpwstr>
  </property>
  <property fmtid="{D5CDD505-2E9C-101B-9397-08002B2CF9AE}" pid="18" name="Mendeley Recent Style Name 6_1">
    <vt:lpwstr>Marine Biology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http://www.zotero.org/styles/nature-geoscience</vt:lpwstr>
  </property>
  <property fmtid="{D5CDD505-2E9C-101B-9397-08002B2CF9AE}" pid="24" name="Mendeley Recent Style Name 9_1">
    <vt:lpwstr>Nature Geoscience</vt:lpwstr>
  </property>
</Properties>
</file>