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C6026" w14:textId="77777777" w:rsidR="00281C3E" w:rsidRPr="00154FB3" w:rsidRDefault="003F4BEF" w:rsidP="00FE76F2">
      <w:pPr>
        <w:pStyle w:val="Authornames"/>
        <w:jc w:val="both"/>
        <w:rPr>
          <w:szCs w:val="28"/>
        </w:rPr>
      </w:pPr>
      <w:r w:rsidRPr="00154FB3">
        <w:rPr>
          <w:b/>
          <w:szCs w:val="28"/>
        </w:rPr>
        <w:t>N and P</w:t>
      </w:r>
      <w:r w:rsidR="00281C3E" w:rsidRPr="00154FB3">
        <w:rPr>
          <w:b/>
          <w:szCs w:val="28"/>
        </w:rPr>
        <w:t xml:space="preserve"> removal by free and immobilised cells of </w:t>
      </w:r>
      <w:r w:rsidR="00281C3E" w:rsidRPr="00154FB3">
        <w:rPr>
          <w:b/>
          <w:i/>
          <w:szCs w:val="28"/>
        </w:rPr>
        <w:t>Scenedesmus bijugatus</w:t>
      </w:r>
      <w:r w:rsidR="00281C3E" w:rsidRPr="00154FB3">
        <w:rPr>
          <w:b/>
          <w:szCs w:val="28"/>
        </w:rPr>
        <w:t xml:space="preserve"> (Kützing) from the Pinang River estuary, Penang, Malaysia.</w:t>
      </w:r>
    </w:p>
    <w:p w14:paraId="0C617B28" w14:textId="77777777" w:rsidR="009474B7" w:rsidRPr="00154FB3" w:rsidRDefault="009474B7" w:rsidP="009474B7">
      <w:pPr>
        <w:pStyle w:val="Authornames"/>
      </w:pPr>
      <w:r w:rsidRPr="00154FB3">
        <w:rPr>
          <w:szCs w:val="28"/>
        </w:rPr>
        <w:t>Swe Cheng, W.</w:t>
      </w:r>
      <w:r w:rsidRPr="00154FB3">
        <w:rPr>
          <w:szCs w:val="28"/>
          <w:vertAlign w:val="superscript"/>
        </w:rPr>
        <w:t>1</w:t>
      </w:r>
      <w:r w:rsidRPr="00154FB3">
        <w:rPr>
          <w:szCs w:val="28"/>
        </w:rPr>
        <w:t xml:space="preserve"> &amp; Wan Maznah, W.O.</w:t>
      </w:r>
      <w:r w:rsidRPr="00154FB3">
        <w:rPr>
          <w:szCs w:val="28"/>
          <w:vertAlign w:val="superscript"/>
        </w:rPr>
        <w:t>12*</w:t>
      </w:r>
    </w:p>
    <w:p w14:paraId="12BE6FD9" w14:textId="77777777" w:rsidR="009474B7" w:rsidRPr="00154FB3" w:rsidRDefault="009474B7" w:rsidP="009474B7">
      <w:r w:rsidRPr="00154FB3">
        <w:t xml:space="preserve">1. </w:t>
      </w:r>
      <w:r w:rsidRPr="00154FB3">
        <w:rPr>
          <w:i/>
        </w:rPr>
        <w:t>School of Biological Sciences, Universiti Sains Malaysia, 11800 Penang, Malaysia</w:t>
      </w:r>
    </w:p>
    <w:p w14:paraId="2ED581CB" w14:textId="77777777" w:rsidR="009474B7" w:rsidRPr="00154FB3" w:rsidRDefault="009474B7" w:rsidP="009474B7">
      <w:r w:rsidRPr="00154FB3">
        <w:t xml:space="preserve">2. </w:t>
      </w:r>
      <w:r w:rsidRPr="00154FB3">
        <w:rPr>
          <w:i/>
        </w:rPr>
        <w:t>Centre for Marine and Coastal Studies (CEMACS), Universiti Sains Malaysia, 11800 Penang, Malaysia.</w:t>
      </w:r>
    </w:p>
    <w:p w14:paraId="4FE117CB" w14:textId="77777777" w:rsidR="009474B7" w:rsidRPr="00154FB3" w:rsidRDefault="009474B7" w:rsidP="009474B7">
      <w:r w:rsidRPr="00154FB3">
        <w:t xml:space="preserve">Email address: </w:t>
      </w:r>
      <w:r w:rsidR="006A4478" w:rsidRPr="00154FB3">
        <w:t>wmaznah@usm.my*</w:t>
      </w:r>
    </w:p>
    <w:p w14:paraId="095AB8CA" w14:textId="742C5A42" w:rsidR="006A4478" w:rsidRPr="00154FB3" w:rsidRDefault="006A4478" w:rsidP="009474B7">
      <w:r w:rsidRPr="00154FB3">
        <w:tab/>
        <w:t xml:space="preserve">           wsc100215@student.usm.my</w:t>
      </w:r>
    </w:p>
    <w:p w14:paraId="786FE263" w14:textId="77777777" w:rsidR="009474B7" w:rsidRPr="00154FB3" w:rsidRDefault="009474B7" w:rsidP="009474B7">
      <w:r w:rsidRPr="00154FB3">
        <w:t>Tel: +604-6533533</w:t>
      </w:r>
    </w:p>
    <w:p w14:paraId="774CFB54" w14:textId="1BE22C46" w:rsidR="00186F18" w:rsidRPr="00154FB3" w:rsidRDefault="00186F18" w:rsidP="009B24B5">
      <w:pPr>
        <w:pStyle w:val="Articletitle"/>
        <w:rPr>
          <w:sz w:val="24"/>
        </w:rPr>
      </w:pPr>
      <w:r w:rsidRPr="00154FB3">
        <w:rPr>
          <w:sz w:val="24"/>
        </w:rPr>
        <w:t>Acknowledgement</w:t>
      </w:r>
      <w:r w:rsidR="00443BA6" w:rsidRPr="00154FB3">
        <w:rPr>
          <w:sz w:val="24"/>
        </w:rPr>
        <w:t>s</w:t>
      </w:r>
    </w:p>
    <w:p w14:paraId="5F52C006" w14:textId="4EC94BC6" w:rsidR="00C246C5" w:rsidRPr="00154FB3" w:rsidRDefault="00186F18" w:rsidP="00FE76F2">
      <w:pPr>
        <w:pStyle w:val="Articletitle"/>
        <w:jc w:val="both"/>
      </w:pPr>
      <w:r w:rsidRPr="00154FB3">
        <w:rPr>
          <w:b w:val="0"/>
          <w:sz w:val="24"/>
        </w:rPr>
        <w:t>The authors wish to acknowledge the Fundamental Research Grant Scheme (203/PBIOLOGI/6711459) for the financial su</w:t>
      </w:r>
      <w:r w:rsidR="00FE76F2" w:rsidRPr="00154FB3">
        <w:rPr>
          <w:b w:val="0"/>
          <w:sz w:val="24"/>
        </w:rPr>
        <w:t xml:space="preserve">pport provided for the research </w:t>
      </w:r>
      <w:r w:rsidRPr="00154FB3">
        <w:rPr>
          <w:b w:val="0"/>
          <w:sz w:val="24"/>
        </w:rPr>
        <w:t>conducted</w:t>
      </w:r>
      <w:r w:rsidR="00443BA6" w:rsidRPr="00154FB3">
        <w:rPr>
          <w:b w:val="0"/>
          <w:sz w:val="24"/>
        </w:rPr>
        <w:t>, and anonymous reviewers for constructive suggestions for improving the manuscript</w:t>
      </w:r>
      <w:r w:rsidRPr="00154FB3">
        <w:rPr>
          <w:b w:val="0"/>
          <w:sz w:val="24"/>
        </w:rPr>
        <w:t>.</w:t>
      </w:r>
      <w:r w:rsidR="00C14585" w:rsidRPr="00154FB3">
        <w:br w:type="page"/>
      </w:r>
    </w:p>
    <w:p w14:paraId="049D7F6C" w14:textId="312146D5" w:rsidR="00001985" w:rsidRPr="00154FB3" w:rsidRDefault="00E63C93" w:rsidP="00001985">
      <w:pPr>
        <w:jc w:val="both"/>
        <w:rPr>
          <w:sz w:val="28"/>
          <w:szCs w:val="28"/>
        </w:rPr>
      </w:pPr>
      <w:r w:rsidRPr="00154FB3">
        <w:rPr>
          <w:b/>
          <w:sz w:val="28"/>
          <w:szCs w:val="28"/>
        </w:rPr>
        <w:lastRenderedPageBreak/>
        <w:t>N and P</w:t>
      </w:r>
      <w:r w:rsidR="00001985" w:rsidRPr="00154FB3">
        <w:rPr>
          <w:b/>
          <w:sz w:val="28"/>
          <w:szCs w:val="28"/>
        </w:rPr>
        <w:t xml:space="preserve"> removal by free and immobilised cells of </w:t>
      </w:r>
      <w:r w:rsidR="00001985" w:rsidRPr="00154FB3">
        <w:rPr>
          <w:b/>
          <w:i/>
          <w:sz w:val="28"/>
          <w:szCs w:val="28"/>
        </w:rPr>
        <w:t>Scenedesmus bijugatus</w:t>
      </w:r>
      <w:r w:rsidR="00001985" w:rsidRPr="00154FB3">
        <w:rPr>
          <w:b/>
          <w:sz w:val="28"/>
          <w:szCs w:val="28"/>
        </w:rPr>
        <w:t xml:space="preserve"> (Kützing) from the Pinang River estuary, Penang, Malaysia.</w:t>
      </w:r>
    </w:p>
    <w:p w14:paraId="292E1286" w14:textId="59E46BED" w:rsidR="00001985" w:rsidRPr="00154FB3" w:rsidRDefault="00001985" w:rsidP="00FE5444">
      <w:pPr>
        <w:pStyle w:val="Keywords"/>
        <w:ind w:left="0" w:right="0"/>
        <w:jc w:val="both"/>
        <w:rPr>
          <w:sz w:val="24"/>
        </w:rPr>
      </w:pPr>
      <w:r w:rsidRPr="00154FB3">
        <w:rPr>
          <w:sz w:val="24"/>
        </w:rPr>
        <w:t xml:space="preserve">This research studied the effects of inorganic nutrient removal by free and immobilised </w:t>
      </w:r>
      <w:r w:rsidRPr="00154FB3">
        <w:rPr>
          <w:i/>
          <w:sz w:val="24"/>
        </w:rPr>
        <w:t xml:space="preserve">S. bijugatus </w:t>
      </w:r>
      <w:r w:rsidRPr="00154FB3">
        <w:rPr>
          <w:sz w:val="24"/>
        </w:rPr>
        <w:t xml:space="preserve">cells, measured by algal growth (i.e., the chlorophyll </w:t>
      </w:r>
      <w:r w:rsidRPr="00154FB3">
        <w:rPr>
          <w:i/>
          <w:sz w:val="24"/>
        </w:rPr>
        <w:t xml:space="preserve">a </w:t>
      </w:r>
      <w:r w:rsidRPr="00154FB3">
        <w:rPr>
          <w:sz w:val="24"/>
        </w:rPr>
        <w:t>concentration) and the efficiency of the uptake of inorganic nutrients by the cells (uptake rate (</w:t>
      </w:r>
      <w:r w:rsidRPr="00154FB3">
        <w:rPr>
          <w:i/>
          <w:sz w:val="24"/>
        </w:rPr>
        <w:t>b</w:t>
      </w:r>
      <w:r w:rsidRPr="00154FB3">
        <w:rPr>
          <w:sz w:val="24"/>
        </w:rPr>
        <w:t xml:space="preserve">) and removal percentage) in water samples from </w:t>
      </w:r>
      <w:r w:rsidR="00443BA6" w:rsidRPr="00154FB3">
        <w:rPr>
          <w:sz w:val="24"/>
        </w:rPr>
        <w:t xml:space="preserve">the </w:t>
      </w:r>
      <w:r w:rsidRPr="00154FB3">
        <w:rPr>
          <w:sz w:val="24"/>
        </w:rPr>
        <w:t xml:space="preserve">organically polluted Pinang River estuary (PRE). Water samples from the PRE were collected during low and high tide. </w:t>
      </w:r>
      <w:r w:rsidRPr="00154FB3">
        <w:rPr>
          <w:i/>
          <w:sz w:val="24"/>
        </w:rPr>
        <w:t>S. bijugatus</w:t>
      </w:r>
      <w:r w:rsidRPr="00154FB3">
        <w:rPr>
          <w:sz w:val="24"/>
        </w:rPr>
        <w:t xml:space="preserve"> cells had a higher growth rate when incubated in low tide PRE water samples compared to high tide PRE samples, with a growth rate of 0.29 µg/mL/d and 0.06 µg/mL/d for free and immobilised cells, respectively. </w:t>
      </w:r>
      <w:r w:rsidRPr="00154FB3">
        <w:rPr>
          <w:i/>
          <w:sz w:val="24"/>
        </w:rPr>
        <w:t>S. bijugatus</w:t>
      </w:r>
      <w:r w:rsidRPr="00154FB3">
        <w:rPr>
          <w:sz w:val="24"/>
        </w:rPr>
        <w:t xml:space="preserve"> were able to</w:t>
      </w:r>
      <w:r w:rsidR="00443BA6" w:rsidRPr="00154FB3">
        <w:rPr>
          <w:sz w:val="24"/>
        </w:rPr>
        <w:t xml:space="preserve"> more</w:t>
      </w:r>
      <w:r w:rsidRPr="00154FB3">
        <w:rPr>
          <w:sz w:val="24"/>
        </w:rPr>
        <w:t xml:space="preserve"> efficiently remove nitrogen, especially ammonium (81-94%), compared to phosphate (62-88%) from both low and high tide water samples. The highest phosphate (0.36 mg/L/d and 0.25 mg/L/d for free and immobilised cells, respectively) and ammonium uptake rates (0.44 mg/L/d and 0.29 mg/L/d for free and immobilised cells respectively) of </w:t>
      </w:r>
      <w:r w:rsidRPr="00154FB3">
        <w:rPr>
          <w:i/>
          <w:sz w:val="24"/>
        </w:rPr>
        <w:t xml:space="preserve">S.bijugatus </w:t>
      </w:r>
      <w:r w:rsidRPr="00154FB3">
        <w:rPr>
          <w:sz w:val="24"/>
        </w:rPr>
        <w:t xml:space="preserve">cells were both in low tide PRE water samples. Both inorganic nutrient removal and microalgal cell growth were not significantly different between free and immobilised </w:t>
      </w:r>
      <w:r w:rsidRPr="00154FB3">
        <w:rPr>
          <w:i/>
          <w:sz w:val="24"/>
        </w:rPr>
        <w:t>S. bijugatus</w:t>
      </w:r>
      <w:r w:rsidRPr="00154FB3">
        <w:rPr>
          <w:sz w:val="24"/>
        </w:rPr>
        <w:t xml:space="preserve"> (p&gt;0.05). The </w:t>
      </w:r>
      <w:r w:rsidR="002006AF" w:rsidRPr="00154FB3">
        <w:rPr>
          <w:sz w:val="24"/>
        </w:rPr>
        <w:t xml:space="preserve">data obtained </w:t>
      </w:r>
      <w:r w:rsidRPr="00154FB3">
        <w:rPr>
          <w:sz w:val="24"/>
        </w:rPr>
        <w:t>indicated that the removal of nutrients by microalgae was affected by salinity</w:t>
      </w:r>
      <w:r w:rsidR="002006AF" w:rsidRPr="00154FB3">
        <w:rPr>
          <w:sz w:val="24"/>
        </w:rPr>
        <w:t>,</w:t>
      </w:r>
      <w:r w:rsidRPr="00154FB3">
        <w:rPr>
          <w:sz w:val="24"/>
        </w:rPr>
        <w:t xml:space="preserve"> and th</w:t>
      </w:r>
      <w:r w:rsidR="002006AF" w:rsidRPr="00154FB3">
        <w:rPr>
          <w:sz w:val="24"/>
        </w:rPr>
        <w:t>e</w:t>
      </w:r>
      <w:r w:rsidRPr="00154FB3">
        <w:rPr>
          <w:sz w:val="24"/>
        </w:rPr>
        <w:t xml:space="preserve"> immobilisation technique </w:t>
      </w:r>
      <w:r w:rsidR="002006AF" w:rsidRPr="00154FB3">
        <w:rPr>
          <w:sz w:val="24"/>
        </w:rPr>
        <w:t>applied  may have</w:t>
      </w:r>
      <w:r w:rsidRPr="00154FB3">
        <w:rPr>
          <w:sz w:val="24"/>
        </w:rPr>
        <w:t xml:space="preserve"> good potential for bioremediation.</w:t>
      </w:r>
    </w:p>
    <w:p w14:paraId="678972AC" w14:textId="77777777" w:rsidR="002B1B1A" w:rsidRPr="00154FB3" w:rsidRDefault="00997B0F" w:rsidP="008F1C12">
      <w:pPr>
        <w:pStyle w:val="Keywords"/>
        <w:ind w:left="0" w:right="0"/>
      </w:pPr>
      <w:r w:rsidRPr="00154FB3">
        <w:t xml:space="preserve">Keywords: </w:t>
      </w:r>
      <w:r w:rsidR="00001985" w:rsidRPr="00154FB3">
        <w:rPr>
          <w:i/>
          <w:szCs w:val="22"/>
        </w:rPr>
        <w:t>Scenedesmus bijugatus</w:t>
      </w:r>
      <w:r w:rsidR="00A50AB1" w:rsidRPr="00154FB3">
        <w:rPr>
          <w:i/>
          <w:szCs w:val="22"/>
        </w:rPr>
        <w:t>;</w:t>
      </w:r>
      <w:r w:rsidR="00A50AB1" w:rsidRPr="00154FB3">
        <w:rPr>
          <w:szCs w:val="22"/>
        </w:rPr>
        <w:t xml:space="preserve"> free cells; immobilised cells;</w:t>
      </w:r>
      <w:r w:rsidR="00001985" w:rsidRPr="00154FB3">
        <w:rPr>
          <w:szCs w:val="22"/>
        </w:rPr>
        <w:t xml:space="preserve"> inorganic nutrients</w:t>
      </w:r>
      <w:r w:rsidR="00F30D8B" w:rsidRPr="00154FB3">
        <w:rPr>
          <w:szCs w:val="22"/>
        </w:rPr>
        <w:t>; polluted rivers.</w:t>
      </w:r>
    </w:p>
    <w:p w14:paraId="1F012214" w14:textId="77777777" w:rsidR="00997B0F" w:rsidRPr="00154FB3" w:rsidRDefault="00A50AB1" w:rsidP="00106DAF">
      <w:pPr>
        <w:pStyle w:val="Heading1"/>
      </w:pPr>
      <w:r w:rsidRPr="00154FB3">
        <w:t>Introduction</w:t>
      </w:r>
    </w:p>
    <w:p w14:paraId="09851AD5" w14:textId="11750496" w:rsidR="0028417F" w:rsidRPr="00154FB3" w:rsidRDefault="0028417F" w:rsidP="0028417F">
      <w:pPr>
        <w:pStyle w:val="Newparagraph"/>
        <w:ind w:firstLine="0"/>
        <w:jc w:val="both"/>
      </w:pPr>
      <w:r w:rsidRPr="00154FB3">
        <w:rPr>
          <w:color w:val="131313"/>
        </w:rPr>
        <w:t xml:space="preserve">Rivers </w:t>
      </w:r>
      <w:r w:rsidR="002006AF" w:rsidRPr="00154FB3">
        <w:rPr>
          <w:color w:val="131313"/>
        </w:rPr>
        <w:t xml:space="preserve">are exploited in </w:t>
      </w:r>
      <w:r w:rsidRPr="00154FB3">
        <w:rPr>
          <w:color w:val="131313"/>
        </w:rPr>
        <w:t>Malaysia</w:t>
      </w:r>
      <w:r w:rsidR="002006AF" w:rsidRPr="00154FB3">
        <w:rPr>
          <w:color w:val="131313"/>
        </w:rPr>
        <w:t xml:space="preserve"> as</w:t>
      </w:r>
      <w:r w:rsidRPr="00154FB3">
        <w:rPr>
          <w:color w:val="131313"/>
        </w:rPr>
        <w:t xml:space="preserve"> a source for the generation of hydropower</w:t>
      </w:r>
      <w:r w:rsidR="00EB2A15" w:rsidRPr="00154FB3">
        <w:rPr>
          <w:color w:val="131313"/>
        </w:rPr>
        <w:t xml:space="preserve"> </w:t>
      </w:r>
      <w:r w:rsidR="008F1C12" w:rsidRPr="00154FB3">
        <w:rPr>
          <w:color w:val="131313"/>
        </w:rPr>
        <w:t xml:space="preserve">(Shafie </w:t>
      </w:r>
      <w:r w:rsidR="008F1C12" w:rsidRPr="00154FB3">
        <w:rPr>
          <w:i/>
          <w:color w:val="131313"/>
        </w:rPr>
        <w:t>et al.</w:t>
      </w:r>
      <w:r w:rsidR="008F1C12" w:rsidRPr="00154FB3">
        <w:rPr>
          <w:color w:val="131313"/>
        </w:rPr>
        <w:t>, 2011)</w:t>
      </w:r>
      <w:r w:rsidRPr="00154FB3">
        <w:rPr>
          <w:color w:val="131313"/>
        </w:rPr>
        <w:t>, while the floodplains around the rivers provide fertile land for the development of agriculture, industry and even housing</w:t>
      </w:r>
      <w:r w:rsidR="00EB2A15" w:rsidRPr="00154FB3">
        <w:rPr>
          <w:color w:val="131313"/>
        </w:rPr>
        <w:t xml:space="preserve"> </w:t>
      </w:r>
      <w:r w:rsidR="008F1C12" w:rsidRPr="00154FB3">
        <w:rPr>
          <w:color w:val="131313"/>
        </w:rPr>
        <w:t>(Ngai Weng, 2005)</w:t>
      </w:r>
      <w:r w:rsidRPr="00154FB3">
        <w:rPr>
          <w:color w:val="131313"/>
        </w:rPr>
        <w:t>. Uncontrolled human activity</w:t>
      </w:r>
      <w:r w:rsidR="002006AF" w:rsidRPr="00154FB3">
        <w:rPr>
          <w:color w:val="131313"/>
        </w:rPr>
        <w:t>,</w:t>
      </w:r>
      <w:r w:rsidRPr="00154FB3">
        <w:rPr>
          <w:color w:val="131313"/>
        </w:rPr>
        <w:t xml:space="preserve"> such as waste discharge from agriculture, industry and </w:t>
      </w:r>
      <w:r w:rsidR="002006AF" w:rsidRPr="00154FB3">
        <w:rPr>
          <w:color w:val="131313"/>
        </w:rPr>
        <w:t xml:space="preserve">domestic dwellings, </w:t>
      </w:r>
      <w:r w:rsidRPr="00154FB3">
        <w:rPr>
          <w:color w:val="131313"/>
        </w:rPr>
        <w:t xml:space="preserve">has caused river water quality to rapidly deteriorate </w:t>
      </w:r>
      <w:r w:rsidR="008F1C12" w:rsidRPr="00154FB3">
        <w:rPr>
          <w:color w:val="131313"/>
        </w:rPr>
        <w:t>(Abdullah &amp; Mahmood, 1998)</w:t>
      </w:r>
      <w:r w:rsidRPr="00154FB3">
        <w:rPr>
          <w:color w:val="131313"/>
        </w:rPr>
        <w:t>.</w:t>
      </w:r>
    </w:p>
    <w:p w14:paraId="52630E62" w14:textId="2D9B2CC3" w:rsidR="0028417F" w:rsidRPr="00154FB3" w:rsidRDefault="0028417F" w:rsidP="0028417F">
      <w:pPr>
        <w:pStyle w:val="Newparagraph"/>
        <w:jc w:val="both"/>
        <w:rPr>
          <w:color w:val="131313"/>
        </w:rPr>
      </w:pPr>
      <w:r w:rsidRPr="00154FB3">
        <w:rPr>
          <w:color w:val="131313"/>
        </w:rPr>
        <w:t xml:space="preserve">In 2004, the Department of Environment (DOE) Malaysia found that the Pinang River estuary (PRE), the principal river of the Pinang River Basin that is formed from six tributaries (i.e., the Air Terjun River, the Kecil River, the Air Putih River, the Air Itam River, </w:t>
      </w:r>
      <w:r w:rsidRPr="00154FB3">
        <w:rPr>
          <w:color w:val="131313"/>
        </w:rPr>
        <w:lastRenderedPageBreak/>
        <w:t>the Dondang River and the Jelutong River), was a Class IV river</w:t>
      </w:r>
      <w:r w:rsidR="00EB2A15" w:rsidRPr="00154FB3">
        <w:rPr>
          <w:color w:val="131313"/>
        </w:rPr>
        <w:t xml:space="preserve"> </w:t>
      </w:r>
      <w:r w:rsidR="008F1C12" w:rsidRPr="00154FB3">
        <w:rPr>
          <w:color w:val="131313"/>
        </w:rPr>
        <w:t>(DOE, 2004)</w:t>
      </w:r>
      <w:r w:rsidRPr="00154FB3">
        <w:rPr>
          <w:color w:val="131313"/>
        </w:rPr>
        <w:t xml:space="preserve">. Ten years later, the condition of the PRE </w:t>
      </w:r>
      <w:r w:rsidR="002006AF" w:rsidRPr="00154FB3">
        <w:rPr>
          <w:color w:val="131313"/>
        </w:rPr>
        <w:t xml:space="preserve">had </w:t>
      </w:r>
      <w:r w:rsidRPr="00154FB3">
        <w:rPr>
          <w:color w:val="131313"/>
        </w:rPr>
        <w:t xml:space="preserve">improved </w:t>
      </w:r>
      <w:r w:rsidR="002006AF" w:rsidRPr="00154FB3">
        <w:rPr>
          <w:color w:val="131313"/>
        </w:rPr>
        <w:t>to become</w:t>
      </w:r>
      <w:r w:rsidRPr="00154FB3">
        <w:rPr>
          <w:color w:val="131313"/>
        </w:rPr>
        <w:t xml:space="preserve"> a Class III river </w:t>
      </w:r>
      <w:r w:rsidR="008F1C12" w:rsidRPr="00154FB3">
        <w:rPr>
          <w:color w:val="131313"/>
        </w:rPr>
        <w:t>(DOE, 2014)</w:t>
      </w:r>
      <w:r w:rsidRPr="00154FB3">
        <w:rPr>
          <w:color w:val="131313"/>
        </w:rPr>
        <w:t xml:space="preserve">. </w:t>
      </w:r>
      <w:r w:rsidRPr="00154FB3">
        <w:t xml:space="preserve">Most of the </w:t>
      </w:r>
      <w:r w:rsidRPr="00154FB3">
        <w:rPr>
          <w:color w:val="131313"/>
        </w:rPr>
        <w:t xml:space="preserve">pollution sources </w:t>
      </w:r>
      <w:r w:rsidR="002006AF" w:rsidRPr="00154FB3">
        <w:rPr>
          <w:color w:val="131313"/>
        </w:rPr>
        <w:t xml:space="preserve">affecting </w:t>
      </w:r>
      <w:r w:rsidRPr="00154FB3">
        <w:rPr>
          <w:color w:val="131313"/>
        </w:rPr>
        <w:t xml:space="preserve">the Pinang River Basin </w:t>
      </w:r>
      <w:r w:rsidR="002006AF" w:rsidRPr="00154FB3">
        <w:rPr>
          <w:color w:val="131313"/>
        </w:rPr>
        <w:t xml:space="preserve">are </w:t>
      </w:r>
      <w:r w:rsidRPr="00154FB3">
        <w:rPr>
          <w:color w:val="131313"/>
        </w:rPr>
        <w:t>from household discharge, waste from animal husbandry and industrial wastes, as well as</w:t>
      </w:r>
      <w:r w:rsidR="002006AF" w:rsidRPr="00154FB3">
        <w:rPr>
          <w:color w:val="131313"/>
        </w:rPr>
        <w:t xml:space="preserve"> through</w:t>
      </w:r>
      <w:r w:rsidRPr="00154FB3">
        <w:rPr>
          <w:color w:val="131313"/>
        </w:rPr>
        <w:t xml:space="preserve"> soil erosion from construction sites</w:t>
      </w:r>
      <w:r w:rsidR="005F5B10" w:rsidRPr="00154FB3">
        <w:rPr>
          <w:color w:val="131313"/>
        </w:rPr>
        <w:t xml:space="preserve"> and urban runoff </w:t>
      </w:r>
      <w:r w:rsidR="008F1C12" w:rsidRPr="00154FB3">
        <w:rPr>
          <w:color w:val="131313"/>
        </w:rPr>
        <w:t>(Farah Naemah &amp; Nik Norulaini, 2000)</w:t>
      </w:r>
      <w:r w:rsidRPr="00154FB3">
        <w:rPr>
          <w:color w:val="131313"/>
        </w:rPr>
        <w:t>.</w:t>
      </w:r>
    </w:p>
    <w:p w14:paraId="4C5FD16E" w14:textId="0AEFBA1F" w:rsidR="0028417F" w:rsidRPr="00154FB3" w:rsidRDefault="0028417F" w:rsidP="009A1ED3">
      <w:pPr>
        <w:ind w:firstLine="720"/>
        <w:jc w:val="both"/>
        <w:rPr>
          <w:color w:val="131313"/>
        </w:rPr>
      </w:pPr>
      <w:r w:rsidRPr="00154FB3">
        <w:rPr>
          <w:color w:val="131313"/>
        </w:rPr>
        <w:t xml:space="preserve">The potential of microalgae for bioremediation has been extensively studied for the treatment of agricultural, industrial, and municipal wastewater, </w:t>
      </w:r>
      <w:r w:rsidR="002006AF" w:rsidRPr="00154FB3">
        <w:rPr>
          <w:color w:val="131313"/>
        </w:rPr>
        <w:t>as well as in the examination of their</w:t>
      </w:r>
      <w:r w:rsidRPr="00154FB3">
        <w:rPr>
          <w:color w:val="131313"/>
        </w:rPr>
        <w:t xml:space="preserve"> potential as feedstock and for</w:t>
      </w:r>
      <w:r w:rsidR="005F5B10" w:rsidRPr="00154FB3">
        <w:rPr>
          <w:color w:val="131313"/>
        </w:rPr>
        <w:t xml:space="preserve"> biofuel production </w:t>
      </w:r>
      <w:r w:rsidR="00994091" w:rsidRPr="00154FB3">
        <w:rPr>
          <w:color w:val="131313"/>
        </w:rPr>
        <w:t>(</w:t>
      </w:r>
      <w:r w:rsidR="002006AF" w:rsidRPr="00154FB3">
        <w:rPr>
          <w:color w:val="131313"/>
        </w:rPr>
        <w:t xml:space="preserve">e.g. </w:t>
      </w:r>
      <w:r w:rsidR="00994091" w:rsidRPr="00154FB3">
        <w:rPr>
          <w:color w:val="131313"/>
        </w:rPr>
        <w:t xml:space="preserve">Giorgos &amp; Dimitris, 2011; Cai </w:t>
      </w:r>
      <w:r w:rsidR="00994091" w:rsidRPr="00154FB3">
        <w:rPr>
          <w:i/>
          <w:color w:val="131313"/>
        </w:rPr>
        <w:t>et al.</w:t>
      </w:r>
      <w:r w:rsidR="00994091" w:rsidRPr="00154FB3">
        <w:rPr>
          <w:color w:val="131313"/>
        </w:rPr>
        <w:t>, 2013)</w:t>
      </w:r>
      <w:r w:rsidRPr="00154FB3">
        <w:rPr>
          <w:color w:val="131313"/>
        </w:rPr>
        <w:t xml:space="preserve">. </w:t>
      </w:r>
      <w:r w:rsidR="002006AF" w:rsidRPr="00154FB3">
        <w:rPr>
          <w:color w:val="131313"/>
        </w:rPr>
        <w:t>However, t</w:t>
      </w:r>
      <w:r w:rsidRPr="00154FB3">
        <w:rPr>
          <w:color w:val="131313"/>
        </w:rPr>
        <w:t xml:space="preserve">o date, the study of the application of microalgal bioremediation for wastewater treatment in Malaysia is </w:t>
      </w:r>
      <w:r w:rsidR="002006AF" w:rsidRPr="00154FB3">
        <w:rPr>
          <w:color w:val="131313"/>
        </w:rPr>
        <w:t>very limited</w:t>
      </w:r>
      <w:r w:rsidRPr="00154FB3">
        <w:rPr>
          <w:color w:val="131313"/>
        </w:rPr>
        <w:t>. As a country that relies on agro-industrial production, Malaysia faces water pollution problems caused by rubber and palm oil effluent discharges</w:t>
      </w:r>
      <w:r w:rsidR="002006AF" w:rsidRPr="00154FB3">
        <w:rPr>
          <w:color w:val="131313"/>
        </w:rPr>
        <w:t>,</w:t>
      </w:r>
      <w:r w:rsidRPr="00154FB3">
        <w:rPr>
          <w:color w:val="131313"/>
        </w:rPr>
        <w:t xml:space="preserve"> even though most treatment plants comply with the current</w:t>
      </w:r>
      <w:r w:rsidR="009A1ED3" w:rsidRPr="00154FB3">
        <w:rPr>
          <w:color w:val="131313"/>
        </w:rPr>
        <w:t xml:space="preserve"> national</w:t>
      </w:r>
      <w:r w:rsidRPr="00154FB3">
        <w:rPr>
          <w:color w:val="131313"/>
        </w:rPr>
        <w:t xml:space="preserve"> standards </w:t>
      </w:r>
      <w:r w:rsidR="007D496F" w:rsidRPr="00154FB3">
        <w:rPr>
          <w:color w:val="131313"/>
        </w:rPr>
        <w:t xml:space="preserve">(Mitra </w:t>
      </w:r>
      <w:r w:rsidR="007D496F" w:rsidRPr="00154FB3">
        <w:rPr>
          <w:i/>
          <w:color w:val="131313"/>
        </w:rPr>
        <w:t>et al.</w:t>
      </w:r>
      <w:r w:rsidR="007D496F" w:rsidRPr="00154FB3">
        <w:rPr>
          <w:color w:val="131313"/>
        </w:rPr>
        <w:t xml:space="preserve">, 2010; Mohd Fadhil </w:t>
      </w:r>
      <w:r w:rsidR="007D496F" w:rsidRPr="00154FB3">
        <w:rPr>
          <w:i/>
          <w:color w:val="131313"/>
        </w:rPr>
        <w:t>et al.</w:t>
      </w:r>
      <w:r w:rsidR="007D496F" w:rsidRPr="00154FB3">
        <w:rPr>
          <w:color w:val="131313"/>
        </w:rPr>
        <w:t>, 2014)</w:t>
      </w:r>
      <w:r w:rsidRPr="00154FB3">
        <w:rPr>
          <w:color w:val="131313"/>
        </w:rPr>
        <w:t xml:space="preserve">.  </w:t>
      </w:r>
      <w:r w:rsidR="009A1ED3" w:rsidRPr="00154FB3">
        <w:rPr>
          <w:color w:val="131313"/>
        </w:rPr>
        <w:t>E</w:t>
      </w:r>
      <w:r w:rsidRPr="00154FB3">
        <w:rPr>
          <w:color w:val="131313"/>
        </w:rPr>
        <w:t>xample</w:t>
      </w:r>
      <w:r w:rsidR="009A1ED3" w:rsidRPr="00154FB3">
        <w:rPr>
          <w:color w:val="131313"/>
        </w:rPr>
        <w:t>s of</w:t>
      </w:r>
      <w:r w:rsidRPr="00154FB3">
        <w:rPr>
          <w:color w:val="131313"/>
        </w:rPr>
        <w:t xml:space="preserve"> bioremediation</w:t>
      </w:r>
      <w:r w:rsidR="009A1ED3" w:rsidRPr="00154FB3">
        <w:rPr>
          <w:color w:val="131313"/>
        </w:rPr>
        <w:t xml:space="preserve"> studies within Malaysia include that</w:t>
      </w:r>
      <w:r w:rsidRPr="00154FB3">
        <w:rPr>
          <w:color w:val="131313"/>
        </w:rPr>
        <w:t xml:space="preserve"> of textile wastewater </w:t>
      </w:r>
      <w:r w:rsidR="007D496F" w:rsidRPr="00154FB3">
        <w:rPr>
          <w:color w:val="131313"/>
        </w:rPr>
        <w:t xml:space="preserve">(Sing-Lai </w:t>
      </w:r>
      <w:r w:rsidR="007D496F" w:rsidRPr="00154FB3">
        <w:rPr>
          <w:i/>
          <w:color w:val="131313"/>
        </w:rPr>
        <w:t>et al.</w:t>
      </w:r>
      <w:r w:rsidR="007D496F" w:rsidRPr="00154FB3">
        <w:rPr>
          <w:color w:val="131313"/>
        </w:rPr>
        <w:t>, 2010)</w:t>
      </w:r>
      <w:r w:rsidRPr="00154FB3">
        <w:rPr>
          <w:color w:val="131313"/>
        </w:rPr>
        <w:t>, a</w:t>
      </w:r>
      <w:r w:rsidR="005717FF" w:rsidRPr="00154FB3">
        <w:rPr>
          <w:color w:val="131313"/>
        </w:rPr>
        <w:t xml:space="preserve">lgae cultivation in </w:t>
      </w:r>
      <w:r w:rsidR="003F4BEF" w:rsidRPr="00154FB3">
        <w:rPr>
          <w:color w:val="131313"/>
        </w:rPr>
        <w:t>palm oil mill effluent</w:t>
      </w:r>
      <w:r w:rsidR="005717FF" w:rsidRPr="00154FB3">
        <w:rPr>
          <w:color w:val="131313"/>
        </w:rPr>
        <w:t xml:space="preserve"> water </w:t>
      </w:r>
      <w:r w:rsidRPr="00154FB3">
        <w:rPr>
          <w:color w:val="131313"/>
        </w:rPr>
        <w:t xml:space="preserve">using </w:t>
      </w:r>
      <w:r w:rsidRPr="00154FB3">
        <w:rPr>
          <w:i/>
          <w:color w:val="131313"/>
        </w:rPr>
        <w:t xml:space="preserve">Chlorella </w:t>
      </w:r>
      <w:r w:rsidRPr="00154FB3">
        <w:rPr>
          <w:i/>
          <w:iCs/>
        </w:rPr>
        <w:t xml:space="preserve">pyrenoidosa </w:t>
      </w:r>
      <w:r w:rsidR="007D496F" w:rsidRPr="00154FB3">
        <w:rPr>
          <w:color w:val="131313"/>
        </w:rPr>
        <w:t xml:space="preserve">(Kamyab </w:t>
      </w:r>
      <w:r w:rsidR="007D496F" w:rsidRPr="00154FB3">
        <w:rPr>
          <w:i/>
          <w:color w:val="131313"/>
        </w:rPr>
        <w:t>et al.</w:t>
      </w:r>
      <w:r w:rsidR="007D496F" w:rsidRPr="00154FB3">
        <w:rPr>
          <w:color w:val="131313"/>
        </w:rPr>
        <w:t>, 2014)</w:t>
      </w:r>
      <w:r w:rsidR="009A1ED3" w:rsidRPr="00154FB3">
        <w:rPr>
          <w:color w:val="131313"/>
        </w:rPr>
        <w:t>,</w:t>
      </w:r>
      <w:r w:rsidRPr="00154FB3">
        <w:rPr>
          <w:color w:val="131313"/>
        </w:rPr>
        <w:t xml:space="preserve"> and</w:t>
      </w:r>
      <w:r w:rsidR="009A1ED3" w:rsidRPr="00154FB3">
        <w:rPr>
          <w:color w:val="131313"/>
        </w:rPr>
        <w:t xml:space="preserve"> the use of</w:t>
      </w:r>
      <w:r w:rsidRPr="00154FB3">
        <w:rPr>
          <w:color w:val="131313"/>
        </w:rPr>
        <w:t xml:space="preserve"> a mixture of micro</w:t>
      </w:r>
      <w:r w:rsidR="009A1ED3" w:rsidRPr="00154FB3">
        <w:rPr>
          <w:color w:val="131313"/>
        </w:rPr>
        <w:t xml:space="preserve"> and</w:t>
      </w:r>
      <w:r w:rsidRPr="00154FB3">
        <w:rPr>
          <w:color w:val="131313"/>
        </w:rPr>
        <w:t xml:space="preserve">macroalgae for treating </w:t>
      </w:r>
      <w:r w:rsidR="003F4BEF" w:rsidRPr="00154FB3">
        <w:rPr>
          <w:color w:val="131313"/>
        </w:rPr>
        <w:t>palm oil mill effluent</w:t>
      </w:r>
      <w:r w:rsidRPr="00154FB3">
        <w:rPr>
          <w:color w:val="131313"/>
        </w:rPr>
        <w:t xml:space="preserve"> discharge, </w:t>
      </w:r>
      <w:r w:rsidR="009A1ED3" w:rsidRPr="00154FB3">
        <w:rPr>
          <w:color w:val="131313"/>
        </w:rPr>
        <w:t xml:space="preserve">as well as its </w:t>
      </w:r>
      <w:r w:rsidRPr="00154FB3">
        <w:rPr>
          <w:color w:val="131313"/>
        </w:rPr>
        <w:t xml:space="preserve">further enhancement as animal feed stock </w:t>
      </w:r>
      <w:r w:rsidR="007D496F" w:rsidRPr="00154FB3">
        <w:rPr>
          <w:color w:val="131313"/>
        </w:rPr>
        <w:t xml:space="preserve">(Mohd Fadhil </w:t>
      </w:r>
      <w:r w:rsidR="007D496F" w:rsidRPr="00154FB3">
        <w:rPr>
          <w:i/>
          <w:color w:val="131313"/>
        </w:rPr>
        <w:t>et al.</w:t>
      </w:r>
      <w:r w:rsidR="007D496F" w:rsidRPr="00154FB3">
        <w:rPr>
          <w:color w:val="131313"/>
        </w:rPr>
        <w:t>, 2014)</w:t>
      </w:r>
      <w:r w:rsidRPr="00154FB3">
        <w:rPr>
          <w:color w:val="131313"/>
        </w:rPr>
        <w:t xml:space="preserve">. </w:t>
      </w:r>
    </w:p>
    <w:p w14:paraId="12F25130" w14:textId="203CCC6D" w:rsidR="0028417F" w:rsidRPr="00154FB3" w:rsidRDefault="0028417F" w:rsidP="0028417F">
      <w:pPr>
        <w:pStyle w:val="Newparagraph"/>
        <w:jc w:val="both"/>
      </w:pPr>
      <w:r w:rsidRPr="00154FB3">
        <w:rPr>
          <w:color w:val="131313"/>
        </w:rPr>
        <w:t>The removal of the microalga</w:t>
      </w:r>
      <w:r w:rsidR="009A1ED3" w:rsidRPr="00154FB3">
        <w:rPr>
          <w:color w:val="131313"/>
        </w:rPr>
        <w:t>l</w:t>
      </w:r>
      <w:r w:rsidRPr="00154FB3">
        <w:rPr>
          <w:color w:val="131313"/>
        </w:rPr>
        <w:t xml:space="preserve"> biomass from culture medi</w:t>
      </w:r>
      <w:r w:rsidR="009A1ED3" w:rsidRPr="00154FB3">
        <w:rPr>
          <w:color w:val="131313"/>
        </w:rPr>
        <w:t>a</w:t>
      </w:r>
      <w:r w:rsidRPr="00154FB3">
        <w:rPr>
          <w:color w:val="131313"/>
        </w:rPr>
        <w:t xml:space="preserve"> </w:t>
      </w:r>
      <w:r w:rsidR="009A1ED3" w:rsidRPr="00154FB3">
        <w:rPr>
          <w:color w:val="131313"/>
        </w:rPr>
        <w:t xml:space="preserve">can be </w:t>
      </w:r>
      <w:r w:rsidRPr="00154FB3">
        <w:rPr>
          <w:color w:val="131313"/>
        </w:rPr>
        <w:t>a problem due to the small size of</w:t>
      </w:r>
      <w:r w:rsidR="009A1ED3" w:rsidRPr="00154FB3">
        <w:rPr>
          <w:color w:val="131313"/>
        </w:rPr>
        <w:t xml:space="preserve"> the</w:t>
      </w:r>
      <w:r w:rsidRPr="00154FB3">
        <w:rPr>
          <w:color w:val="131313"/>
        </w:rPr>
        <w:t xml:space="preserve"> alga</w:t>
      </w:r>
      <w:r w:rsidR="009A1ED3" w:rsidRPr="00154FB3">
        <w:rPr>
          <w:color w:val="131313"/>
        </w:rPr>
        <w:t>l</w:t>
      </w:r>
      <w:r w:rsidRPr="00154FB3">
        <w:rPr>
          <w:color w:val="131313"/>
        </w:rPr>
        <w:t xml:space="preserve"> cells. </w:t>
      </w:r>
      <w:r w:rsidR="009A1ED3" w:rsidRPr="00154FB3">
        <w:rPr>
          <w:color w:val="131313"/>
        </w:rPr>
        <w:t>C</w:t>
      </w:r>
      <w:r w:rsidRPr="00154FB3">
        <w:rPr>
          <w:color w:val="131313"/>
        </w:rPr>
        <w:t>urrent</w:t>
      </w:r>
      <w:r w:rsidR="009A1ED3" w:rsidRPr="00154FB3">
        <w:rPr>
          <w:color w:val="131313"/>
        </w:rPr>
        <w:t>ly available</w:t>
      </w:r>
      <w:r w:rsidRPr="00154FB3">
        <w:rPr>
          <w:color w:val="131313"/>
        </w:rPr>
        <w:t xml:space="preserve"> harvesting methods require large amount</w:t>
      </w:r>
      <w:r w:rsidR="009A1ED3" w:rsidRPr="00154FB3">
        <w:rPr>
          <w:color w:val="131313"/>
        </w:rPr>
        <w:t>s</w:t>
      </w:r>
      <w:r w:rsidRPr="00154FB3">
        <w:rPr>
          <w:color w:val="131313"/>
        </w:rPr>
        <w:t xml:space="preserve"> of chemicals and energy. Immobilisation techniques have been developed to solve this problem </w:t>
      </w:r>
      <w:r w:rsidR="007D496F" w:rsidRPr="00154FB3">
        <w:rPr>
          <w:color w:val="131313"/>
        </w:rPr>
        <w:t xml:space="preserve">(Cai </w:t>
      </w:r>
      <w:r w:rsidR="007D496F" w:rsidRPr="00154FB3">
        <w:rPr>
          <w:i/>
          <w:color w:val="131313"/>
        </w:rPr>
        <w:t>et al.</w:t>
      </w:r>
      <w:r w:rsidR="007D496F" w:rsidRPr="00154FB3">
        <w:rPr>
          <w:color w:val="131313"/>
        </w:rPr>
        <w:t>, 2013)</w:t>
      </w:r>
      <w:r w:rsidRPr="00154FB3">
        <w:rPr>
          <w:color w:val="131313"/>
        </w:rPr>
        <w:t xml:space="preserve">. An immobilisation technique that is frequently used involves alginate, a natural polymer </w:t>
      </w:r>
      <w:r w:rsidR="007D496F" w:rsidRPr="00154FB3">
        <w:rPr>
          <w:color w:val="131313"/>
        </w:rPr>
        <w:t xml:space="preserve">(Jimenez-Perez </w:t>
      </w:r>
      <w:r w:rsidR="007D496F" w:rsidRPr="00154FB3">
        <w:rPr>
          <w:i/>
          <w:color w:val="131313"/>
        </w:rPr>
        <w:t>et al.</w:t>
      </w:r>
      <w:r w:rsidR="007D496F" w:rsidRPr="00154FB3">
        <w:rPr>
          <w:color w:val="131313"/>
        </w:rPr>
        <w:t>, 2004; de-Bashan &amp; Bashan, 2010)</w:t>
      </w:r>
      <w:r w:rsidRPr="00154FB3">
        <w:rPr>
          <w:color w:val="131313"/>
        </w:rPr>
        <w:t>. The objective of this study was to explore the potential of free and immobilised microalga</w:t>
      </w:r>
      <w:r w:rsidR="009A1ED3" w:rsidRPr="00154FB3">
        <w:rPr>
          <w:color w:val="131313"/>
        </w:rPr>
        <w:t>l</w:t>
      </w:r>
      <w:r w:rsidRPr="00154FB3">
        <w:rPr>
          <w:color w:val="131313"/>
        </w:rPr>
        <w:t xml:space="preserve"> cells for removing inorganic nutrients from </w:t>
      </w:r>
      <w:r w:rsidR="009A1ED3" w:rsidRPr="00154FB3">
        <w:rPr>
          <w:color w:val="131313"/>
        </w:rPr>
        <w:t xml:space="preserve">the </w:t>
      </w:r>
      <w:r w:rsidRPr="00154FB3">
        <w:rPr>
          <w:color w:val="131313"/>
        </w:rPr>
        <w:t>organically polluted PRE, in Penang, Malaysia.</w:t>
      </w:r>
    </w:p>
    <w:p w14:paraId="75216B50" w14:textId="77777777" w:rsidR="00890E3B" w:rsidRPr="00154FB3" w:rsidRDefault="00890E3B" w:rsidP="0028417F">
      <w:pPr>
        <w:autoSpaceDE w:val="0"/>
        <w:autoSpaceDN w:val="0"/>
        <w:adjustRightInd w:val="0"/>
        <w:spacing w:line="240" w:lineRule="auto"/>
        <w:rPr>
          <w:rFonts w:cs="Arial"/>
          <w:b/>
          <w:bCs/>
          <w:i/>
          <w:iCs/>
          <w:szCs w:val="28"/>
        </w:rPr>
      </w:pPr>
    </w:p>
    <w:p w14:paraId="1E1EC3D7" w14:textId="77777777" w:rsidR="0028417F" w:rsidRPr="00154FB3" w:rsidRDefault="0028417F" w:rsidP="0028417F">
      <w:pPr>
        <w:autoSpaceDE w:val="0"/>
        <w:autoSpaceDN w:val="0"/>
        <w:adjustRightInd w:val="0"/>
        <w:spacing w:line="240" w:lineRule="auto"/>
      </w:pPr>
      <w:r w:rsidRPr="00154FB3">
        <w:rPr>
          <w:b/>
        </w:rPr>
        <w:t>Materials and Methods</w:t>
      </w:r>
    </w:p>
    <w:p w14:paraId="1D4BD89D" w14:textId="77777777" w:rsidR="0028417F" w:rsidRPr="00154FB3" w:rsidRDefault="0028417F" w:rsidP="0028417F">
      <w:pPr>
        <w:pStyle w:val="Paragraph"/>
        <w:rPr>
          <w:b/>
          <w:i/>
        </w:rPr>
      </w:pPr>
      <w:r w:rsidRPr="00154FB3">
        <w:rPr>
          <w:b/>
        </w:rPr>
        <w:lastRenderedPageBreak/>
        <w:t xml:space="preserve"> </w:t>
      </w:r>
      <w:r w:rsidRPr="00154FB3">
        <w:rPr>
          <w:b/>
          <w:i/>
        </w:rPr>
        <w:t>Microalgae Isolation, Cultivation and Maintenance</w:t>
      </w:r>
    </w:p>
    <w:p w14:paraId="01C1B9C8" w14:textId="319E5CA4" w:rsidR="0028417F" w:rsidRPr="00154FB3" w:rsidRDefault="0028417F" w:rsidP="00890E3B">
      <w:pPr>
        <w:pStyle w:val="Newparagraph"/>
        <w:jc w:val="both"/>
      </w:pPr>
      <w:r w:rsidRPr="00154FB3">
        <w:rPr>
          <w:i/>
        </w:rPr>
        <w:t>Scenedesmus bijugatus</w:t>
      </w:r>
      <w:r w:rsidRPr="00154FB3">
        <w:t xml:space="preserve"> was isolated from a retention pond (Tasik Harapan in Universiti Sains Malaysia, Main Campus, Penang), using </w:t>
      </w:r>
      <w:r w:rsidR="009A1ED3" w:rsidRPr="00154FB3">
        <w:t xml:space="preserve">standard </w:t>
      </w:r>
      <w:r w:rsidRPr="00154FB3">
        <w:t xml:space="preserve">agar plate streaking and serial dilution methods. </w:t>
      </w:r>
      <w:r w:rsidR="009A1ED3" w:rsidRPr="00154FB3">
        <w:t>Algae were</w:t>
      </w:r>
      <w:r w:rsidRPr="00154FB3">
        <w:t xml:space="preserve"> cultivated and maintained in enriched Bold</w:t>
      </w:r>
      <w:r w:rsidR="009A1ED3" w:rsidRPr="00154FB3">
        <w:t>’s</w:t>
      </w:r>
      <w:r w:rsidRPr="00154FB3">
        <w:t xml:space="preserve"> Basal Medium </w:t>
      </w:r>
      <w:r w:rsidR="00603139" w:rsidRPr="00154FB3">
        <w:t>(Andersen, 2005)</w:t>
      </w:r>
      <w:r w:rsidRPr="00154FB3">
        <w:t xml:space="preserve"> under 24 h continuous light (33.75 µmol</w:t>
      </w:r>
      <w:r w:rsidR="00443C30" w:rsidRPr="00154FB3">
        <w:t xml:space="preserve"> </w:t>
      </w:r>
      <w:r w:rsidRPr="00154FB3">
        <w:t>m</w:t>
      </w:r>
      <w:r w:rsidRPr="00154FB3">
        <w:rPr>
          <w:vertAlign w:val="superscript"/>
        </w:rPr>
        <w:t>-2</w:t>
      </w:r>
      <w:r w:rsidR="00443C30" w:rsidRPr="00154FB3">
        <w:rPr>
          <w:vertAlign w:val="superscript"/>
        </w:rPr>
        <w:t xml:space="preserve"> </w:t>
      </w:r>
      <w:r w:rsidRPr="00154FB3">
        <w:t>s</w:t>
      </w:r>
      <w:r w:rsidRPr="00154FB3">
        <w:rPr>
          <w:vertAlign w:val="superscript"/>
        </w:rPr>
        <w:t>-1</w:t>
      </w:r>
      <w:r w:rsidRPr="00154FB3">
        <w:t>) and manually agitated once a day at a constant temperature of 25±2°C.</w:t>
      </w:r>
      <w:r w:rsidR="00603139" w:rsidRPr="00154FB3">
        <w:t xml:space="preserve"> Light (Olympus CX21) and Scanning Electron Microscop</w:t>
      </w:r>
      <w:r w:rsidR="00443C30" w:rsidRPr="00154FB3">
        <w:t>y</w:t>
      </w:r>
      <w:r w:rsidR="00603139" w:rsidRPr="00154FB3">
        <w:t xml:space="preserve"> (Carl Zeiss Leo Supra 50 VP Field Emission equipped with Oxford INCA – X energy dispersive microanalysis system) were used to identify the species. Species confirmation was also </w:t>
      </w:r>
      <w:r w:rsidR="00443C30" w:rsidRPr="00154FB3">
        <w:t xml:space="preserve">made </w:t>
      </w:r>
      <w:r w:rsidR="00603139" w:rsidRPr="00154FB3">
        <w:t>by sending the microalgal samples to Biotech International Research &amp; Development (BIRD) Centre, Egypt.</w:t>
      </w:r>
      <w:r w:rsidR="008178E1" w:rsidRPr="00154FB3">
        <w:t xml:space="preserve"> The species i</w:t>
      </w:r>
      <w:r w:rsidR="000201DC" w:rsidRPr="00154FB3">
        <w:t>dentified has cell width and length of 2.6-5.3 µ</w:t>
      </w:r>
      <w:r w:rsidR="00443C30" w:rsidRPr="00154FB3">
        <w:t>m</w:t>
      </w:r>
      <w:r w:rsidR="000201DC" w:rsidRPr="00154FB3">
        <w:t xml:space="preserve"> and 6-11</w:t>
      </w:r>
      <w:r w:rsidR="00443C30" w:rsidRPr="00154FB3">
        <w:t xml:space="preserve"> </w:t>
      </w:r>
      <w:r w:rsidR="000201DC" w:rsidRPr="00154FB3">
        <w:t>µ</w:t>
      </w:r>
      <w:r w:rsidR="00443C30" w:rsidRPr="00154FB3">
        <w:t>m,</w:t>
      </w:r>
      <w:r w:rsidR="000201DC" w:rsidRPr="00154FB3">
        <w:t xml:space="preserve"> respectively. </w:t>
      </w:r>
      <w:r w:rsidR="00443C30" w:rsidRPr="00154FB3">
        <w:t>Individual cells are</w:t>
      </w:r>
      <w:r w:rsidR="000201DC" w:rsidRPr="00154FB3">
        <w:t xml:space="preserve"> solitary ellipsoid-cylindrical </w:t>
      </w:r>
      <w:r w:rsidR="00443C30" w:rsidRPr="00154FB3">
        <w:t xml:space="preserve">in shape </w:t>
      </w:r>
      <w:r w:rsidR="000201DC" w:rsidRPr="00154FB3">
        <w:t>and usually appear in colonies with cells arranged in groups of two.</w:t>
      </w:r>
    </w:p>
    <w:p w14:paraId="0000F0B9" w14:textId="77777777" w:rsidR="0028417F" w:rsidRPr="00154FB3" w:rsidRDefault="0028417F" w:rsidP="0028417F">
      <w:pPr>
        <w:jc w:val="both"/>
        <w:rPr>
          <w:b/>
          <w:i/>
        </w:rPr>
      </w:pPr>
      <w:r w:rsidRPr="00154FB3">
        <w:rPr>
          <w:b/>
          <w:i/>
        </w:rPr>
        <w:t>Water sample collections</w:t>
      </w:r>
    </w:p>
    <w:p w14:paraId="3F1F8C20" w14:textId="021A3207" w:rsidR="002D480C" w:rsidRPr="00154FB3" w:rsidRDefault="0028417F" w:rsidP="00F802DE">
      <w:pPr>
        <w:pStyle w:val="Newparagraph"/>
        <w:jc w:val="both"/>
        <w:rPr>
          <w:b/>
        </w:rPr>
      </w:pPr>
      <w:r w:rsidRPr="00154FB3">
        <w:t xml:space="preserve">For this study, </w:t>
      </w:r>
      <w:r w:rsidRPr="00154FB3">
        <w:rPr>
          <w:i/>
        </w:rPr>
        <w:t>Scenedesmus bijugatus</w:t>
      </w:r>
      <w:r w:rsidRPr="00154FB3">
        <w:t xml:space="preserve"> was cultivated from water samples collected</w:t>
      </w:r>
      <w:r w:rsidR="00443C30" w:rsidRPr="00154FB3">
        <w:t xml:space="preserve"> by grab sampling</w:t>
      </w:r>
      <w:r w:rsidRPr="00154FB3">
        <w:t xml:space="preserve"> from the Pinang River estuary (N05º 24.251’ E100 º 19.702’) (Figure 1) during low and high tides. </w:t>
      </w:r>
      <w:r w:rsidR="000E0A48" w:rsidRPr="00154FB3">
        <w:t>Triplicates of surface w</w:t>
      </w:r>
      <w:r w:rsidRPr="00154FB3">
        <w:t xml:space="preserve">ater samples were collected using </w:t>
      </w:r>
      <w:r w:rsidR="000E0A48" w:rsidRPr="00154FB3">
        <w:t>a 40 L bucket attached to a rope</w:t>
      </w:r>
      <w:r w:rsidRPr="00154FB3">
        <w:t>.</w:t>
      </w:r>
      <w:r w:rsidR="000E0A48" w:rsidRPr="00154FB3">
        <w:t xml:space="preserve"> </w:t>
      </w:r>
      <w:r w:rsidR="00443C30" w:rsidRPr="00154FB3">
        <w:t>P</w:t>
      </w:r>
      <w:r w:rsidRPr="00154FB3">
        <w:t>olyethylene bottles were rinsed with the</w:t>
      </w:r>
      <w:r w:rsidR="00443C30" w:rsidRPr="00154FB3">
        <w:t xml:space="preserve"> collected</w:t>
      </w:r>
      <w:r w:rsidRPr="00154FB3">
        <w:t xml:space="preserve"> water and were slowly filled to the brim to </w:t>
      </w:r>
      <w:r w:rsidR="00443C30" w:rsidRPr="00154FB3">
        <w:t xml:space="preserve">remove </w:t>
      </w:r>
      <w:r w:rsidRPr="00154FB3">
        <w:t xml:space="preserve">air bubbles, then stored in an ice chest on ice for the duration of sampling. In the laboratory, the water samples were stored in a </w:t>
      </w:r>
      <w:r w:rsidR="00443C30" w:rsidRPr="00154FB3">
        <w:t xml:space="preserve">refrigerator at </w:t>
      </w:r>
      <w:r w:rsidRPr="00154FB3">
        <w:t xml:space="preserve">4 ºC and </w:t>
      </w:r>
      <w:r w:rsidR="00443C30" w:rsidRPr="00154FB3">
        <w:t xml:space="preserve">under </w:t>
      </w:r>
      <w:r w:rsidRPr="00154FB3">
        <w:t>dark conditions prior to analysis</w:t>
      </w:r>
      <w:r w:rsidRPr="00154FB3">
        <w:rPr>
          <w:b/>
        </w:rPr>
        <w:t>.</w:t>
      </w:r>
      <w:r w:rsidR="00F802DE" w:rsidRPr="00154FB3">
        <w:rPr>
          <w:b/>
        </w:rPr>
        <w:t xml:space="preserve"> </w:t>
      </w:r>
    </w:p>
    <w:p w14:paraId="384F8AD3" w14:textId="77777777" w:rsidR="0028417F" w:rsidRPr="00154FB3" w:rsidRDefault="00271AD2" w:rsidP="0028417F">
      <w:pPr>
        <w:pStyle w:val="Newparagraph"/>
        <w:ind w:firstLine="0"/>
      </w:pPr>
      <w:r w:rsidRPr="00154FB3">
        <w:rPr>
          <w:b/>
          <w:noProof/>
          <w:lang w:val="en-US" w:eastAsia="zh-CN"/>
        </w:rPr>
        <w:pict w14:anchorId="6051E0D5">
          <v:group id="_x0000_s1059" style="position:absolute;margin-left:217.25pt;margin-top:285.5pt;width:83.3pt;height:17.6pt;z-index:251706368" coordorigin="7601,6585" coordsize="1666,352">
            <v:rect id="_x0000_s1053" style="position:absolute;left:7601;top:6585;width:1666;height:352" stroked="f">
              <v:textbox style="mso-next-textbox:#_x0000_s1053">
                <w:txbxContent>
                  <w:p w14:paraId="36283492" w14:textId="77777777" w:rsidR="00443BA6" w:rsidRPr="002B6D0C" w:rsidRDefault="00443BA6" w:rsidP="002B6D0C">
                    <w:pPr>
                      <w:pStyle w:val="NoSpacing"/>
                      <w:rPr>
                        <w:rFonts w:ascii="Times New Roman" w:hAnsi="Times New Roman" w:cs="Times New Roman"/>
                        <w:b/>
                        <w:sz w:val="16"/>
                        <w:szCs w:val="16"/>
                      </w:rPr>
                    </w:pPr>
                    <w:r>
                      <w:rPr>
                        <w:rFonts w:ascii="Times New Roman" w:hAnsi="Times New Roman" w:cs="Times New Roman"/>
                        <w:b/>
                        <w:sz w:val="16"/>
                        <w:szCs w:val="16"/>
                      </w:rPr>
                      <w:t xml:space="preserve">         1</w:t>
                    </w:r>
                    <w:r w:rsidRPr="002B6D0C">
                      <w:rPr>
                        <w:rFonts w:ascii="Times New Roman" w:hAnsi="Times New Roman" w:cs="Times New Roman"/>
                        <w:b/>
                        <w:sz w:val="16"/>
                        <w:szCs w:val="16"/>
                      </w:rPr>
                      <w:t>km</w:t>
                    </w:r>
                  </w:p>
                </w:txbxContent>
              </v:textbox>
            </v:rect>
            <v:shapetype id="_x0000_t32" coordsize="21600,21600" o:spt="32" o:oned="t" path="m,l21600,21600e" filled="f">
              <v:path arrowok="t" fillok="f" o:connecttype="none"/>
              <o:lock v:ext="edit" shapetype="t"/>
            </v:shapetype>
            <v:shape id="_x0000_s1054" type="#_x0000_t32" style="position:absolute;left:7665;top:6847;width:1490;height:0" o:connectortype="straight"/>
            <v:shape id="_x0000_s1055" type="#_x0000_t32" style="position:absolute;left:7665;top:6694;width:0;height:154" o:connectortype="straight"/>
            <v:shape id="_x0000_s1056" type="#_x0000_t32" style="position:absolute;left:9155;top:6695;width:2;height:153;flip:y" o:connectortype="straight"/>
          </v:group>
        </w:pict>
      </w:r>
      <w:hyperlink r:id="rId8" w:history="1">
        <w:r w:rsidR="0028417F" w:rsidRPr="00154FB3">
          <w:rPr>
            <w:rStyle w:val="Hyperlink"/>
          </w:rPr>
          <w:t>Figure 1</w:t>
        </w:r>
        <w:r w:rsidR="00AB6139" w:rsidRPr="00154FB3">
          <w:rPr>
            <w:rStyle w:val="Hyperlink"/>
          </w:rPr>
          <w:t>:</w:t>
        </w:r>
        <w:r w:rsidR="0028417F" w:rsidRPr="00154FB3">
          <w:rPr>
            <w:rStyle w:val="Hyperlink"/>
          </w:rPr>
          <w:t xml:space="preserve"> Sampling site in the Pinang River estuary, Penang Island, Malaysia.</w:t>
        </w:r>
      </w:hyperlink>
    </w:p>
    <w:p w14:paraId="5E8D9C83" w14:textId="77777777" w:rsidR="002D480C" w:rsidRPr="00154FB3" w:rsidRDefault="002D480C" w:rsidP="0028417F">
      <w:pPr>
        <w:jc w:val="both"/>
        <w:rPr>
          <w:b/>
          <w:i/>
        </w:rPr>
      </w:pPr>
    </w:p>
    <w:p w14:paraId="79BA41F3" w14:textId="77777777" w:rsidR="0028417F" w:rsidRPr="00154FB3" w:rsidRDefault="0028417F" w:rsidP="0028417F">
      <w:pPr>
        <w:jc w:val="both"/>
        <w:rPr>
          <w:b/>
          <w:i/>
        </w:rPr>
      </w:pPr>
      <w:r w:rsidRPr="00154FB3">
        <w:rPr>
          <w:b/>
          <w:i/>
        </w:rPr>
        <w:t xml:space="preserve">Experimental Design </w:t>
      </w:r>
    </w:p>
    <w:p w14:paraId="79810AD9" w14:textId="41FDF123" w:rsidR="0028417F" w:rsidRPr="00154FB3" w:rsidRDefault="0028417F" w:rsidP="0028417F">
      <w:pPr>
        <w:spacing w:line="240" w:lineRule="auto"/>
        <w:jc w:val="both"/>
        <w:rPr>
          <w:i/>
        </w:rPr>
      </w:pPr>
      <w:r w:rsidRPr="00154FB3">
        <w:rPr>
          <w:i/>
        </w:rPr>
        <w:t>Preparation of free algal cell cultures and immobilised algal bead cultures</w:t>
      </w:r>
    </w:p>
    <w:p w14:paraId="668A2589" w14:textId="77777777" w:rsidR="0028417F" w:rsidRPr="00154FB3" w:rsidRDefault="0028417F" w:rsidP="0028417F">
      <w:pPr>
        <w:spacing w:line="240" w:lineRule="auto"/>
        <w:jc w:val="both"/>
        <w:rPr>
          <w:b/>
        </w:rPr>
      </w:pPr>
    </w:p>
    <w:p w14:paraId="5CCED89A" w14:textId="4618A734" w:rsidR="0028417F" w:rsidRPr="00154FB3" w:rsidRDefault="0028417F" w:rsidP="0028417F">
      <w:pPr>
        <w:ind w:firstLine="720"/>
        <w:jc w:val="both"/>
        <w:rPr>
          <w:b/>
        </w:rPr>
      </w:pPr>
      <w:r w:rsidRPr="00154FB3">
        <w:lastRenderedPageBreak/>
        <w:t>A total of 500 mL of</w:t>
      </w:r>
      <w:r w:rsidRPr="00154FB3">
        <w:rPr>
          <w:i/>
        </w:rPr>
        <w:t xml:space="preserve"> Scenedesmus bijugatus</w:t>
      </w:r>
      <w:r w:rsidRPr="00154FB3">
        <w:t xml:space="preserve"> cell culture from the initial stock was harvested during the stationary growth phase (23 d after inoculation), concentrated by centrifugation (3000 rpm for 10 mins) and re-suspended in 100 mL of distilled water. The number of cells was estimated using haemocytometer; a cell density of approximately 2.835 x 10</w:t>
      </w:r>
      <w:r w:rsidRPr="00154FB3">
        <w:rPr>
          <w:vertAlign w:val="superscript"/>
        </w:rPr>
        <w:t xml:space="preserve">7 </w:t>
      </w:r>
      <w:r w:rsidRPr="00154FB3">
        <w:t>cells mL</w:t>
      </w:r>
      <w:r w:rsidRPr="00154FB3">
        <w:rPr>
          <w:vertAlign w:val="superscript"/>
        </w:rPr>
        <w:t>-1</w:t>
      </w:r>
      <w:r w:rsidRPr="00154FB3">
        <w:t xml:space="preserve"> was used to ensure that the amount of cells inoculated was the same in all experiments.</w:t>
      </w:r>
    </w:p>
    <w:p w14:paraId="06587200" w14:textId="77777777" w:rsidR="0028417F" w:rsidRPr="00154FB3" w:rsidRDefault="0028417F" w:rsidP="0028417F">
      <w:pPr>
        <w:jc w:val="both"/>
        <w:rPr>
          <w:i/>
        </w:rPr>
      </w:pPr>
      <w:r w:rsidRPr="00154FB3">
        <w:rPr>
          <w:i/>
        </w:rPr>
        <w:t>Free cell cultures</w:t>
      </w:r>
    </w:p>
    <w:p w14:paraId="0A1A2C9D" w14:textId="59D9F142" w:rsidR="0028417F" w:rsidRPr="00154FB3" w:rsidRDefault="0028417F" w:rsidP="0028417F">
      <w:pPr>
        <w:ind w:firstLine="720"/>
        <w:jc w:val="both"/>
        <w:rPr>
          <w:b/>
        </w:rPr>
      </w:pPr>
      <w:r w:rsidRPr="00154FB3">
        <w:t xml:space="preserve">Free cell cultures were prepared by inoculating approximately 6.5 mL of the previously prepared algal suspension into 125 mL of river water, to a final volume of 130 ± 1.5 mL culture (approximately 5% inoculum of the 130 mL river water culture). Three replicate free cell cultures for each two day experimental interval (2, 4, 6, 8, and 10 days) were prepared. Replicates without algal inoculum were also prepared as a control. </w:t>
      </w:r>
    </w:p>
    <w:p w14:paraId="292E48DF" w14:textId="77777777" w:rsidR="0028417F" w:rsidRPr="00154FB3" w:rsidRDefault="0028417F" w:rsidP="0028417F">
      <w:pPr>
        <w:rPr>
          <w:i/>
        </w:rPr>
      </w:pPr>
      <w:r w:rsidRPr="00154FB3">
        <w:rPr>
          <w:i/>
        </w:rPr>
        <w:t>Immobilisation of algal cells with sodium alginate</w:t>
      </w:r>
    </w:p>
    <w:p w14:paraId="6FAE5193" w14:textId="2B60D1AD" w:rsidR="004C103B" w:rsidRPr="00154FB3" w:rsidRDefault="0028417F" w:rsidP="00BD1373">
      <w:pPr>
        <w:ind w:firstLine="720"/>
        <w:jc w:val="both"/>
      </w:pPr>
      <w:r w:rsidRPr="00154FB3">
        <w:t xml:space="preserve">The immobilisation of microalgal cells was based on the method used by Chen </w:t>
      </w:r>
      <w:r w:rsidR="002A0302" w:rsidRPr="00154FB3">
        <w:t xml:space="preserve">(2001) </w:t>
      </w:r>
      <w:r w:rsidRPr="00154FB3">
        <w:t xml:space="preserve">and Ruiz-Marin </w:t>
      </w:r>
      <w:r w:rsidRPr="00154FB3">
        <w:rPr>
          <w:i/>
        </w:rPr>
        <w:t>et al.</w:t>
      </w:r>
      <w:r w:rsidR="005717FF" w:rsidRPr="00154FB3">
        <w:t xml:space="preserve"> </w:t>
      </w:r>
      <w:r w:rsidR="002A0302" w:rsidRPr="00154FB3">
        <w:t>(2010)</w:t>
      </w:r>
      <w:r w:rsidRPr="00154FB3">
        <w:t xml:space="preserve">. The microalgal cells were immobilised by mixing approximately 3.25 mL of a 4% sodium alginate solution (Sigma-Aldrich </w:t>
      </w:r>
      <w:r w:rsidR="007263E9" w:rsidRPr="00154FB3">
        <w:t>a</w:t>
      </w:r>
      <w:r w:rsidRPr="00154FB3">
        <w:t xml:space="preserve">lginic acid </w:t>
      </w:r>
      <w:r w:rsidR="007263E9" w:rsidRPr="00154FB3">
        <w:t>s</w:t>
      </w:r>
      <w:r w:rsidRPr="00154FB3">
        <w:t>odium salt from brown algae) with approximately 6.5 mL of a concentrated microalgal cell suspension to give a 1:2 (v/v) alginate to algal cell suspension ratio. The 2% sodium alginate-algal cell mixture was stirred vigorously to ensure that the solution was well mixed. The mixture was taken up in a syringe</w:t>
      </w:r>
      <w:r w:rsidR="007263E9" w:rsidRPr="00154FB3">
        <w:t>, that was then</w:t>
      </w:r>
      <w:r w:rsidRPr="00154FB3">
        <w:t xml:space="preserve"> held at a height of 8-10 cm </w:t>
      </w:r>
      <w:r w:rsidR="007263E9" w:rsidRPr="00154FB3">
        <w:t>above</w:t>
      </w:r>
      <w:r w:rsidRPr="00154FB3">
        <w:t xml:space="preserve"> a beaker of a 2% CaCl</w:t>
      </w:r>
      <w:r w:rsidRPr="00154FB3">
        <w:rPr>
          <w:vertAlign w:val="subscript"/>
        </w:rPr>
        <w:t>2</w:t>
      </w:r>
      <w:r w:rsidRPr="00154FB3">
        <w:rPr>
          <w:rFonts w:ascii="Calibri" w:hAnsi="Calibri"/>
        </w:rPr>
        <w:t>∙</w:t>
      </w:r>
      <w:r w:rsidRPr="00154FB3">
        <w:t>2H</w:t>
      </w:r>
      <w:r w:rsidRPr="00154FB3">
        <w:rPr>
          <w:vertAlign w:val="subscript"/>
        </w:rPr>
        <w:t>2</w:t>
      </w:r>
      <w:r w:rsidRPr="00154FB3">
        <w:t>O solution</w:t>
      </w:r>
      <w:r w:rsidR="007263E9" w:rsidRPr="00154FB3">
        <w:t xml:space="preserve"> and added dropwise</w:t>
      </w:r>
      <w:r w:rsidRPr="00154FB3">
        <w:t xml:space="preserve"> at a controlled speed. Spherical beads of approximately 2.0±0.5 mm diameter </w:t>
      </w:r>
      <w:r w:rsidR="00BD1373" w:rsidRPr="00154FB3">
        <w:t>were</w:t>
      </w:r>
      <w:r w:rsidRPr="00154FB3">
        <w:t xml:space="preserve"> obtained and allowed to harden in the calcium chloride solution for more than 4 h, then rinsed a few times with sterilised distilled water. The spherical beads had a light green colour. Blank alginate beads (without algae) were prepared the same way but distilled water was used instead of the concentrated microalgal </w:t>
      </w:r>
      <w:r w:rsidRPr="00154FB3">
        <w:lastRenderedPageBreak/>
        <w:t xml:space="preserve">cell suspension. Three replicates for each </w:t>
      </w:r>
      <w:r w:rsidR="001F4819" w:rsidRPr="00154FB3">
        <w:t>two-day</w:t>
      </w:r>
      <w:r w:rsidRPr="00154FB3">
        <w:t xml:space="preserve"> experimental interval (2, 4, 6, 8, and 10 days) were prepared for the immobilised algal cells and immo</w:t>
      </w:r>
      <w:r w:rsidR="00BD1373" w:rsidRPr="00154FB3">
        <w:t xml:space="preserve">bilised blank beads (control). </w:t>
      </w:r>
    </w:p>
    <w:p w14:paraId="0D7C67F2" w14:textId="77777777" w:rsidR="0028417F" w:rsidRPr="00154FB3" w:rsidRDefault="0028417F" w:rsidP="0028417F">
      <w:pPr>
        <w:jc w:val="both"/>
        <w:rPr>
          <w:b/>
          <w:i/>
        </w:rPr>
      </w:pPr>
      <w:r w:rsidRPr="00154FB3">
        <w:rPr>
          <w:b/>
          <w:i/>
        </w:rPr>
        <w:t>Analytical Methods</w:t>
      </w:r>
    </w:p>
    <w:p w14:paraId="78AC65FC" w14:textId="1955A4BE" w:rsidR="0028417F" w:rsidRPr="00154FB3" w:rsidRDefault="0028417F" w:rsidP="0028417F">
      <w:pPr>
        <w:jc w:val="both"/>
        <w:rPr>
          <w:i/>
        </w:rPr>
      </w:pPr>
      <w:r w:rsidRPr="00154FB3">
        <w:rPr>
          <w:i/>
        </w:rPr>
        <w:t xml:space="preserve">Determination of </w:t>
      </w:r>
      <w:r w:rsidR="007263E9" w:rsidRPr="00154FB3">
        <w:rPr>
          <w:i/>
        </w:rPr>
        <w:t>n</w:t>
      </w:r>
      <w:r w:rsidRPr="00154FB3">
        <w:rPr>
          <w:i/>
        </w:rPr>
        <w:t xml:space="preserve">utrient and </w:t>
      </w:r>
      <w:r w:rsidR="007263E9" w:rsidRPr="00154FB3">
        <w:rPr>
          <w:i/>
        </w:rPr>
        <w:t>c</w:t>
      </w:r>
      <w:r w:rsidRPr="00154FB3">
        <w:rPr>
          <w:i/>
        </w:rPr>
        <w:t xml:space="preserve">hlorophyll a </w:t>
      </w:r>
      <w:r w:rsidR="007263E9" w:rsidRPr="00154FB3">
        <w:rPr>
          <w:i/>
        </w:rPr>
        <w:t>concentrations</w:t>
      </w:r>
    </w:p>
    <w:p w14:paraId="08D161CC" w14:textId="210266FA" w:rsidR="0028417F" w:rsidRPr="00154FB3" w:rsidRDefault="0028417F" w:rsidP="0028417F">
      <w:pPr>
        <w:ind w:firstLine="720"/>
        <w:jc w:val="both"/>
        <w:rPr>
          <w:b/>
        </w:rPr>
      </w:pPr>
      <w:r w:rsidRPr="00154FB3">
        <w:t xml:space="preserve">The river water samples were filtered through Whatman GF/C 0.45 µm glass fibres, followed by autoclaving prior </w:t>
      </w:r>
      <w:r w:rsidR="007263E9" w:rsidRPr="00154FB3">
        <w:t xml:space="preserve">determination of </w:t>
      </w:r>
      <w:r w:rsidRPr="00154FB3">
        <w:t>the initial concentrations of inorganic nutrients. The filtered water samples were also inoculated with</w:t>
      </w:r>
      <w:r w:rsidRPr="00154FB3">
        <w:rPr>
          <w:color w:val="FF0000"/>
        </w:rPr>
        <w:t xml:space="preserve"> </w:t>
      </w:r>
      <w:r w:rsidRPr="00154FB3">
        <w:t>free and immobilised</w:t>
      </w:r>
      <w:r w:rsidRPr="00154FB3">
        <w:rPr>
          <w:color w:val="FF0000"/>
        </w:rPr>
        <w:t xml:space="preserve"> </w:t>
      </w:r>
      <w:r w:rsidRPr="00154FB3">
        <w:rPr>
          <w:i/>
        </w:rPr>
        <w:t>Scenesdesmus</w:t>
      </w:r>
      <w:r w:rsidRPr="00154FB3">
        <w:rPr>
          <w:b/>
          <w:i/>
        </w:rPr>
        <w:t xml:space="preserve"> </w:t>
      </w:r>
      <w:r w:rsidRPr="00154FB3">
        <w:rPr>
          <w:i/>
        </w:rPr>
        <w:t>bijugatus</w:t>
      </w:r>
      <w:r w:rsidRPr="00154FB3">
        <w:rPr>
          <w:b/>
        </w:rPr>
        <w:t xml:space="preserve"> </w:t>
      </w:r>
      <w:r w:rsidRPr="00154FB3">
        <w:t>cells</w:t>
      </w:r>
      <w:r w:rsidRPr="00154FB3">
        <w:rPr>
          <w:b/>
        </w:rPr>
        <w:t xml:space="preserve"> </w:t>
      </w:r>
      <w:r w:rsidRPr="00154FB3">
        <w:t>to</w:t>
      </w:r>
      <w:r w:rsidRPr="00154FB3">
        <w:rPr>
          <w:b/>
        </w:rPr>
        <w:t xml:space="preserve"> </w:t>
      </w:r>
      <w:r w:rsidR="00485BE7" w:rsidRPr="00154FB3">
        <w:t>remove nutrients under standard lab conditions</w:t>
      </w:r>
      <w:r w:rsidR="007B45FF" w:rsidRPr="00154FB3">
        <w:t xml:space="preserve"> (24 h continuous light (33.75 µmolm</w:t>
      </w:r>
      <w:r w:rsidR="007B45FF" w:rsidRPr="00154FB3">
        <w:rPr>
          <w:vertAlign w:val="superscript"/>
        </w:rPr>
        <w:t>-2</w:t>
      </w:r>
      <w:r w:rsidR="007B45FF" w:rsidRPr="00154FB3">
        <w:t>s</w:t>
      </w:r>
      <w:r w:rsidR="007B45FF" w:rsidRPr="00154FB3">
        <w:rPr>
          <w:vertAlign w:val="superscript"/>
        </w:rPr>
        <w:t>-1</w:t>
      </w:r>
      <w:r w:rsidR="007B45FF" w:rsidRPr="00154FB3">
        <w:t>) and manually agitated once a day at a</w:t>
      </w:r>
      <w:r w:rsidR="009A6925" w:rsidRPr="00154FB3">
        <w:t xml:space="preserve"> constant temperature of 25±2°C; relative humidity of 53.3%</w:t>
      </w:r>
      <w:r w:rsidR="007B45FF" w:rsidRPr="00154FB3">
        <w:t>).</w:t>
      </w:r>
      <w:r w:rsidRPr="00154FB3">
        <w:rPr>
          <w:color w:val="FF0000"/>
        </w:rPr>
        <w:t xml:space="preserve"> </w:t>
      </w:r>
      <w:r w:rsidRPr="00154FB3">
        <w:t>The water samples were analysed for phosphate, ammonium, nitrite and nitrate prior to and after the two</w:t>
      </w:r>
      <w:r w:rsidR="005F462C" w:rsidRPr="00154FB3">
        <w:t xml:space="preserve"> </w:t>
      </w:r>
      <w:r w:rsidRPr="00154FB3">
        <w:t>day experimental interval</w:t>
      </w:r>
      <w:r w:rsidR="007263E9" w:rsidRPr="00154FB3">
        <w:t>s</w:t>
      </w:r>
      <w:r w:rsidRPr="00154FB3">
        <w:t xml:space="preserve"> (2, 4, 6, 8, and 10 days). The nutrients were determined </w:t>
      </w:r>
      <w:r w:rsidR="007263E9" w:rsidRPr="00154FB3">
        <w:t>following</w:t>
      </w:r>
      <w:r w:rsidRPr="00154FB3">
        <w:t xml:space="preserve"> Strickland and Parson </w:t>
      </w:r>
      <w:r w:rsidR="00E075BB" w:rsidRPr="00154FB3">
        <w:t>(1972)</w:t>
      </w:r>
      <w:r w:rsidRPr="00154FB3">
        <w:t xml:space="preserve">. </w:t>
      </w:r>
      <w:r w:rsidR="007263E9" w:rsidRPr="00154FB3">
        <w:t>After</w:t>
      </w:r>
      <w:r w:rsidRPr="00154FB3">
        <w:t xml:space="preserve"> each </w:t>
      </w:r>
      <w:r w:rsidR="007263E9" w:rsidRPr="00154FB3">
        <w:t xml:space="preserve">two </w:t>
      </w:r>
      <w:r w:rsidR="00BD1373" w:rsidRPr="00154FB3">
        <w:t>day</w:t>
      </w:r>
      <w:r w:rsidRPr="00154FB3">
        <w:t xml:space="preserve"> interval, the bead solution was filtered through a Whatman Cellulose Nitrate membrane filter (0.45 µm) after the beads </w:t>
      </w:r>
      <w:r w:rsidR="005F462C" w:rsidRPr="00154FB3">
        <w:t xml:space="preserve">had been </w:t>
      </w:r>
      <w:r w:rsidRPr="00154FB3">
        <w:t xml:space="preserve">dissolved in a test tube filled with 7 mL of 5% sodium hexametaphosphate solution. The chlorophyll </w:t>
      </w:r>
      <w:r w:rsidRPr="00154FB3">
        <w:rPr>
          <w:i/>
        </w:rPr>
        <w:t>a</w:t>
      </w:r>
      <w:r w:rsidRPr="00154FB3">
        <w:t xml:space="preserve"> concentration of free and immobilised cells was determined</w:t>
      </w:r>
      <w:r w:rsidR="000B3815" w:rsidRPr="00154FB3">
        <w:t xml:space="preserve"> </w:t>
      </w:r>
      <w:r w:rsidR="005F462C" w:rsidRPr="00154FB3">
        <w:t>following</w:t>
      </w:r>
      <w:r w:rsidR="000B3815" w:rsidRPr="00154FB3">
        <w:t xml:space="preserve"> Lobban </w:t>
      </w:r>
      <w:r w:rsidR="000B3815" w:rsidRPr="00154FB3">
        <w:rPr>
          <w:i/>
        </w:rPr>
        <w:t>et al.</w:t>
      </w:r>
      <w:r w:rsidR="000B3815" w:rsidRPr="00154FB3">
        <w:t xml:space="preserve"> </w:t>
      </w:r>
      <w:r w:rsidR="00E075BB" w:rsidRPr="00154FB3">
        <w:t>(</w:t>
      </w:r>
      <w:r w:rsidR="000B3815" w:rsidRPr="00154FB3">
        <w:t>1988</w:t>
      </w:r>
      <w:r w:rsidR="00E075BB" w:rsidRPr="00154FB3">
        <w:t>)</w:t>
      </w:r>
      <w:r w:rsidR="005F462C" w:rsidRPr="00154FB3">
        <w:t xml:space="preserve"> and t</w:t>
      </w:r>
      <w:r w:rsidR="00E075BB" w:rsidRPr="00154FB3">
        <w:t>he</w:t>
      </w:r>
      <w:r w:rsidRPr="00154FB3">
        <w:t xml:space="preserve"> following formula: Chlorophyll </w:t>
      </w:r>
      <w:r w:rsidRPr="00154FB3">
        <w:rPr>
          <w:i/>
        </w:rPr>
        <w:t>a</w:t>
      </w:r>
      <w:r w:rsidRPr="00154FB3">
        <w:t xml:space="preserve"> = 11.93A</w:t>
      </w:r>
      <w:r w:rsidRPr="00154FB3">
        <w:rPr>
          <w:vertAlign w:val="subscript"/>
        </w:rPr>
        <w:t>664</w:t>
      </w:r>
      <w:r w:rsidRPr="00154FB3">
        <w:t xml:space="preserve"> – 1.93 A</w:t>
      </w:r>
      <w:r w:rsidRPr="00154FB3">
        <w:rPr>
          <w:vertAlign w:val="subscript"/>
        </w:rPr>
        <w:t>647</w:t>
      </w:r>
      <w:r w:rsidRPr="00154FB3">
        <w:t>.</w:t>
      </w:r>
    </w:p>
    <w:p w14:paraId="63A17C4A" w14:textId="77777777" w:rsidR="001F4819" w:rsidRPr="00154FB3" w:rsidRDefault="001F4819" w:rsidP="0028417F">
      <w:pPr>
        <w:jc w:val="both"/>
        <w:rPr>
          <w:i/>
        </w:rPr>
      </w:pPr>
    </w:p>
    <w:p w14:paraId="452A1107" w14:textId="7435428F" w:rsidR="0028417F" w:rsidRPr="00154FB3" w:rsidRDefault="0028417F" w:rsidP="0028417F">
      <w:pPr>
        <w:jc w:val="both"/>
        <w:rPr>
          <w:i/>
        </w:rPr>
      </w:pPr>
      <w:r w:rsidRPr="00154FB3">
        <w:rPr>
          <w:i/>
        </w:rPr>
        <w:t>Logistic growth model for algal growth and nutrient uptake rates</w:t>
      </w:r>
    </w:p>
    <w:p w14:paraId="79DC13D4" w14:textId="3A475B90" w:rsidR="0028417F" w:rsidRPr="00154FB3" w:rsidRDefault="0028417F" w:rsidP="0028417F">
      <w:pPr>
        <w:ind w:firstLine="720"/>
        <w:jc w:val="both"/>
      </w:pPr>
      <w:r w:rsidRPr="00154FB3">
        <w:t>The algal growth rate and the nutrient uptake rate were calculated ba</w:t>
      </w:r>
      <w:r w:rsidR="005717FF" w:rsidRPr="00154FB3">
        <w:t xml:space="preserve">sed on a logistic growth model </w:t>
      </w:r>
      <w:r w:rsidR="007D496F" w:rsidRPr="00154FB3">
        <w:t xml:space="preserve">(Jiménez-Pérez </w:t>
      </w:r>
      <w:r w:rsidR="007D496F" w:rsidRPr="00154FB3">
        <w:rPr>
          <w:i/>
        </w:rPr>
        <w:t>et al.</w:t>
      </w:r>
      <w:r w:rsidR="007D496F" w:rsidRPr="00154FB3">
        <w:t xml:space="preserve">, 2004; Xin </w:t>
      </w:r>
      <w:r w:rsidR="007D496F" w:rsidRPr="00154FB3">
        <w:rPr>
          <w:i/>
        </w:rPr>
        <w:t>et al.</w:t>
      </w:r>
      <w:r w:rsidR="007D496F" w:rsidRPr="00154FB3">
        <w:t>, 2010)</w:t>
      </w:r>
      <w:r w:rsidRPr="00154FB3">
        <w:t xml:space="preserve">, which is used to describe the relationship between the growth of a microorganism and its density in limiting environmental conditions. In this case, it was used to describe the algal growth: </w:t>
      </w:r>
    </w:p>
    <w:p w14:paraId="0AF1A780" w14:textId="77777777" w:rsidR="0028417F" w:rsidRPr="00154FB3" w:rsidRDefault="0028417F" w:rsidP="0028417F">
      <w:pPr>
        <w:jc w:val="both"/>
      </w:pPr>
      <w:r w:rsidRPr="00154FB3">
        <w:t>N= [K</w:t>
      </w:r>
      <w:r w:rsidRPr="00154FB3">
        <w:rPr>
          <w:i/>
        </w:rPr>
        <w:t xml:space="preserve"> </w:t>
      </w:r>
      <w:r w:rsidRPr="00154FB3">
        <w:t>/ (1+e</w:t>
      </w:r>
      <w:r w:rsidRPr="00154FB3">
        <w:rPr>
          <w:vertAlign w:val="superscript"/>
        </w:rPr>
        <w:t>1-</w:t>
      </w:r>
      <w:r w:rsidRPr="00154FB3">
        <w:rPr>
          <w:i/>
          <w:vertAlign w:val="superscript"/>
        </w:rPr>
        <w:t>r</w:t>
      </w:r>
      <w:r w:rsidRPr="00154FB3">
        <w:rPr>
          <w:vertAlign w:val="superscript"/>
        </w:rPr>
        <w:t>t</w:t>
      </w:r>
      <w:r w:rsidRPr="00154FB3">
        <w:t>)], where N (cells mL</w:t>
      </w:r>
      <w:r w:rsidRPr="00154FB3">
        <w:rPr>
          <w:vertAlign w:val="superscript"/>
        </w:rPr>
        <w:t>-1</w:t>
      </w:r>
      <w:r w:rsidRPr="00154FB3">
        <w:t xml:space="preserve">) is the algal density at time </w:t>
      </w:r>
      <w:r w:rsidRPr="00154FB3">
        <w:rPr>
          <w:i/>
        </w:rPr>
        <w:t>t</w:t>
      </w:r>
      <w:r w:rsidRPr="00154FB3">
        <w:t xml:space="preserve"> (days), and K (cells mL</w:t>
      </w:r>
      <w:r w:rsidRPr="00154FB3">
        <w:rPr>
          <w:vertAlign w:val="superscript"/>
        </w:rPr>
        <w:t>-1</w:t>
      </w:r>
      <w:r w:rsidRPr="00154FB3">
        <w:t>) is the carrying capacity (i.e., the maximum algal density achieved by the culture).</w:t>
      </w:r>
    </w:p>
    <w:p w14:paraId="73B39A29" w14:textId="69B080BB" w:rsidR="0028417F" w:rsidRPr="00154FB3" w:rsidRDefault="0028417F" w:rsidP="0028417F">
      <w:pPr>
        <w:jc w:val="both"/>
      </w:pPr>
      <w:r w:rsidRPr="00154FB3">
        <w:lastRenderedPageBreak/>
        <w:t xml:space="preserve">This equation </w:t>
      </w:r>
      <w:r w:rsidR="005F462C" w:rsidRPr="00154FB3">
        <w:t xml:space="preserve">can </w:t>
      </w:r>
      <w:r w:rsidRPr="00154FB3">
        <w:t xml:space="preserve">be transformed into a linear form as: </w:t>
      </w:r>
    </w:p>
    <w:p w14:paraId="4C2E0DBB" w14:textId="33478430" w:rsidR="0028417F" w:rsidRPr="00154FB3" w:rsidRDefault="0028417F" w:rsidP="0028417F">
      <w:pPr>
        <w:jc w:val="both"/>
      </w:pPr>
      <w:r w:rsidRPr="00154FB3">
        <w:t xml:space="preserve">ln [(K/N) – 1] = </w:t>
      </w:r>
      <w:r w:rsidRPr="00154FB3">
        <w:rPr>
          <w:i/>
        </w:rPr>
        <w:t>a</w:t>
      </w:r>
      <w:r w:rsidRPr="00154FB3">
        <w:t xml:space="preserve"> – </w:t>
      </w:r>
      <w:r w:rsidRPr="00154FB3">
        <w:rPr>
          <w:i/>
        </w:rPr>
        <w:t>rt</w:t>
      </w:r>
      <w:r w:rsidRPr="00154FB3">
        <w:t xml:space="preserve">, where </w:t>
      </w:r>
      <w:r w:rsidRPr="00154FB3">
        <w:rPr>
          <w:i/>
        </w:rPr>
        <w:t>a</w:t>
      </w:r>
      <w:r w:rsidRPr="00154FB3">
        <w:t xml:space="preserve"> is a constant in the logistic model which indicates the relative position from the origin, and </w:t>
      </w:r>
      <w:r w:rsidRPr="00154FB3">
        <w:rPr>
          <w:i/>
        </w:rPr>
        <w:t>r</w:t>
      </w:r>
      <w:r w:rsidRPr="00154FB3">
        <w:t xml:space="preserve"> (d</w:t>
      </w:r>
      <w:r w:rsidRPr="00154FB3">
        <w:rPr>
          <w:vertAlign w:val="superscript"/>
        </w:rPr>
        <w:t>-1</w:t>
      </w:r>
      <w:r w:rsidRPr="00154FB3">
        <w:t>) is the specific growth rate. The data obtained were linearised in the form of a logistic growth model to assist in comparison of the growth rates. A regression line with a slope equal to the specific growth rate (</w:t>
      </w:r>
      <w:r w:rsidRPr="00154FB3">
        <w:rPr>
          <w:i/>
        </w:rPr>
        <w:t>r</w:t>
      </w:r>
      <w:r w:rsidRPr="00154FB3">
        <w:t>) was obtained.</w:t>
      </w:r>
    </w:p>
    <w:p w14:paraId="1DD19C12" w14:textId="59A701BF" w:rsidR="0028417F" w:rsidRPr="00154FB3" w:rsidRDefault="0028417F" w:rsidP="0028417F">
      <w:pPr>
        <w:ind w:firstLine="720"/>
        <w:jc w:val="both"/>
      </w:pPr>
      <w:r w:rsidRPr="00154FB3">
        <w:t>The same linear equation was also used to calculate the nutrient uptake rate. For the phosphate uptake rate, N (PO</w:t>
      </w:r>
      <w:r w:rsidRPr="00154FB3">
        <w:rPr>
          <w:vertAlign w:val="subscript"/>
        </w:rPr>
        <w:t>4</w:t>
      </w:r>
      <w:r w:rsidR="00D23E49" w:rsidRPr="00154FB3">
        <w:rPr>
          <w:vertAlign w:val="superscript"/>
        </w:rPr>
        <w:t>3-</w:t>
      </w:r>
      <w:r w:rsidRPr="00154FB3">
        <w:t xml:space="preserve"> mg</w:t>
      </w:r>
      <w:r w:rsidR="005F462C" w:rsidRPr="00154FB3">
        <w:t xml:space="preserve"> </w:t>
      </w:r>
      <w:r w:rsidRPr="00154FB3">
        <w:t>L</w:t>
      </w:r>
      <w:r w:rsidRPr="00154FB3">
        <w:rPr>
          <w:vertAlign w:val="superscript"/>
        </w:rPr>
        <w:t>-1</w:t>
      </w:r>
      <w:r w:rsidRPr="00154FB3">
        <w:t xml:space="preserve">) is the phosphate concentration at time </w:t>
      </w:r>
      <w:r w:rsidRPr="00154FB3">
        <w:rPr>
          <w:i/>
        </w:rPr>
        <w:t>t</w:t>
      </w:r>
      <w:r w:rsidRPr="00154FB3">
        <w:t xml:space="preserve"> (days), K (PO</w:t>
      </w:r>
      <w:r w:rsidRPr="00154FB3">
        <w:rPr>
          <w:vertAlign w:val="subscript"/>
        </w:rPr>
        <w:t>4</w:t>
      </w:r>
      <w:r w:rsidR="00D23E49" w:rsidRPr="00154FB3">
        <w:rPr>
          <w:vertAlign w:val="superscript"/>
        </w:rPr>
        <w:t>3-</w:t>
      </w:r>
      <w:r w:rsidRPr="00154FB3">
        <w:t xml:space="preserve"> mg</w:t>
      </w:r>
      <w:r w:rsidR="005F462C" w:rsidRPr="00154FB3">
        <w:t xml:space="preserve"> </w:t>
      </w:r>
      <w:r w:rsidRPr="00154FB3">
        <w:t>L</w:t>
      </w:r>
      <w:r w:rsidRPr="00154FB3">
        <w:rPr>
          <w:vertAlign w:val="superscript"/>
        </w:rPr>
        <w:t>-1</w:t>
      </w:r>
      <w:r w:rsidRPr="00154FB3">
        <w:t xml:space="preserve">) is the maximum phosphate concentration at the end of the experiment, and </w:t>
      </w:r>
      <w:r w:rsidRPr="00154FB3">
        <w:rPr>
          <w:i/>
        </w:rPr>
        <w:t xml:space="preserve">r </w:t>
      </w:r>
      <w:r w:rsidRPr="00154FB3">
        <w:t>(d</w:t>
      </w:r>
      <w:r w:rsidRPr="00154FB3">
        <w:rPr>
          <w:vertAlign w:val="superscript"/>
        </w:rPr>
        <w:t>-1</w:t>
      </w:r>
      <w:r w:rsidRPr="00154FB3">
        <w:t>) is the phosphate uptake rate</w:t>
      </w:r>
      <w:r w:rsidR="00F91C33" w:rsidRPr="00154FB3">
        <w:t xml:space="preserve">. </w:t>
      </w:r>
      <w:r w:rsidRPr="00154FB3">
        <w:t>The same procedures were used to calculate the ammonium, nitrite and nitrate uptake rates.</w:t>
      </w:r>
    </w:p>
    <w:p w14:paraId="0D5D2FEA" w14:textId="77777777" w:rsidR="0028417F" w:rsidRPr="00154FB3" w:rsidRDefault="0028417F" w:rsidP="0028417F">
      <w:pPr>
        <w:rPr>
          <w:i/>
        </w:rPr>
      </w:pPr>
      <w:r w:rsidRPr="00154FB3">
        <w:rPr>
          <w:i/>
        </w:rPr>
        <w:t>Nutrient removal percentage</w:t>
      </w:r>
    </w:p>
    <w:p w14:paraId="4B03E186" w14:textId="77777777" w:rsidR="0028417F" w:rsidRPr="00154FB3" w:rsidRDefault="0028417F" w:rsidP="00890E3B">
      <w:pPr>
        <w:ind w:firstLine="720"/>
        <w:jc w:val="both"/>
      </w:pPr>
      <w:r w:rsidRPr="00154FB3">
        <w:t>The percentage of nutrient removed from the medium after treatment was determined according to the following formula:</w:t>
      </w:r>
    </w:p>
    <w:p w14:paraId="6EEFB063" w14:textId="76FAF432" w:rsidR="0028417F" w:rsidRPr="00154FB3" w:rsidRDefault="0028417F" w:rsidP="00890E3B">
      <w:pPr>
        <w:jc w:val="both"/>
      </w:pPr>
      <w:r w:rsidRPr="00154FB3">
        <w:t>%N = ((N</w:t>
      </w:r>
      <w:r w:rsidRPr="00154FB3">
        <w:rPr>
          <w:vertAlign w:val="subscript"/>
        </w:rPr>
        <w:t>0</w:t>
      </w:r>
      <w:r w:rsidRPr="00154FB3">
        <w:t xml:space="preserve"> – N) x 100)/N</w:t>
      </w:r>
      <w:r w:rsidRPr="00154FB3">
        <w:rPr>
          <w:vertAlign w:val="subscript"/>
        </w:rPr>
        <w:t xml:space="preserve">0, </w:t>
      </w:r>
      <w:r w:rsidRPr="00154FB3">
        <w:t>where %N is the percentage of nutrient elimination at the end of the treatment for phosphate, ammonium, nitrite, or nitrate</w:t>
      </w:r>
      <w:r w:rsidR="005F462C" w:rsidRPr="00154FB3">
        <w:t>,</w:t>
      </w:r>
      <w:r w:rsidRPr="00154FB3">
        <w:t xml:space="preserve"> N</w:t>
      </w:r>
      <w:r w:rsidRPr="00154FB3">
        <w:rPr>
          <w:vertAlign w:val="subscript"/>
        </w:rPr>
        <w:t>0</w:t>
      </w:r>
      <w:r w:rsidRPr="00154FB3">
        <w:t xml:space="preserve"> is the initial nutrient concentration, and N = nutrient concentration in mg</w:t>
      </w:r>
      <w:r w:rsidR="005F462C" w:rsidRPr="00154FB3">
        <w:t xml:space="preserve"> </w:t>
      </w:r>
      <w:r w:rsidRPr="00154FB3">
        <w:t>L</w:t>
      </w:r>
      <w:r w:rsidR="00BD1373" w:rsidRPr="00154FB3">
        <w:rPr>
          <w:vertAlign w:val="superscript"/>
        </w:rPr>
        <w:t>-1</w:t>
      </w:r>
      <w:r w:rsidRPr="00154FB3">
        <w:t>.</w:t>
      </w:r>
    </w:p>
    <w:p w14:paraId="7C4EB694" w14:textId="77777777" w:rsidR="000D46B6" w:rsidRPr="00154FB3" w:rsidRDefault="000D46B6" w:rsidP="00890E3B">
      <w:pPr>
        <w:jc w:val="both"/>
        <w:rPr>
          <w:i/>
        </w:rPr>
      </w:pPr>
    </w:p>
    <w:p w14:paraId="72BF4C44" w14:textId="77777777" w:rsidR="00EF164B" w:rsidRPr="00154FB3" w:rsidRDefault="00EF164B" w:rsidP="00890E3B">
      <w:pPr>
        <w:jc w:val="both"/>
        <w:rPr>
          <w:i/>
        </w:rPr>
      </w:pPr>
      <w:r w:rsidRPr="00154FB3">
        <w:rPr>
          <w:i/>
        </w:rPr>
        <w:t>Statistical Analysis</w:t>
      </w:r>
    </w:p>
    <w:p w14:paraId="2FDDBA53" w14:textId="34B40BAF" w:rsidR="0028417F" w:rsidRPr="00154FB3" w:rsidRDefault="00EF164B" w:rsidP="00890E3B">
      <w:pPr>
        <w:pStyle w:val="Newparagraph"/>
        <w:ind w:firstLine="0"/>
        <w:jc w:val="both"/>
      </w:pPr>
      <w:r w:rsidRPr="00154FB3">
        <w:t xml:space="preserve">Statistical analyses were performed </w:t>
      </w:r>
      <w:r w:rsidR="005F462C" w:rsidRPr="00154FB3">
        <w:t xml:space="preserve">using </w:t>
      </w:r>
      <w:r w:rsidRPr="00154FB3">
        <w:t xml:space="preserve">IBM SPSS Statistics 20. </w:t>
      </w:r>
      <w:r w:rsidR="005F462C" w:rsidRPr="00154FB3">
        <w:t xml:space="preserve">The </w:t>
      </w:r>
      <w:r w:rsidR="0028417F" w:rsidRPr="00154FB3">
        <w:t xml:space="preserve">Mann-Whitney U test </w:t>
      </w:r>
      <w:r w:rsidR="005F462C" w:rsidRPr="00154FB3">
        <w:t xml:space="preserve">was used </w:t>
      </w:r>
      <w:r w:rsidR="0028417F" w:rsidRPr="00154FB3">
        <w:t>to determine significant differences</w:t>
      </w:r>
      <w:r w:rsidRPr="00154FB3">
        <w:t xml:space="preserve"> </w:t>
      </w:r>
      <w:r w:rsidR="0028417F" w:rsidRPr="00154FB3">
        <w:t xml:space="preserve">in the </w:t>
      </w:r>
      <w:r w:rsidRPr="00154FB3">
        <w:t xml:space="preserve">orthophosphate, ammonium, nitrite and nitrate </w:t>
      </w:r>
      <w:r w:rsidR="0028417F" w:rsidRPr="00154FB3">
        <w:t>removal and algal growth be</w:t>
      </w:r>
      <w:r w:rsidR="001744AF" w:rsidRPr="00154FB3">
        <w:t>twe</w:t>
      </w:r>
      <w:r w:rsidR="0028417F" w:rsidRPr="00154FB3">
        <w:t>en free and immobilised cell</w:t>
      </w:r>
      <w:r w:rsidR="005F462C" w:rsidRPr="00154FB3">
        <w:t xml:space="preserve"> cultures</w:t>
      </w:r>
      <w:r w:rsidR="0028417F" w:rsidRPr="00154FB3">
        <w:t xml:space="preserve">. </w:t>
      </w:r>
      <w:r w:rsidR="005F462C" w:rsidRPr="00154FB3">
        <w:t>Comparisons</w:t>
      </w:r>
      <w:r w:rsidR="001744AF" w:rsidRPr="00154FB3">
        <w:t xml:space="preserve"> of all the dependent variables between the low tide PRE and high tide PRE water samples were analysed using</w:t>
      </w:r>
      <w:r w:rsidR="005F462C" w:rsidRPr="00154FB3">
        <w:t xml:space="preserve"> the</w:t>
      </w:r>
      <w:r w:rsidR="001744AF" w:rsidRPr="00154FB3">
        <w:t xml:space="preserve"> Kruskal Wallis H test. All</w:t>
      </w:r>
      <w:r w:rsidRPr="00154FB3">
        <w:t xml:space="preserve"> the experiments were conducted in triplicate, and all data are presented as the mean ± standard error.</w:t>
      </w:r>
    </w:p>
    <w:p w14:paraId="6841D219" w14:textId="77777777" w:rsidR="00997B0F" w:rsidRPr="00154FB3" w:rsidRDefault="0028417F" w:rsidP="00106DAF">
      <w:pPr>
        <w:pStyle w:val="Heading3"/>
        <w:rPr>
          <w:rFonts w:cs="Times New Roman"/>
          <w:b/>
          <w:i w:val="0"/>
          <w:szCs w:val="24"/>
        </w:rPr>
      </w:pPr>
      <w:r w:rsidRPr="00154FB3">
        <w:rPr>
          <w:rFonts w:cs="Times New Roman"/>
          <w:b/>
          <w:i w:val="0"/>
          <w:szCs w:val="24"/>
        </w:rPr>
        <w:lastRenderedPageBreak/>
        <w:t>Results</w:t>
      </w:r>
    </w:p>
    <w:p w14:paraId="40260204" w14:textId="77777777" w:rsidR="004A3945" w:rsidRPr="00154FB3" w:rsidRDefault="004A3945" w:rsidP="004A3945">
      <w:pPr>
        <w:rPr>
          <w:i/>
        </w:rPr>
      </w:pPr>
      <w:r w:rsidRPr="00154FB3">
        <w:rPr>
          <w:b/>
          <w:i/>
        </w:rPr>
        <w:t xml:space="preserve">Algal growth </w:t>
      </w:r>
    </w:p>
    <w:p w14:paraId="0D2833BD" w14:textId="44EA5D38" w:rsidR="004A3945" w:rsidRPr="00154FB3" w:rsidRDefault="004A3945" w:rsidP="004A3945">
      <w:pPr>
        <w:pStyle w:val="Paragraph"/>
        <w:ind w:firstLine="720"/>
        <w:jc w:val="both"/>
      </w:pPr>
      <w:r w:rsidRPr="00154FB3">
        <w:t>Table 1 shows the initial concentration</w:t>
      </w:r>
      <w:r w:rsidR="005F462C" w:rsidRPr="00154FB3">
        <w:t>s</w:t>
      </w:r>
      <w:r w:rsidRPr="00154FB3">
        <w:t xml:space="preserve"> of phosphate, ammonium, nitrite and nitrate in water samples from the Pinang River estuary (PRE) at low and high tide. The growth rate of </w:t>
      </w:r>
      <w:r w:rsidRPr="00154FB3">
        <w:rPr>
          <w:i/>
        </w:rPr>
        <w:t>S. bijugatus</w:t>
      </w:r>
      <w:r w:rsidRPr="00154FB3">
        <w:t xml:space="preserve"> free cells was signi</w:t>
      </w:r>
      <w:r w:rsidR="001446F2" w:rsidRPr="00154FB3">
        <w:t xml:space="preserve">ficantly different compared to </w:t>
      </w:r>
      <w:r w:rsidRPr="00154FB3">
        <w:t>immobilised cells when incubated in low tide PRE water samples (p &lt; 0.05), whereas no significant difference was evident when incubated in high tide PRE water samples</w:t>
      </w:r>
      <w:r w:rsidR="00BD1373" w:rsidRPr="00154FB3">
        <w:t xml:space="preserve"> </w:t>
      </w:r>
      <w:r w:rsidRPr="00154FB3">
        <w:t xml:space="preserve">(p &gt; 0.05) (Figure 2). </w:t>
      </w:r>
      <w:r w:rsidR="001446F2" w:rsidRPr="00154FB3">
        <w:t>T</w:t>
      </w:r>
      <w:r w:rsidRPr="00154FB3">
        <w:t xml:space="preserve">he maximum biomass of </w:t>
      </w:r>
      <w:r w:rsidRPr="00154FB3">
        <w:rPr>
          <w:i/>
        </w:rPr>
        <w:t>S. bijugatus</w:t>
      </w:r>
      <w:r w:rsidRPr="00154FB3">
        <w:t xml:space="preserve"> achieved for both free and immobilised cells was higher for low tide PRE than high tide PRE</w:t>
      </w:r>
      <w:r w:rsidR="001446F2" w:rsidRPr="00154FB3">
        <w:t xml:space="preserve"> (Table 2)</w:t>
      </w:r>
      <w:r w:rsidRPr="00154FB3">
        <w:t xml:space="preserve">. The growth rates of </w:t>
      </w:r>
      <w:r w:rsidRPr="00154FB3">
        <w:rPr>
          <w:i/>
        </w:rPr>
        <w:t>S. bijugatus</w:t>
      </w:r>
      <w:r w:rsidRPr="00154FB3">
        <w:t xml:space="preserve"> in low tide PRE for free cells and immobilised cells were 0.285±0.003 µg/mL/d and 0.062±0.158 µg/mL/d, respectively.</w:t>
      </w:r>
    </w:p>
    <w:p w14:paraId="5A559CCB" w14:textId="77777777" w:rsidR="004A3945" w:rsidRPr="00154FB3" w:rsidRDefault="00271AD2" w:rsidP="004A3945">
      <w:pPr>
        <w:autoSpaceDE w:val="0"/>
        <w:autoSpaceDN w:val="0"/>
        <w:adjustRightInd w:val="0"/>
        <w:spacing w:line="240" w:lineRule="auto"/>
        <w:jc w:val="both"/>
        <w:rPr>
          <w:shd w:val="clear" w:color="auto" w:fill="FFFFFF"/>
        </w:rPr>
      </w:pPr>
      <w:hyperlink r:id="rId9" w:history="1">
        <w:r w:rsidR="004A3945" w:rsidRPr="00154FB3">
          <w:rPr>
            <w:rStyle w:val="Hyperlink"/>
            <w:shd w:val="clear" w:color="auto" w:fill="FFFFFF"/>
          </w:rPr>
          <w:t xml:space="preserve">Table 1 </w:t>
        </w:r>
        <w:r w:rsidR="004A3945" w:rsidRPr="00154FB3">
          <w:rPr>
            <w:rStyle w:val="Hyperlink"/>
          </w:rPr>
          <w:t>Initial nutrient concentration and salinity of water samples during sampling</w:t>
        </w:r>
      </w:hyperlink>
    </w:p>
    <w:p w14:paraId="216D0E5C" w14:textId="77777777" w:rsidR="004A3945" w:rsidRPr="00154FB3" w:rsidRDefault="00A759EE" w:rsidP="00A759EE">
      <w:pPr>
        <w:tabs>
          <w:tab w:val="left" w:pos="6132"/>
        </w:tabs>
        <w:spacing w:line="240" w:lineRule="auto"/>
        <w:rPr>
          <w:b/>
        </w:rPr>
      </w:pPr>
      <w:r w:rsidRPr="00154FB3">
        <w:rPr>
          <w:b/>
        </w:rPr>
        <w:tab/>
      </w:r>
    </w:p>
    <w:p w14:paraId="6FCCA780" w14:textId="77777777" w:rsidR="004A3945" w:rsidRPr="00154FB3" w:rsidRDefault="00271AD2" w:rsidP="00AB6139">
      <w:pPr>
        <w:pStyle w:val="Newparagraph"/>
        <w:spacing w:line="240" w:lineRule="auto"/>
        <w:ind w:firstLine="0"/>
        <w:jc w:val="both"/>
      </w:pPr>
      <w:hyperlink r:id="rId10" w:history="1">
        <w:r w:rsidR="004A3945" w:rsidRPr="00154FB3">
          <w:rPr>
            <w:rStyle w:val="Hyperlink"/>
          </w:rPr>
          <w:t xml:space="preserve">Figure 2: (A) Growth curves of </w:t>
        </w:r>
        <w:r w:rsidR="004A3945" w:rsidRPr="00154FB3">
          <w:rPr>
            <w:rStyle w:val="Hyperlink"/>
            <w:i/>
          </w:rPr>
          <w:t>S. bijugatus</w:t>
        </w:r>
        <w:r w:rsidR="004A3945" w:rsidRPr="00154FB3">
          <w:rPr>
            <w:rStyle w:val="Hyperlink"/>
          </w:rPr>
          <w:t xml:space="preserve"> free cells (</w:t>
        </w:r>
        <w:r w:rsidR="004A3945" w:rsidRPr="00154FB3">
          <w:rPr>
            <w:rStyle w:val="Hyperlink"/>
            <w:noProof/>
          </w:rPr>
          <w:drawing>
            <wp:inline distT="0" distB="0" distL="0" distR="0" wp14:anchorId="402B4297" wp14:editId="56A67452">
              <wp:extent cx="133350" cy="1714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004A3945" w:rsidRPr="00154FB3">
          <w:rPr>
            <w:rStyle w:val="Hyperlink"/>
          </w:rPr>
          <w:t>) and immobilised cells (</w:t>
        </w:r>
        <w:r w:rsidR="004A3945" w:rsidRPr="00154FB3">
          <w:rPr>
            <w:rStyle w:val="Hyperlink"/>
            <w:noProof/>
          </w:rPr>
          <w:drawing>
            <wp:inline distT="0" distB="0" distL="0" distR="0" wp14:anchorId="4AC942FB" wp14:editId="261B852E">
              <wp:extent cx="173990" cy="173990"/>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73990" cy="173990"/>
                      </a:xfrm>
                      <a:prstGeom prst="rect">
                        <a:avLst/>
                      </a:prstGeom>
                      <a:noFill/>
                      <a:ln w="9525">
                        <a:noFill/>
                        <a:miter lim="800000"/>
                        <a:headEnd/>
                        <a:tailEnd/>
                      </a:ln>
                    </pic:spPr>
                  </pic:pic>
                </a:graphicData>
              </a:graphic>
            </wp:inline>
          </w:drawing>
        </w:r>
        <w:r w:rsidR="004A3945" w:rsidRPr="00154FB3">
          <w:rPr>
            <w:rStyle w:val="Hyperlink"/>
          </w:rPr>
          <w:t xml:space="preserve">) incubated in low tide PRE water; (B) Growth curves of </w:t>
        </w:r>
        <w:r w:rsidR="004A3945" w:rsidRPr="00154FB3">
          <w:rPr>
            <w:rStyle w:val="Hyperlink"/>
            <w:i/>
          </w:rPr>
          <w:t>S. bijugatus</w:t>
        </w:r>
        <w:r w:rsidR="004A3945" w:rsidRPr="00154FB3">
          <w:rPr>
            <w:rStyle w:val="Hyperlink"/>
          </w:rPr>
          <w:t xml:space="preserve"> free cells (</w:t>
        </w:r>
        <w:r w:rsidR="004A3945" w:rsidRPr="00154FB3">
          <w:rPr>
            <w:rStyle w:val="Hyperlink"/>
            <w:noProof/>
          </w:rPr>
          <w:drawing>
            <wp:inline distT="0" distB="0" distL="0" distR="0" wp14:anchorId="08D10211" wp14:editId="5548FD2C">
              <wp:extent cx="133350" cy="1714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004A3945" w:rsidRPr="00154FB3">
          <w:rPr>
            <w:rStyle w:val="Hyperlink"/>
          </w:rPr>
          <w:t>) and immobilised cells (</w:t>
        </w:r>
        <w:r w:rsidR="004A3945" w:rsidRPr="00154FB3">
          <w:rPr>
            <w:rStyle w:val="Hyperlink"/>
            <w:noProof/>
          </w:rPr>
          <w:drawing>
            <wp:inline distT="0" distB="0" distL="0" distR="0" wp14:anchorId="6C256742" wp14:editId="71F74CDA">
              <wp:extent cx="173990" cy="173990"/>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73990" cy="173990"/>
                      </a:xfrm>
                      <a:prstGeom prst="rect">
                        <a:avLst/>
                      </a:prstGeom>
                      <a:noFill/>
                      <a:ln w="9525">
                        <a:noFill/>
                        <a:miter lim="800000"/>
                        <a:headEnd/>
                        <a:tailEnd/>
                      </a:ln>
                    </pic:spPr>
                  </pic:pic>
                </a:graphicData>
              </a:graphic>
            </wp:inline>
          </w:drawing>
        </w:r>
        <w:r w:rsidR="004A3945" w:rsidRPr="00154FB3">
          <w:rPr>
            <w:rStyle w:val="Hyperlink"/>
          </w:rPr>
          <w:t>) incubated in high tide PRE water. The bars show standard error; PRE: Pinang River estuary</w:t>
        </w:r>
      </w:hyperlink>
    </w:p>
    <w:p w14:paraId="1942CFAA" w14:textId="77777777" w:rsidR="004A3945" w:rsidRPr="00154FB3" w:rsidRDefault="004A3945" w:rsidP="004A3945">
      <w:pPr>
        <w:pStyle w:val="Newparagraph"/>
        <w:spacing w:line="240" w:lineRule="auto"/>
        <w:ind w:firstLine="0"/>
      </w:pPr>
    </w:p>
    <w:p w14:paraId="33257178" w14:textId="77777777" w:rsidR="004A3945" w:rsidRPr="00154FB3" w:rsidRDefault="00271AD2" w:rsidP="004A3945">
      <w:pPr>
        <w:spacing w:line="240" w:lineRule="auto"/>
        <w:jc w:val="both"/>
      </w:pPr>
      <w:hyperlink r:id="rId13" w:history="1">
        <w:r w:rsidR="004A3945" w:rsidRPr="00154FB3">
          <w:rPr>
            <w:rStyle w:val="Hyperlink"/>
          </w:rPr>
          <w:t xml:space="preserve">Table 2 Linearised logistic growth model for the growth, phosphate, ammonium, nitrite and nitrate uptake of </w:t>
        </w:r>
        <w:r w:rsidR="004A3945" w:rsidRPr="00154FB3">
          <w:rPr>
            <w:rStyle w:val="Hyperlink"/>
            <w:i/>
          </w:rPr>
          <w:t>S. bijugatus</w:t>
        </w:r>
        <w:r w:rsidR="004A3945" w:rsidRPr="00154FB3">
          <w:rPr>
            <w:rStyle w:val="Hyperlink"/>
          </w:rPr>
          <w:t xml:space="preserve"> free and immobilised cells</w:t>
        </w:r>
      </w:hyperlink>
    </w:p>
    <w:p w14:paraId="3E7ED1B9" w14:textId="77777777" w:rsidR="004A3945" w:rsidRPr="00154FB3" w:rsidRDefault="004A3945" w:rsidP="004A3945">
      <w:pPr>
        <w:pStyle w:val="Newparagraph"/>
        <w:spacing w:line="240" w:lineRule="auto"/>
        <w:ind w:firstLine="0"/>
        <w:rPr>
          <w:sz w:val="20"/>
          <w:szCs w:val="20"/>
        </w:rPr>
      </w:pPr>
    </w:p>
    <w:p w14:paraId="22408AD6" w14:textId="77777777" w:rsidR="002D480C" w:rsidRPr="00154FB3" w:rsidRDefault="002D480C" w:rsidP="004A3945">
      <w:pPr>
        <w:rPr>
          <w:b/>
          <w:i/>
          <w:shd w:val="clear" w:color="auto" w:fill="FFFFFF"/>
        </w:rPr>
      </w:pPr>
    </w:p>
    <w:p w14:paraId="211B0B69" w14:textId="77777777" w:rsidR="004A3945" w:rsidRPr="00154FB3" w:rsidRDefault="004A3945" w:rsidP="004A3945">
      <w:pPr>
        <w:rPr>
          <w:b/>
          <w:i/>
          <w:shd w:val="clear" w:color="auto" w:fill="FFFFFF"/>
        </w:rPr>
      </w:pPr>
      <w:r w:rsidRPr="00154FB3">
        <w:rPr>
          <w:b/>
          <w:i/>
          <w:shd w:val="clear" w:color="auto" w:fill="FFFFFF"/>
        </w:rPr>
        <w:t>Phosphate, ammonium, nitrite and nitrate uptake</w:t>
      </w:r>
    </w:p>
    <w:p w14:paraId="2591828E" w14:textId="1D5DF6C0" w:rsidR="004A3945" w:rsidRPr="00154FB3" w:rsidRDefault="004A3945" w:rsidP="002D480C">
      <w:pPr>
        <w:pStyle w:val="Newparagraph"/>
        <w:jc w:val="both"/>
        <w:rPr>
          <w:shd w:val="clear" w:color="auto" w:fill="FFFFFF"/>
        </w:rPr>
      </w:pPr>
      <w:r w:rsidRPr="00154FB3">
        <w:rPr>
          <w:i/>
          <w:shd w:val="clear" w:color="auto" w:fill="FFFFFF"/>
        </w:rPr>
        <w:t xml:space="preserve">S. bijugatus </w:t>
      </w:r>
      <w:r w:rsidRPr="00154FB3">
        <w:rPr>
          <w:shd w:val="clear" w:color="auto" w:fill="FFFFFF"/>
        </w:rPr>
        <w:t>free cells showed a higher phosphate uptake rate (</w:t>
      </w:r>
      <w:r w:rsidRPr="00154FB3">
        <w:t>0.359±0.003 µg/mL/d</w:t>
      </w:r>
      <w:r w:rsidRPr="00154FB3">
        <w:rPr>
          <w:shd w:val="clear" w:color="auto" w:fill="FFFFFF"/>
        </w:rPr>
        <w:t>) compared to immobilised cells (</w:t>
      </w:r>
      <w:r w:rsidRPr="00154FB3">
        <w:t>0.251±0.002 µg/mL/d</w:t>
      </w:r>
      <w:r w:rsidRPr="00154FB3">
        <w:rPr>
          <w:sz w:val="20"/>
          <w:szCs w:val="20"/>
        </w:rPr>
        <w:t>)</w:t>
      </w:r>
      <w:r w:rsidRPr="00154FB3">
        <w:rPr>
          <w:shd w:val="clear" w:color="auto" w:fill="FFFFFF"/>
        </w:rPr>
        <w:t xml:space="preserve"> when incubated in low tide PRE water (p&gt;0.05) (Table 2). The removal was </w:t>
      </w:r>
      <w:r w:rsidR="004C4CC9" w:rsidRPr="00154FB3">
        <w:rPr>
          <w:shd w:val="clear" w:color="auto" w:fill="FFFFFF"/>
        </w:rPr>
        <w:t xml:space="preserve">quite </w:t>
      </w:r>
      <w:r w:rsidRPr="00154FB3">
        <w:rPr>
          <w:shd w:val="clear" w:color="auto" w:fill="FFFFFF"/>
        </w:rPr>
        <w:t xml:space="preserve">similar (60-80%) between the free and immobilised </w:t>
      </w:r>
      <w:r w:rsidRPr="00154FB3">
        <w:rPr>
          <w:i/>
          <w:shd w:val="clear" w:color="auto" w:fill="FFFFFF"/>
        </w:rPr>
        <w:t>S. bijugatus</w:t>
      </w:r>
      <w:r w:rsidRPr="00154FB3">
        <w:rPr>
          <w:shd w:val="clear" w:color="auto" w:fill="FFFFFF"/>
        </w:rPr>
        <w:t xml:space="preserve"> cells incubated in both low and high tide PRE water (Table 3). Immobilised blank beads showed significant phosphate removal (80%) due to the chelating effects of the alginate beads towards phosphate</w:t>
      </w:r>
      <w:r w:rsidR="004C4CC9" w:rsidRPr="00154FB3">
        <w:rPr>
          <w:shd w:val="clear" w:color="auto" w:fill="FFFFFF"/>
        </w:rPr>
        <w:t xml:space="preserve"> ions</w:t>
      </w:r>
      <w:r w:rsidRPr="00154FB3">
        <w:rPr>
          <w:shd w:val="clear" w:color="auto" w:fill="FFFFFF"/>
        </w:rPr>
        <w:t xml:space="preserve"> (Table 3).</w:t>
      </w:r>
    </w:p>
    <w:p w14:paraId="5A4A3908" w14:textId="38CFE89C" w:rsidR="009D2EFB" w:rsidRPr="00154FB3" w:rsidRDefault="00443BA6" w:rsidP="002D480C">
      <w:pPr>
        <w:pStyle w:val="Newparagraph"/>
        <w:spacing w:line="240" w:lineRule="auto"/>
        <w:ind w:firstLine="0"/>
        <w:jc w:val="both"/>
      </w:pPr>
      <w:hyperlink r:id="rId14" w:history="1">
        <w:r w:rsidR="004A3945" w:rsidRPr="00154FB3">
          <w:rPr>
            <w:rStyle w:val="Hyperlink"/>
          </w:rPr>
          <w:t xml:space="preserve">Figure 3: (A) Phosphate concentration during ten days in a </w:t>
        </w:r>
        <w:r w:rsidR="004A3945" w:rsidRPr="00154FB3">
          <w:rPr>
            <w:rStyle w:val="Hyperlink"/>
            <w:i/>
          </w:rPr>
          <w:t>S. bijugatus</w:t>
        </w:r>
        <w:r w:rsidR="004A3945" w:rsidRPr="00154FB3">
          <w:rPr>
            <w:rStyle w:val="Hyperlink"/>
          </w:rPr>
          <w:t xml:space="preserve"> free cell culture (</w:t>
        </w:r>
        <w:r w:rsidR="004A3945" w:rsidRPr="00154FB3">
          <w:rPr>
            <w:rStyle w:val="Hyperlink"/>
            <w:noProof/>
          </w:rPr>
          <w:drawing>
            <wp:inline distT="0" distB="0" distL="0" distR="0" wp14:anchorId="374C4D65" wp14:editId="0541DB76">
              <wp:extent cx="133350" cy="171450"/>
              <wp:effectExtent l="19050" t="0" r="0"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004A3945" w:rsidRPr="00154FB3">
          <w:rPr>
            <w:rStyle w:val="Hyperlink"/>
          </w:rPr>
          <w:t>) and an immobilised cell culture (</w:t>
        </w:r>
        <w:r w:rsidR="004A3945" w:rsidRPr="00154FB3">
          <w:rPr>
            <w:rStyle w:val="Hyperlink"/>
            <w:noProof/>
          </w:rPr>
          <w:drawing>
            <wp:inline distT="0" distB="0" distL="0" distR="0" wp14:anchorId="4A8CE115" wp14:editId="19A3CAB5">
              <wp:extent cx="173990" cy="173990"/>
              <wp:effectExtent l="19050" t="0" r="0"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73990" cy="173990"/>
                      </a:xfrm>
                      <a:prstGeom prst="rect">
                        <a:avLst/>
                      </a:prstGeom>
                      <a:noFill/>
                      <a:ln w="9525">
                        <a:noFill/>
                        <a:miter lim="800000"/>
                        <a:headEnd/>
                        <a:tailEnd/>
                      </a:ln>
                    </pic:spPr>
                  </pic:pic>
                </a:graphicData>
              </a:graphic>
            </wp:inline>
          </w:drawing>
        </w:r>
        <w:r w:rsidR="004A3945" w:rsidRPr="00154FB3">
          <w:rPr>
            <w:rStyle w:val="Hyperlink"/>
          </w:rPr>
          <w:t xml:space="preserve">) incubated in low tide PRE water. (B) Phosphate concentration during the ten-day </w:t>
        </w:r>
        <w:r w:rsidR="004C4CC9" w:rsidRPr="00154FB3">
          <w:rPr>
            <w:rStyle w:val="Hyperlink"/>
          </w:rPr>
          <w:t xml:space="preserve">experimental study </w:t>
        </w:r>
        <w:r w:rsidR="004A3945" w:rsidRPr="00154FB3">
          <w:rPr>
            <w:rStyle w:val="Hyperlink"/>
          </w:rPr>
          <w:t>with</w:t>
        </w:r>
        <w:r w:rsidR="004A3945" w:rsidRPr="00154FB3">
          <w:rPr>
            <w:rStyle w:val="Hyperlink"/>
            <w:i/>
          </w:rPr>
          <w:t xml:space="preserve"> S. bijugatus</w:t>
        </w:r>
        <w:r w:rsidR="004A3945" w:rsidRPr="00154FB3">
          <w:rPr>
            <w:rStyle w:val="Hyperlink"/>
          </w:rPr>
          <w:t xml:space="preserve"> free cell cultures (</w:t>
        </w:r>
        <w:r w:rsidR="004A3945" w:rsidRPr="00154FB3">
          <w:rPr>
            <w:rStyle w:val="Hyperlink"/>
            <w:noProof/>
          </w:rPr>
          <w:drawing>
            <wp:inline distT="0" distB="0" distL="0" distR="0" wp14:anchorId="3BA440B2" wp14:editId="2752B652">
              <wp:extent cx="133350" cy="171450"/>
              <wp:effectExtent l="1905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004A3945" w:rsidRPr="00154FB3">
          <w:rPr>
            <w:rStyle w:val="Hyperlink"/>
          </w:rPr>
          <w:t>) and immobilised cell cultures (</w:t>
        </w:r>
        <w:r w:rsidR="004A3945" w:rsidRPr="00154FB3">
          <w:rPr>
            <w:rStyle w:val="Hyperlink"/>
            <w:noProof/>
          </w:rPr>
          <w:drawing>
            <wp:inline distT="0" distB="0" distL="0" distR="0" wp14:anchorId="2B293079" wp14:editId="66354CC6">
              <wp:extent cx="173990" cy="173990"/>
              <wp:effectExtent l="19050" t="0" r="0" b="0"/>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73990" cy="173990"/>
                      </a:xfrm>
                      <a:prstGeom prst="rect">
                        <a:avLst/>
                      </a:prstGeom>
                      <a:noFill/>
                      <a:ln w="9525">
                        <a:noFill/>
                        <a:miter lim="800000"/>
                        <a:headEnd/>
                        <a:tailEnd/>
                      </a:ln>
                    </pic:spPr>
                  </pic:pic>
                </a:graphicData>
              </a:graphic>
            </wp:inline>
          </w:drawing>
        </w:r>
        <w:r w:rsidR="004A3945" w:rsidRPr="00154FB3">
          <w:rPr>
            <w:rStyle w:val="Hyperlink"/>
          </w:rPr>
          <w:t>) incubated in high tide PRE water. The bars show standard error. PRE: Pinang River estuary</w:t>
        </w:r>
      </w:hyperlink>
    </w:p>
    <w:p w14:paraId="6C7AD1A1" w14:textId="77777777" w:rsidR="009D2EFB" w:rsidRPr="00154FB3" w:rsidRDefault="009D2EFB" w:rsidP="00DC1FE8">
      <w:pPr>
        <w:spacing w:line="240" w:lineRule="auto"/>
      </w:pPr>
    </w:p>
    <w:p w14:paraId="3EC8F2A4" w14:textId="1B1B7FBE" w:rsidR="00DC1FE8" w:rsidRPr="00154FB3" w:rsidRDefault="00443BA6" w:rsidP="00DC1FE8">
      <w:pPr>
        <w:spacing w:line="240" w:lineRule="auto"/>
      </w:pPr>
      <w:hyperlink r:id="rId15" w:history="1">
        <w:r w:rsidR="00DC1FE8" w:rsidRPr="00154FB3">
          <w:rPr>
            <w:rStyle w:val="Hyperlink"/>
          </w:rPr>
          <w:t>Table 3 Phosphate, ammonium, nitrite and nitrate removal percentage</w:t>
        </w:r>
        <w:r w:rsidR="004C4CC9" w:rsidRPr="00154FB3">
          <w:rPr>
            <w:rStyle w:val="Hyperlink"/>
          </w:rPr>
          <w:t>s</w:t>
        </w:r>
        <w:r w:rsidR="00DC1FE8" w:rsidRPr="00154FB3">
          <w:rPr>
            <w:rStyle w:val="Hyperlink"/>
          </w:rPr>
          <w:t xml:space="preserve"> from the Pinang River estuary </w:t>
        </w:r>
        <w:r w:rsidR="004C4CC9" w:rsidRPr="00154FB3">
          <w:rPr>
            <w:rStyle w:val="Hyperlink"/>
          </w:rPr>
          <w:t xml:space="preserve">under the </w:t>
        </w:r>
        <w:r w:rsidR="00DC1FE8" w:rsidRPr="00154FB3">
          <w:rPr>
            <w:rStyle w:val="Hyperlink"/>
          </w:rPr>
          <w:t xml:space="preserve">four </w:t>
        </w:r>
        <w:r w:rsidR="004C4CC9" w:rsidRPr="00154FB3">
          <w:rPr>
            <w:rStyle w:val="Hyperlink"/>
          </w:rPr>
          <w:t xml:space="preserve">experimental </w:t>
        </w:r>
        <w:r w:rsidR="00DC1FE8" w:rsidRPr="00154FB3">
          <w:rPr>
            <w:rStyle w:val="Hyperlink"/>
          </w:rPr>
          <w:t>treatments</w:t>
        </w:r>
      </w:hyperlink>
      <w:r w:rsidR="00DC1FE8" w:rsidRPr="00154FB3">
        <w:t xml:space="preserve"> </w:t>
      </w:r>
    </w:p>
    <w:p w14:paraId="3E115FCF" w14:textId="77777777" w:rsidR="00DC1FE8" w:rsidRPr="00154FB3" w:rsidRDefault="00DC1FE8" w:rsidP="00DC1FE8">
      <w:pPr>
        <w:pStyle w:val="Newparagraph"/>
        <w:spacing w:line="240" w:lineRule="auto"/>
        <w:ind w:firstLine="0"/>
        <w:jc w:val="both"/>
        <w:rPr>
          <w:sz w:val="16"/>
          <w:szCs w:val="16"/>
        </w:rPr>
      </w:pPr>
    </w:p>
    <w:p w14:paraId="3B95670F" w14:textId="77777777" w:rsidR="00DC1FE8" w:rsidRPr="00154FB3" w:rsidRDefault="00DC1FE8" w:rsidP="00DC1FE8">
      <w:pPr>
        <w:pStyle w:val="Newparagraph"/>
        <w:spacing w:line="240" w:lineRule="auto"/>
        <w:ind w:firstLine="0"/>
        <w:jc w:val="both"/>
        <w:rPr>
          <w:sz w:val="16"/>
          <w:szCs w:val="16"/>
        </w:rPr>
      </w:pPr>
    </w:p>
    <w:p w14:paraId="6D9F82A3" w14:textId="6FC195B6" w:rsidR="00932047" w:rsidRPr="00154FB3" w:rsidRDefault="00DC1FE8" w:rsidP="009D2EFB">
      <w:pPr>
        <w:pStyle w:val="Newparagraph"/>
        <w:jc w:val="both"/>
        <w:rPr>
          <w:shd w:val="clear" w:color="auto" w:fill="FFFFFF"/>
        </w:rPr>
      </w:pPr>
      <w:r w:rsidRPr="00154FB3">
        <w:rPr>
          <w:shd w:val="clear" w:color="auto" w:fill="FFFFFF"/>
        </w:rPr>
        <w:t xml:space="preserve">Free and immobilised cells of </w:t>
      </w:r>
      <w:r w:rsidRPr="00154FB3">
        <w:rPr>
          <w:i/>
          <w:shd w:val="clear" w:color="auto" w:fill="FFFFFF"/>
        </w:rPr>
        <w:t>S. bijugatus</w:t>
      </w:r>
      <w:r w:rsidRPr="00154FB3">
        <w:rPr>
          <w:shd w:val="clear" w:color="auto" w:fill="FFFFFF"/>
        </w:rPr>
        <w:t xml:space="preserve"> incubated in low tide PRE</w:t>
      </w:r>
      <w:r w:rsidR="004C4CC9" w:rsidRPr="00154FB3">
        <w:rPr>
          <w:shd w:val="clear" w:color="auto" w:fill="FFFFFF"/>
        </w:rPr>
        <w:t xml:space="preserve"> water</w:t>
      </w:r>
      <w:r w:rsidRPr="00154FB3">
        <w:rPr>
          <w:shd w:val="clear" w:color="auto" w:fill="FFFFFF"/>
        </w:rPr>
        <w:t xml:space="preserve"> had a higher ammonium uptake than when incubated in high tide PRE water (Table 2). However, no significant difference in ammonium uptake was evident between the free and immobilised cells in both low and high tide PRE water (p&gt;0.05)</w:t>
      </w:r>
      <w:r w:rsidR="001446F2" w:rsidRPr="00154FB3">
        <w:rPr>
          <w:shd w:val="clear" w:color="auto" w:fill="FFFFFF"/>
        </w:rPr>
        <w:t xml:space="preserve"> </w:t>
      </w:r>
      <w:r w:rsidRPr="00154FB3">
        <w:rPr>
          <w:shd w:val="clear" w:color="auto" w:fill="FFFFFF"/>
        </w:rPr>
        <w:t xml:space="preserve">(Figure 4).  The removal of ammonium was between 80-90% for both free and immobilised cells in both low and high tide PRE water (Table 3). </w:t>
      </w:r>
      <w:r w:rsidR="001446F2" w:rsidRPr="00154FB3">
        <w:rPr>
          <w:shd w:val="clear" w:color="auto" w:fill="FFFFFF"/>
        </w:rPr>
        <w:t>B</w:t>
      </w:r>
      <w:r w:rsidRPr="00154FB3">
        <w:rPr>
          <w:shd w:val="clear" w:color="auto" w:fill="FFFFFF"/>
        </w:rPr>
        <w:t>oth free and immobilised cells in low and high tide PRE</w:t>
      </w:r>
      <w:r w:rsidR="004C4CC9" w:rsidRPr="00154FB3">
        <w:rPr>
          <w:shd w:val="clear" w:color="auto" w:fill="FFFFFF"/>
        </w:rPr>
        <w:t xml:space="preserve"> water</w:t>
      </w:r>
      <w:r w:rsidRPr="00154FB3">
        <w:rPr>
          <w:shd w:val="clear" w:color="auto" w:fill="FFFFFF"/>
        </w:rPr>
        <w:t xml:space="preserve"> showed a negative nitrite uptake rate, and both water treatments were not statistically significantly different (Figure 4). The nitrite removal for low and high tide PRE water was only between 20-50% (Table 3).  This was the same for the nitrate uptake rate for both free and immobilised cells in high tide PRE</w:t>
      </w:r>
      <w:r w:rsidR="004C4CC9" w:rsidRPr="00154FB3">
        <w:rPr>
          <w:shd w:val="clear" w:color="auto" w:fill="FFFFFF"/>
        </w:rPr>
        <w:t xml:space="preserve"> water</w:t>
      </w:r>
      <w:r w:rsidRPr="00154FB3">
        <w:rPr>
          <w:shd w:val="clear" w:color="auto" w:fill="FFFFFF"/>
        </w:rPr>
        <w:t xml:space="preserve"> (p &gt; 0.05) (Table 2 and Figure 4). The nitrate removal was 45% for free cells (high tide PRE</w:t>
      </w:r>
      <w:r w:rsidR="004C4CC9" w:rsidRPr="00154FB3">
        <w:rPr>
          <w:shd w:val="clear" w:color="auto" w:fill="FFFFFF"/>
        </w:rPr>
        <w:t xml:space="preserve"> water</w:t>
      </w:r>
      <w:r w:rsidRPr="00154FB3">
        <w:rPr>
          <w:shd w:val="clear" w:color="auto" w:fill="FFFFFF"/>
        </w:rPr>
        <w:t xml:space="preserve"> only), whereas it was approximately 80% for immobilised cells for both low and high tide PRE water. The data that are designated with a “-” removal could not be determined.</w:t>
      </w:r>
      <w:r w:rsidR="00564EF8" w:rsidRPr="00154FB3">
        <w:rPr>
          <w:shd w:val="clear" w:color="auto" w:fill="FFFFFF"/>
        </w:rPr>
        <w:t xml:space="preserve"> Figure 5 shows the freely suspended </w:t>
      </w:r>
      <w:r w:rsidR="00564EF8" w:rsidRPr="00154FB3">
        <w:rPr>
          <w:i/>
          <w:shd w:val="clear" w:color="auto" w:fill="FFFFFF"/>
        </w:rPr>
        <w:t>S. bijugatus</w:t>
      </w:r>
      <w:r w:rsidR="00564EF8" w:rsidRPr="00154FB3">
        <w:rPr>
          <w:shd w:val="clear" w:color="auto" w:fill="FFFFFF"/>
        </w:rPr>
        <w:t xml:space="preserve"> cells and immobilised cells beads.</w:t>
      </w:r>
    </w:p>
    <w:p w14:paraId="1B639F67" w14:textId="77777777" w:rsidR="00DC1FE8" w:rsidRPr="00154FB3" w:rsidRDefault="00271AD2" w:rsidP="00DC1FE8">
      <w:pPr>
        <w:pStyle w:val="Newparagraph"/>
        <w:spacing w:line="240" w:lineRule="auto"/>
        <w:ind w:firstLine="0"/>
        <w:jc w:val="both"/>
      </w:pPr>
      <w:hyperlink r:id="rId16" w:history="1">
        <w:r w:rsidR="00DC1FE8" w:rsidRPr="00154FB3">
          <w:rPr>
            <w:rStyle w:val="Hyperlink"/>
          </w:rPr>
          <w:t>Figure 4: Ammonium (</w:t>
        </w:r>
        <w:r w:rsidR="00DC1FE8" w:rsidRPr="00154FB3">
          <w:rPr>
            <w:rStyle w:val="Hyperlink"/>
            <w:noProof/>
          </w:rPr>
          <w:drawing>
            <wp:inline distT="0" distB="0" distL="0" distR="0" wp14:anchorId="25CF3853" wp14:editId="19B08D50">
              <wp:extent cx="133350" cy="171450"/>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00DC1FE8" w:rsidRPr="00154FB3">
          <w:rPr>
            <w:rStyle w:val="Hyperlink"/>
          </w:rPr>
          <w:t>), nitrite (</w:t>
        </w:r>
        <w:r w:rsidR="00DC1FE8" w:rsidRPr="00154FB3">
          <w:rPr>
            <w:rStyle w:val="Hyperlink"/>
            <w:noProof/>
          </w:rPr>
          <w:drawing>
            <wp:inline distT="0" distB="0" distL="0" distR="0" wp14:anchorId="252A02A4" wp14:editId="57B4197B">
              <wp:extent cx="173990" cy="17399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73990" cy="173990"/>
                      </a:xfrm>
                      <a:prstGeom prst="rect">
                        <a:avLst/>
                      </a:prstGeom>
                      <a:noFill/>
                      <a:ln w="9525">
                        <a:noFill/>
                        <a:miter lim="800000"/>
                        <a:headEnd/>
                        <a:tailEnd/>
                      </a:ln>
                    </pic:spPr>
                  </pic:pic>
                </a:graphicData>
              </a:graphic>
            </wp:inline>
          </w:drawing>
        </w:r>
        <w:r w:rsidR="00DC1FE8" w:rsidRPr="00154FB3">
          <w:rPr>
            <w:rStyle w:val="Hyperlink"/>
          </w:rPr>
          <w:t>), and nitrate (</w:t>
        </w:r>
        <w:r w:rsidR="00DC1FE8" w:rsidRPr="00154FB3">
          <w:rPr>
            <w:rStyle w:val="Hyperlink"/>
            <w:noProof/>
          </w:rPr>
          <w:drawing>
            <wp:inline distT="0" distB="0" distL="0" distR="0" wp14:anchorId="33425D99" wp14:editId="140D8F3A">
              <wp:extent cx="152400" cy="161925"/>
              <wp:effectExtent l="1905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DC1FE8" w:rsidRPr="00154FB3">
          <w:rPr>
            <w:rStyle w:val="Hyperlink"/>
          </w:rPr>
          <w:t xml:space="preserve">) concentration during the ten-day incubation of </w:t>
        </w:r>
        <w:r w:rsidR="00DC1FE8" w:rsidRPr="00154FB3">
          <w:rPr>
            <w:rStyle w:val="Hyperlink"/>
            <w:i/>
          </w:rPr>
          <w:t xml:space="preserve">S. bijugatus </w:t>
        </w:r>
        <w:r w:rsidR="00DC1FE8" w:rsidRPr="00154FB3">
          <w:rPr>
            <w:rStyle w:val="Hyperlink"/>
          </w:rPr>
          <w:t>(A) free cells and (B) immobilised cells in low tide PRE water. Ammonium (</w:t>
        </w:r>
        <w:r w:rsidR="00DC1FE8" w:rsidRPr="00154FB3">
          <w:rPr>
            <w:rStyle w:val="Hyperlink"/>
            <w:noProof/>
          </w:rPr>
          <w:drawing>
            <wp:inline distT="0" distB="0" distL="0" distR="0" wp14:anchorId="673C52F9" wp14:editId="10480F6C">
              <wp:extent cx="133350" cy="17145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00DC1FE8" w:rsidRPr="00154FB3">
          <w:rPr>
            <w:rStyle w:val="Hyperlink"/>
          </w:rPr>
          <w:t>), nitrite (</w:t>
        </w:r>
        <w:r w:rsidR="00DC1FE8" w:rsidRPr="00154FB3">
          <w:rPr>
            <w:rStyle w:val="Hyperlink"/>
            <w:noProof/>
          </w:rPr>
          <w:drawing>
            <wp:inline distT="0" distB="0" distL="0" distR="0" wp14:anchorId="37846A77" wp14:editId="6DF534F7">
              <wp:extent cx="173990" cy="173990"/>
              <wp:effectExtent l="1905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73990" cy="173990"/>
                      </a:xfrm>
                      <a:prstGeom prst="rect">
                        <a:avLst/>
                      </a:prstGeom>
                      <a:noFill/>
                      <a:ln w="9525">
                        <a:noFill/>
                        <a:miter lim="800000"/>
                        <a:headEnd/>
                        <a:tailEnd/>
                      </a:ln>
                    </pic:spPr>
                  </pic:pic>
                </a:graphicData>
              </a:graphic>
            </wp:inline>
          </w:drawing>
        </w:r>
        <w:r w:rsidR="00DC1FE8" w:rsidRPr="00154FB3">
          <w:rPr>
            <w:rStyle w:val="Hyperlink"/>
          </w:rPr>
          <w:t>), and nitrate (</w:t>
        </w:r>
        <w:r w:rsidR="00DC1FE8" w:rsidRPr="00154FB3">
          <w:rPr>
            <w:rStyle w:val="Hyperlink"/>
            <w:noProof/>
          </w:rPr>
          <w:drawing>
            <wp:inline distT="0" distB="0" distL="0" distR="0" wp14:anchorId="72FDCA7C" wp14:editId="0D4DE079">
              <wp:extent cx="152400" cy="161925"/>
              <wp:effectExtent l="1905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DC1FE8" w:rsidRPr="00154FB3">
          <w:rPr>
            <w:rStyle w:val="Hyperlink"/>
          </w:rPr>
          <w:t xml:space="preserve">) concentration during the ten-day incubation of </w:t>
        </w:r>
        <w:r w:rsidR="00DC1FE8" w:rsidRPr="00154FB3">
          <w:rPr>
            <w:rStyle w:val="Hyperlink"/>
            <w:i/>
          </w:rPr>
          <w:t xml:space="preserve">S. bijugatus </w:t>
        </w:r>
        <w:r w:rsidR="00DC1FE8" w:rsidRPr="00154FB3">
          <w:rPr>
            <w:rStyle w:val="Hyperlink"/>
          </w:rPr>
          <w:t>(C)</w:t>
        </w:r>
        <w:r w:rsidR="00DC1FE8" w:rsidRPr="00154FB3">
          <w:rPr>
            <w:rStyle w:val="Hyperlink"/>
            <w:i/>
          </w:rPr>
          <w:t xml:space="preserve"> </w:t>
        </w:r>
        <w:r w:rsidR="00DC1FE8" w:rsidRPr="00154FB3">
          <w:rPr>
            <w:rStyle w:val="Hyperlink"/>
          </w:rPr>
          <w:t>free cells and (D) immobilised cells in high tide PRE water. The bars show the standard error; PRE: Pinang River estuary</w:t>
        </w:r>
      </w:hyperlink>
    </w:p>
    <w:p w14:paraId="57E6F361" w14:textId="77777777" w:rsidR="00564EF8" w:rsidRPr="00154FB3" w:rsidRDefault="00564EF8" w:rsidP="00564EF8">
      <w:pPr>
        <w:pStyle w:val="NoSpacing"/>
        <w:rPr>
          <w:rFonts w:ascii="Times New Roman" w:eastAsia="Times New Roman" w:hAnsi="Times New Roman" w:cs="Times New Roman"/>
          <w:b/>
          <w:i/>
          <w:sz w:val="24"/>
          <w:szCs w:val="24"/>
          <w:lang w:val="en-GB" w:eastAsia="en-GB"/>
        </w:rPr>
      </w:pPr>
    </w:p>
    <w:p w14:paraId="5213BC95" w14:textId="0900520D" w:rsidR="00564EF8" w:rsidRPr="00154FB3" w:rsidRDefault="00564EF8" w:rsidP="00564EF8">
      <w:pPr>
        <w:pStyle w:val="NoSpacing"/>
        <w:rPr>
          <w:rFonts w:ascii="Times New Roman" w:hAnsi="Times New Roman" w:cs="Times New Roman"/>
          <w:sz w:val="24"/>
          <w:szCs w:val="24"/>
        </w:rPr>
      </w:pPr>
      <w:r w:rsidRPr="00154FB3">
        <w:rPr>
          <w:rFonts w:ascii="Times New Roman" w:hAnsi="Times New Roman" w:cs="Times New Roman"/>
          <w:sz w:val="24"/>
          <w:szCs w:val="24"/>
        </w:rPr>
        <w:t xml:space="preserve">Figure 5: </w:t>
      </w:r>
      <w:r w:rsidR="004C4CC9" w:rsidRPr="00154FB3">
        <w:rPr>
          <w:rFonts w:ascii="Times New Roman" w:hAnsi="Times New Roman" w:cs="Times New Roman"/>
          <w:sz w:val="24"/>
          <w:szCs w:val="24"/>
        </w:rPr>
        <w:t xml:space="preserve">Illustration </w:t>
      </w:r>
      <w:r w:rsidRPr="00154FB3">
        <w:rPr>
          <w:rFonts w:ascii="Times New Roman" w:hAnsi="Times New Roman" w:cs="Times New Roman"/>
          <w:sz w:val="24"/>
          <w:szCs w:val="24"/>
        </w:rPr>
        <w:t>of freely suspended cells and immobilised algal beads during the treatment duration</w:t>
      </w:r>
    </w:p>
    <w:p w14:paraId="5A3692FE" w14:textId="77777777" w:rsidR="005162B2" w:rsidRPr="00154FB3" w:rsidRDefault="005162B2" w:rsidP="00DC1FE8">
      <w:pPr>
        <w:rPr>
          <w:b/>
        </w:rPr>
      </w:pPr>
    </w:p>
    <w:p w14:paraId="7AB20591" w14:textId="77777777" w:rsidR="00DC1FE8" w:rsidRPr="00154FB3" w:rsidRDefault="00DC1FE8" w:rsidP="00DC1FE8">
      <w:pPr>
        <w:rPr>
          <w:b/>
        </w:rPr>
      </w:pPr>
      <w:r w:rsidRPr="00154FB3">
        <w:rPr>
          <w:b/>
        </w:rPr>
        <w:t>Discussion</w:t>
      </w:r>
    </w:p>
    <w:p w14:paraId="1A8C9014" w14:textId="77777777" w:rsidR="00DC1FE8" w:rsidRPr="00154FB3" w:rsidRDefault="00DC1FE8" w:rsidP="00DC1FE8">
      <w:r w:rsidRPr="00154FB3">
        <w:rPr>
          <w:b/>
          <w:i/>
        </w:rPr>
        <w:lastRenderedPageBreak/>
        <w:t>Algal growth</w:t>
      </w:r>
    </w:p>
    <w:p w14:paraId="1D80013F" w14:textId="179E88A9" w:rsidR="00DC1FE8" w:rsidRPr="00154FB3" w:rsidRDefault="004C4CC9" w:rsidP="00DC1FE8">
      <w:pPr>
        <w:ind w:firstLine="720"/>
        <w:jc w:val="both"/>
      </w:pPr>
      <w:r w:rsidRPr="00154FB3">
        <w:t>T</w:t>
      </w:r>
      <w:r w:rsidR="00DC1FE8" w:rsidRPr="00154FB3">
        <w:t xml:space="preserve">he chlorophyll a concentration of </w:t>
      </w:r>
      <w:r w:rsidR="00DC1FE8" w:rsidRPr="00154FB3">
        <w:rPr>
          <w:i/>
        </w:rPr>
        <w:t>S. bijugatus</w:t>
      </w:r>
      <w:r w:rsidR="00DC1FE8" w:rsidRPr="00154FB3">
        <w:t xml:space="preserve"> </w:t>
      </w:r>
      <w:r w:rsidRPr="00154FB3">
        <w:t xml:space="preserve">cultured </w:t>
      </w:r>
      <w:r w:rsidR="00DC1FE8" w:rsidRPr="00154FB3">
        <w:t>in high tide PRE</w:t>
      </w:r>
      <w:r w:rsidRPr="00154FB3">
        <w:t xml:space="preserve"> water in this study</w:t>
      </w:r>
      <w:r w:rsidR="00DC1FE8" w:rsidRPr="00154FB3">
        <w:t xml:space="preserve"> was lower compared to low tide water</w:t>
      </w:r>
      <w:r w:rsidRPr="00154FB3">
        <w:t>,</w:t>
      </w:r>
      <w:r w:rsidR="00DC1FE8" w:rsidRPr="00154FB3">
        <w:t xml:space="preserve"> </w:t>
      </w:r>
      <w:r w:rsidRPr="00154FB3">
        <w:t xml:space="preserve">indicating that </w:t>
      </w:r>
      <w:r w:rsidR="00DC1FE8" w:rsidRPr="00154FB3">
        <w:t>the microalga</w:t>
      </w:r>
      <w:r w:rsidR="005162B2" w:rsidRPr="00154FB3">
        <w:t>e</w:t>
      </w:r>
      <w:r w:rsidR="00DC1FE8" w:rsidRPr="00154FB3">
        <w:t xml:space="preserve"> could not adapt to the saline conditions present at high tide (Figure 2).</w:t>
      </w:r>
      <w:r w:rsidR="00B72C1C" w:rsidRPr="00154FB3">
        <w:t xml:space="preserve"> </w:t>
      </w:r>
      <w:r w:rsidR="001446F2" w:rsidRPr="00154FB3">
        <w:t>H</w:t>
      </w:r>
      <w:r w:rsidR="00DC1FE8" w:rsidRPr="00154FB3">
        <w:t>igher salinity can decrease the photosynthetic rate resulting in a lower chlorophyll concentration due to salt, osmotic, and toxic ionic stress</w:t>
      </w:r>
      <w:r w:rsidR="001446F2" w:rsidRPr="00154FB3">
        <w:t xml:space="preserve"> (Moradi and Ismail, 2007)</w:t>
      </w:r>
      <w:r w:rsidR="00DC1FE8" w:rsidRPr="00154FB3">
        <w:t xml:space="preserve">. Anita </w:t>
      </w:r>
      <w:r w:rsidR="00DC1FE8" w:rsidRPr="00154FB3">
        <w:rPr>
          <w:i/>
        </w:rPr>
        <w:t>et al.</w:t>
      </w:r>
      <w:r w:rsidR="00B72C1C" w:rsidRPr="00154FB3">
        <w:t xml:space="preserve"> </w:t>
      </w:r>
      <w:r w:rsidR="007D496F" w:rsidRPr="00154FB3">
        <w:t>(2011)</w:t>
      </w:r>
      <w:r w:rsidR="00DC1FE8" w:rsidRPr="00154FB3">
        <w:t xml:space="preserve"> showed that the biomass of </w:t>
      </w:r>
      <w:r w:rsidR="00DC1FE8" w:rsidRPr="00154FB3">
        <w:rPr>
          <w:i/>
        </w:rPr>
        <w:t>Scenedesmus quadricauda</w:t>
      </w:r>
      <w:r w:rsidR="00DC1FE8" w:rsidRPr="00154FB3">
        <w:t xml:space="preserve"> increased when incubated in a</w:t>
      </w:r>
      <w:r w:rsidRPr="00154FB3">
        <w:t>n</w:t>
      </w:r>
      <w:r w:rsidR="00DC1FE8" w:rsidRPr="00154FB3">
        <w:t xml:space="preserve"> NaCl concentration of 0.0 - 0.2 mM</w:t>
      </w:r>
      <w:r w:rsidRPr="00154FB3">
        <w:t>,</w:t>
      </w:r>
      <w:r w:rsidR="00DC1FE8" w:rsidRPr="00154FB3">
        <w:t xml:space="preserve"> and then decreased as the NaCl concentration</w:t>
      </w:r>
      <w:r w:rsidRPr="00154FB3">
        <w:t xml:space="preserve"> was</w:t>
      </w:r>
      <w:r w:rsidR="00DC1FE8" w:rsidRPr="00154FB3">
        <w:t xml:space="preserve"> increased</w:t>
      </w:r>
      <w:r w:rsidRPr="00154FB3">
        <w:t xml:space="preserve"> further</w:t>
      </w:r>
      <w:r w:rsidR="00DC1FE8" w:rsidRPr="00154FB3">
        <w:t xml:space="preserve">. The reason was the same for the undetermined growth rate of </w:t>
      </w:r>
      <w:r w:rsidR="00DC1FE8" w:rsidRPr="00154FB3">
        <w:rPr>
          <w:i/>
        </w:rPr>
        <w:t>S. bijugatus</w:t>
      </w:r>
      <w:r w:rsidR="00DC1FE8" w:rsidRPr="00154FB3">
        <w:t xml:space="preserve"> in high tide PRE due to e</w:t>
      </w:r>
      <w:r w:rsidR="001446F2" w:rsidRPr="00154FB3">
        <w:t>rratic data (</w:t>
      </w:r>
      <w:r w:rsidR="00DC1FE8" w:rsidRPr="00154FB3">
        <w:t>Table 2</w:t>
      </w:r>
      <w:r w:rsidR="001446F2" w:rsidRPr="00154FB3">
        <w:t>)</w:t>
      </w:r>
      <w:r w:rsidR="00DC1FE8" w:rsidRPr="00154FB3">
        <w:t>.</w:t>
      </w:r>
    </w:p>
    <w:p w14:paraId="52BC8748" w14:textId="37ED7012" w:rsidR="00DC1FE8" w:rsidRPr="00154FB3" w:rsidRDefault="00D361E6" w:rsidP="00DC1FE8">
      <w:pPr>
        <w:ind w:firstLine="720"/>
        <w:jc w:val="both"/>
      </w:pPr>
      <w:r w:rsidRPr="00154FB3">
        <w:t>N</w:t>
      </w:r>
      <w:r w:rsidR="00DC1FE8" w:rsidRPr="00154FB3">
        <w:t>utrient uptake by immobilised microalgal cells may be inhibited by restricted nutrient diffusion through the immobilising matrix</w:t>
      </w:r>
      <w:r w:rsidR="005162B2" w:rsidRPr="00154FB3">
        <w:t xml:space="preserve"> of beads</w:t>
      </w:r>
      <w:r w:rsidR="00DC1FE8" w:rsidRPr="00154FB3">
        <w:t xml:space="preserve"> when the nutrient concentration is low in the media</w:t>
      </w:r>
      <w:r w:rsidRPr="00154FB3">
        <w:t xml:space="preserve"> (Garbayo </w:t>
      </w:r>
      <w:r w:rsidRPr="00154FB3">
        <w:rPr>
          <w:i/>
        </w:rPr>
        <w:t>et al.,</w:t>
      </w:r>
      <w:r w:rsidRPr="00154FB3">
        <w:t xml:space="preserve"> 2000; Moreno-Garrido, 2008)</w:t>
      </w:r>
      <w:r w:rsidR="00DC1FE8" w:rsidRPr="00154FB3">
        <w:t xml:space="preserve">. This could be the reason that </w:t>
      </w:r>
      <w:r w:rsidR="00DC1FE8" w:rsidRPr="00154FB3">
        <w:rPr>
          <w:i/>
        </w:rPr>
        <w:t>S. bijugatus</w:t>
      </w:r>
      <w:r w:rsidR="00DC1FE8" w:rsidRPr="00154FB3">
        <w:t xml:space="preserve"> free cells had a higher growth rate (Table 2) and chlorophyll </w:t>
      </w:r>
      <w:r w:rsidR="00DC1FE8" w:rsidRPr="00154FB3">
        <w:rPr>
          <w:i/>
        </w:rPr>
        <w:t>a</w:t>
      </w:r>
      <w:r w:rsidR="00DC1FE8" w:rsidRPr="00154FB3">
        <w:t xml:space="preserve"> concentration (Figure 2) compared to the immobilised cells when incubated in low tide PRE water. The initial nutrient concentration in low and high tide PRE water could be limiting and </w:t>
      </w:r>
      <w:r w:rsidRPr="00154FB3">
        <w:t xml:space="preserve">not </w:t>
      </w:r>
      <w:r w:rsidR="00DC1FE8" w:rsidRPr="00154FB3">
        <w:t>diffuse efficiently through the immobilising beads matrix.</w:t>
      </w:r>
    </w:p>
    <w:p w14:paraId="259EB43E" w14:textId="547880B7" w:rsidR="00DC1FE8" w:rsidRPr="00154FB3" w:rsidRDefault="00DC1FE8" w:rsidP="00DC1FE8">
      <w:pPr>
        <w:ind w:firstLine="720"/>
        <w:jc w:val="both"/>
      </w:pPr>
      <w:r w:rsidRPr="00154FB3">
        <w:t xml:space="preserve">A low initial nitrate concentration in low </w:t>
      </w:r>
      <w:r w:rsidR="00D361E6" w:rsidRPr="00154FB3">
        <w:t>and high tide PRE water samples</w:t>
      </w:r>
      <w:r w:rsidRPr="00154FB3">
        <w:t xml:space="preserve"> could be the reason for the low and erratic growth rate</w:t>
      </w:r>
      <w:r w:rsidR="004C4CC9" w:rsidRPr="00154FB3">
        <w:t>s</w:t>
      </w:r>
      <w:r w:rsidRPr="00154FB3">
        <w:t xml:space="preserve"> found in this study. In a study of </w:t>
      </w:r>
      <w:r w:rsidRPr="00154FB3">
        <w:rPr>
          <w:i/>
        </w:rPr>
        <w:t>Nannochloropsis oculata</w:t>
      </w:r>
      <w:r w:rsidRPr="00154FB3">
        <w:t xml:space="preserve"> and </w:t>
      </w:r>
      <w:r w:rsidRPr="00154FB3">
        <w:rPr>
          <w:i/>
        </w:rPr>
        <w:t>Chlorella vulgaris</w:t>
      </w:r>
      <w:r w:rsidRPr="00154FB3">
        <w:t xml:space="preserve">, Attilio </w:t>
      </w:r>
      <w:r w:rsidRPr="00154FB3">
        <w:rPr>
          <w:i/>
        </w:rPr>
        <w:t>et al.</w:t>
      </w:r>
      <w:r w:rsidR="0015111F" w:rsidRPr="00154FB3">
        <w:t xml:space="preserve"> </w:t>
      </w:r>
      <w:r w:rsidR="007D496F" w:rsidRPr="00154FB3">
        <w:t>(2009)</w:t>
      </w:r>
      <w:r w:rsidRPr="00154FB3">
        <w:t xml:space="preserve"> found that decreasing the nitrate concentration in the medium resulted in an overall constant growth rate but enhanced the lipid fraction of the microalgae. The low initial nitrate concentration might have inhibited the growth of </w:t>
      </w:r>
      <w:r w:rsidRPr="00154FB3">
        <w:rPr>
          <w:i/>
        </w:rPr>
        <w:t>S. bijugatus</w:t>
      </w:r>
      <w:r w:rsidRPr="00154FB3">
        <w:t xml:space="preserve"> after the ammonium concentration (favoured nutrient of the algae) had</w:t>
      </w:r>
      <w:r w:rsidR="0015111F" w:rsidRPr="00154FB3">
        <w:t xml:space="preserve"> decreased </w:t>
      </w:r>
      <w:r w:rsidR="007D496F" w:rsidRPr="00154FB3">
        <w:t xml:space="preserve">(Maestrini </w:t>
      </w:r>
      <w:r w:rsidR="007D496F" w:rsidRPr="00154FB3">
        <w:rPr>
          <w:i/>
        </w:rPr>
        <w:t>et al.</w:t>
      </w:r>
      <w:r w:rsidR="007D496F" w:rsidRPr="00154FB3">
        <w:t>, 1986)</w:t>
      </w:r>
      <w:r w:rsidRPr="00154FB3">
        <w:t xml:space="preserve">, but might have contributed to an increase in the lipid content of the </w:t>
      </w:r>
      <w:r w:rsidRPr="00154FB3">
        <w:rPr>
          <w:i/>
        </w:rPr>
        <w:t>S. bijugatus</w:t>
      </w:r>
      <w:r w:rsidRPr="00154FB3">
        <w:t xml:space="preserve"> cells.</w:t>
      </w:r>
    </w:p>
    <w:p w14:paraId="54757541" w14:textId="77777777" w:rsidR="00BD58E7" w:rsidRPr="00154FB3" w:rsidRDefault="00DC1FE8" w:rsidP="00DC1FE8">
      <w:pPr>
        <w:jc w:val="both"/>
        <w:rPr>
          <w:b/>
          <w:i/>
        </w:rPr>
      </w:pPr>
      <w:r w:rsidRPr="00154FB3">
        <w:rPr>
          <w:b/>
          <w:i/>
        </w:rPr>
        <w:lastRenderedPageBreak/>
        <w:t>Phosphate, ammonium, nitrite and nitrate removal</w:t>
      </w:r>
    </w:p>
    <w:p w14:paraId="39202A70" w14:textId="77777777" w:rsidR="00EC1D51" w:rsidRPr="00154FB3" w:rsidRDefault="00C84656" w:rsidP="00200149">
      <w:pPr>
        <w:jc w:val="both"/>
        <w:rPr>
          <w:u w:val="single"/>
        </w:rPr>
      </w:pPr>
      <w:r w:rsidRPr="00154FB3">
        <w:rPr>
          <w:u w:val="single"/>
        </w:rPr>
        <w:t xml:space="preserve">Table 4 </w:t>
      </w:r>
      <w:r w:rsidR="00200149" w:rsidRPr="00154FB3">
        <w:rPr>
          <w:u w:val="single"/>
        </w:rPr>
        <w:t xml:space="preserve">Nitrogen and phosphorus removal by </w:t>
      </w:r>
      <w:r w:rsidR="00293FE9" w:rsidRPr="00154FB3">
        <w:rPr>
          <w:u w:val="single"/>
        </w:rPr>
        <w:t>the Chlorophyte genera</w:t>
      </w:r>
      <w:r w:rsidR="00200149" w:rsidRPr="00154FB3">
        <w:rPr>
          <w:u w:val="single"/>
        </w:rPr>
        <w:t>.</w:t>
      </w:r>
    </w:p>
    <w:p w14:paraId="2208CCC7" w14:textId="4E025696" w:rsidR="00EC1D51" w:rsidRPr="00154FB3" w:rsidRDefault="00EC1D51" w:rsidP="00BF4B9E">
      <w:pPr>
        <w:ind w:firstLine="720"/>
        <w:jc w:val="both"/>
        <w:rPr>
          <w:b/>
        </w:rPr>
      </w:pPr>
      <w:r w:rsidRPr="00154FB3">
        <w:t>Based on</w:t>
      </w:r>
      <w:r w:rsidR="00591C74" w:rsidRPr="00154FB3">
        <w:t xml:space="preserve"> the data presented in</w:t>
      </w:r>
      <w:r w:rsidRPr="00154FB3">
        <w:t xml:space="preserve"> Table 4, various studies on the uptake</w:t>
      </w:r>
      <w:r w:rsidR="00591C74" w:rsidRPr="00154FB3">
        <w:t xml:space="preserve"> rates</w:t>
      </w:r>
      <w:r w:rsidRPr="00154FB3">
        <w:t xml:space="preserve"> o</w:t>
      </w:r>
      <w:r w:rsidR="00591C74" w:rsidRPr="00154FB3">
        <w:t>f</w:t>
      </w:r>
      <w:r w:rsidRPr="00154FB3">
        <w:t xml:space="preserve"> nitrogen and phosphate ha</w:t>
      </w:r>
      <w:r w:rsidR="00591C74" w:rsidRPr="00154FB3">
        <w:t>ve</w:t>
      </w:r>
      <w:r w:rsidRPr="00154FB3">
        <w:t xml:space="preserve"> been </w:t>
      </w:r>
      <w:r w:rsidR="00591C74" w:rsidRPr="00154FB3">
        <w:t>publishedusing</w:t>
      </w:r>
      <w:r w:rsidRPr="00154FB3">
        <w:t xml:space="preserve"> </w:t>
      </w:r>
      <w:r w:rsidRPr="00154FB3">
        <w:rPr>
          <w:i/>
        </w:rPr>
        <w:t>Chlorella</w:t>
      </w:r>
      <w:r w:rsidRPr="00154FB3">
        <w:t xml:space="preserve"> sp. and </w:t>
      </w:r>
      <w:r w:rsidRPr="00154FB3">
        <w:rPr>
          <w:i/>
        </w:rPr>
        <w:t>Scenedesmus</w:t>
      </w:r>
      <w:r w:rsidRPr="00154FB3">
        <w:t xml:space="preserve"> sp.</w:t>
      </w:r>
      <w:r w:rsidR="00BF4B9E" w:rsidRPr="00154FB3">
        <w:t xml:space="preserve"> Various concentration</w:t>
      </w:r>
      <w:r w:rsidR="00591C74" w:rsidRPr="00154FB3">
        <w:t>s</w:t>
      </w:r>
      <w:r w:rsidR="00BF4B9E" w:rsidRPr="00154FB3">
        <w:t xml:space="preserve"> of nitrogen and phosphate ha</w:t>
      </w:r>
      <w:r w:rsidR="00591C74" w:rsidRPr="00154FB3">
        <w:t>ve</w:t>
      </w:r>
      <w:r w:rsidR="00BF4B9E" w:rsidRPr="00154FB3">
        <w:t xml:space="preserve"> been </w:t>
      </w:r>
      <w:r w:rsidR="00591C74" w:rsidRPr="00154FB3">
        <w:t xml:space="preserve">used </w:t>
      </w:r>
      <w:r w:rsidR="00BF4B9E" w:rsidRPr="00154FB3">
        <w:t>in the</w:t>
      </w:r>
      <w:r w:rsidR="00591C74" w:rsidRPr="00154FB3">
        <w:t>se</w:t>
      </w:r>
      <w:r w:rsidR="00BF4B9E" w:rsidRPr="00154FB3">
        <w:t xml:space="preserve"> </w:t>
      </w:r>
      <w:r w:rsidR="00591C74" w:rsidRPr="00154FB3">
        <w:t>studies</w:t>
      </w:r>
      <w:r w:rsidR="00BF4B9E" w:rsidRPr="00154FB3">
        <w:t xml:space="preserve">, and different uptake rates have been recorded. </w:t>
      </w:r>
      <w:r w:rsidRPr="00154FB3">
        <w:t xml:space="preserve">The efficiencies of nitrogen and phosphate removal depend on factors such as the medium composition, environmental conditions, light intensity, nitrogen/phosphorus ratio, light/dark cycle and algal species (Aslan &amp; Kapdan, 2006). </w:t>
      </w:r>
    </w:p>
    <w:p w14:paraId="46A4A9B6" w14:textId="7DDD6BFE" w:rsidR="00DC1FE8" w:rsidRPr="00154FB3" w:rsidRDefault="00DC1FE8" w:rsidP="00434819">
      <w:pPr>
        <w:ind w:firstLine="720"/>
        <w:jc w:val="both"/>
      </w:pPr>
      <w:r w:rsidRPr="00154FB3">
        <w:t>Immobilised cells in low tide PRE water had a lower removal percentage than free cells</w:t>
      </w:r>
      <w:r w:rsidR="00591C74" w:rsidRPr="00154FB3">
        <w:t>,</w:t>
      </w:r>
      <w:r w:rsidRPr="00154FB3">
        <w:t xml:space="preserve"> which was possibly a reflection of the high standard error among the replicates on day 8 and day 10. Lau </w:t>
      </w:r>
      <w:r w:rsidRPr="00154FB3">
        <w:rPr>
          <w:i/>
        </w:rPr>
        <w:t>et al.</w:t>
      </w:r>
      <w:r w:rsidR="0015111F" w:rsidRPr="00154FB3">
        <w:t xml:space="preserve"> </w:t>
      </w:r>
      <w:r w:rsidR="007D496F" w:rsidRPr="00154FB3">
        <w:t>(1997)</w:t>
      </w:r>
      <w:r w:rsidRPr="00154FB3">
        <w:t xml:space="preserve"> mentioned that immobilised cells had a better phosphate removal rate because the calcium ions in the alginate beads have a tendency to bind with the phosphate to form a white precipitate. This</w:t>
      </w:r>
      <w:r w:rsidR="00591C74" w:rsidRPr="00154FB3">
        <w:t xml:space="preserve"> would</w:t>
      </w:r>
      <w:r w:rsidRPr="00154FB3">
        <w:t xml:space="preserve"> explain the overall higher phosphate removal in immobilised cells </w:t>
      </w:r>
      <w:r w:rsidR="00293FE9" w:rsidRPr="00154FB3">
        <w:t>and the blank beads treatment</w:t>
      </w:r>
      <w:r w:rsidRPr="00154FB3">
        <w:t xml:space="preserve"> in the water samples compared to free cells and control </w:t>
      </w:r>
      <w:r w:rsidR="00591C74" w:rsidRPr="00154FB3">
        <w:t>experiments</w:t>
      </w:r>
      <w:r w:rsidR="00293FE9" w:rsidRPr="00154FB3">
        <w:t>. P</w:t>
      </w:r>
      <w:r w:rsidRPr="00154FB3">
        <w:t xml:space="preserve">hosphate uptake rate increased with an increase in the initial phosphate concentration to a certain </w:t>
      </w:r>
      <w:r w:rsidR="00293FE9" w:rsidRPr="00154FB3">
        <w:t>extent</w:t>
      </w:r>
      <w:r w:rsidRPr="00154FB3">
        <w:t xml:space="preserve">, from 0.2 mg/mg chl </w:t>
      </w:r>
      <w:r w:rsidRPr="00154FB3">
        <w:rPr>
          <w:i/>
        </w:rPr>
        <w:t>a</w:t>
      </w:r>
      <w:r w:rsidRPr="00154FB3">
        <w:t xml:space="preserve">/d to approximately 0.52 mg/mg chl </w:t>
      </w:r>
      <w:r w:rsidRPr="00154FB3">
        <w:rPr>
          <w:i/>
        </w:rPr>
        <w:t>a</w:t>
      </w:r>
      <w:r w:rsidRPr="00154FB3">
        <w:t>/d for an initial concentration of phosphate between 7.7 mg/L and 149 mg/L</w:t>
      </w:r>
      <w:r w:rsidR="00293FE9" w:rsidRPr="00154FB3">
        <w:t xml:space="preserve"> (Aslan &amp; Kapdan, 2006)</w:t>
      </w:r>
      <w:r w:rsidRPr="00154FB3">
        <w:t xml:space="preserve">. This </w:t>
      </w:r>
      <w:r w:rsidR="00591C74" w:rsidRPr="00154FB3">
        <w:t xml:space="preserve">suggests that </w:t>
      </w:r>
      <w:r w:rsidRPr="00154FB3">
        <w:t>the low uptake rate found in this study</w:t>
      </w:r>
      <w:r w:rsidR="00591C74" w:rsidRPr="00154FB3">
        <w:t xml:space="preserve"> was caused by</w:t>
      </w:r>
      <w:r w:rsidRPr="00154FB3">
        <w:t xml:space="preserve"> the initial </w:t>
      </w:r>
      <w:r w:rsidR="00293FE9" w:rsidRPr="00154FB3">
        <w:t xml:space="preserve">phosphate concentration </w:t>
      </w:r>
      <w:r w:rsidR="00591C74" w:rsidRPr="00154FB3">
        <w:t xml:space="preserve">being </w:t>
      </w:r>
      <w:r w:rsidR="00293FE9" w:rsidRPr="00154FB3">
        <w:t>low.</w:t>
      </w:r>
    </w:p>
    <w:p w14:paraId="360F8688" w14:textId="74C83EB6" w:rsidR="00DC1FE8" w:rsidRPr="00154FB3" w:rsidRDefault="00DC1FE8" w:rsidP="00DC1FE8">
      <w:pPr>
        <w:ind w:firstLine="720"/>
        <w:jc w:val="both"/>
        <w:rPr>
          <w:shd w:val="clear" w:color="auto" w:fill="FFFFFF"/>
        </w:rPr>
      </w:pPr>
      <w:r w:rsidRPr="00154FB3">
        <w:rPr>
          <w:shd w:val="clear" w:color="auto" w:fill="FFFFFF"/>
        </w:rPr>
        <w:t xml:space="preserve">A higher ammonium uptake rate was evident in low tide PRE water </w:t>
      </w:r>
      <w:r w:rsidR="000867DE" w:rsidRPr="00154FB3">
        <w:rPr>
          <w:shd w:val="clear" w:color="auto" w:fill="FFFFFF"/>
        </w:rPr>
        <w:t>compared to high tide PRE water</w:t>
      </w:r>
      <w:r w:rsidRPr="00154FB3">
        <w:rPr>
          <w:shd w:val="clear" w:color="auto" w:fill="FFFFFF"/>
        </w:rPr>
        <w:t xml:space="preserve"> because </w:t>
      </w:r>
      <w:r w:rsidRPr="00154FB3">
        <w:rPr>
          <w:i/>
          <w:shd w:val="clear" w:color="auto" w:fill="FFFFFF"/>
        </w:rPr>
        <w:t>S. bijugatus</w:t>
      </w:r>
      <w:r w:rsidRPr="00154FB3">
        <w:rPr>
          <w:shd w:val="clear" w:color="auto" w:fill="FFFFFF"/>
        </w:rPr>
        <w:t xml:space="preserve"> was not able to adapt to the saline conditions of high tide PRE water </w:t>
      </w:r>
      <w:r w:rsidR="007D496F" w:rsidRPr="00154FB3">
        <w:rPr>
          <w:shd w:val="clear" w:color="auto" w:fill="FFFFFF"/>
        </w:rPr>
        <w:t xml:space="preserve">(Anita </w:t>
      </w:r>
      <w:r w:rsidR="007D496F" w:rsidRPr="00154FB3">
        <w:rPr>
          <w:i/>
          <w:shd w:val="clear" w:color="auto" w:fill="FFFFFF"/>
        </w:rPr>
        <w:t>et al.</w:t>
      </w:r>
      <w:r w:rsidR="007D496F" w:rsidRPr="00154FB3">
        <w:rPr>
          <w:shd w:val="clear" w:color="auto" w:fill="FFFFFF"/>
        </w:rPr>
        <w:t xml:space="preserve"> 2011)</w:t>
      </w:r>
      <w:r w:rsidRPr="00154FB3">
        <w:rPr>
          <w:shd w:val="clear" w:color="auto" w:fill="FFFFFF"/>
        </w:rPr>
        <w:t xml:space="preserve">. In addition, the ammonium uptake rate increased with an increase in the </w:t>
      </w:r>
      <w:r w:rsidR="002D1710" w:rsidRPr="00154FB3">
        <w:rPr>
          <w:shd w:val="clear" w:color="auto" w:fill="FFFFFF"/>
        </w:rPr>
        <w:t xml:space="preserve">initial ammonium concentration </w:t>
      </w:r>
      <w:r w:rsidR="007D496F" w:rsidRPr="00154FB3">
        <w:rPr>
          <w:shd w:val="clear" w:color="auto" w:fill="FFFFFF"/>
        </w:rPr>
        <w:t>(Aslan &amp; Kapdan, 2006)</w:t>
      </w:r>
      <w:r w:rsidRPr="00154FB3">
        <w:rPr>
          <w:shd w:val="clear" w:color="auto" w:fill="FFFFFF"/>
        </w:rPr>
        <w:t xml:space="preserve">. However, if the initial ammonium concentration was greater than 40 mg/L, the ammonium decreased </w:t>
      </w:r>
      <w:r w:rsidR="002D06B4" w:rsidRPr="00154FB3">
        <w:rPr>
          <w:shd w:val="clear" w:color="auto" w:fill="FFFFFF"/>
        </w:rPr>
        <w:t xml:space="preserve">gradually with time </w:t>
      </w:r>
      <w:r w:rsidR="007D496F" w:rsidRPr="00154FB3">
        <w:rPr>
          <w:shd w:val="clear" w:color="auto" w:fill="FFFFFF"/>
        </w:rPr>
        <w:t>(Tam &amp; Wong, 1996)</w:t>
      </w:r>
      <w:r w:rsidRPr="00154FB3">
        <w:rPr>
          <w:shd w:val="clear" w:color="auto" w:fill="FFFFFF"/>
        </w:rPr>
        <w:t xml:space="preserve">. In this study, the initial ammonium concentration </w:t>
      </w:r>
      <w:r w:rsidRPr="00154FB3">
        <w:rPr>
          <w:shd w:val="clear" w:color="auto" w:fill="FFFFFF"/>
        </w:rPr>
        <w:lastRenderedPageBreak/>
        <w:t xml:space="preserve">in both </w:t>
      </w:r>
      <w:r w:rsidR="00591C74" w:rsidRPr="00154FB3">
        <w:rPr>
          <w:shd w:val="clear" w:color="auto" w:fill="FFFFFF"/>
        </w:rPr>
        <w:t xml:space="preserve">types of </w:t>
      </w:r>
      <w:r w:rsidRPr="00154FB3">
        <w:rPr>
          <w:shd w:val="clear" w:color="auto" w:fill="FFFFFF"/>
        </w:rPr>
        <w:t xml:space="preserve">water sample was in </w:t>
      </w:r>
      <w:r w:rsidR="00591C74" w:rsidRPr="00154FB3">
        <w:rPr>
          <w:shd w:val="clear" w:color="auto" w:fill="FFFFFF"/>
        </w:rPr>
        <w:t xml:space="preserve">the </w:t>
      </w:r>
      <w:r w:rsidRPr="00154FB3">
        <w:rPr>
          <w:shd w:val="clear" w:color="auto" w:fill="FFFFFF"/>
        </w:rPr>
        <w:t xml:space="preserve">range </w:t>
      </w:r>
      <w:r w:rsidR="00591C74" w:rsidRPr="00154FB3">
        <w:rPr>
          <w:shd w:val="clear" w:color="auto" w:fill="FFFFFF"/>
        </w:rPr>
        <w:t xml:space="preserve">that could </w:t>
      </w:r>
      <w:r w:rsidRPr="00154FB3">
        <w:rPr>
          <w:shd w:val="clear" w:color="auto" w:fill="FFFFFF"/>
        </w:rPr>
        <w:t xml:space="preserve">be efficiently removed within the experimental period, </w:t>
      </w:r>
      <w:r w:rsidR="00591C74" w:rsidRPr="00154FB3">
        <w:rPr>
          <w:shd w:val="clear" w:color="auto" w:fill="FFFFFF"/>
        </w:rPr>
        <w:t xml:space="preserve">in agreement </w:t>
      </w:r>
      <w:r w:rsidRPr="00154FB3">
        <w:rPr>
          <w:shd w:val="clear" w:color="auto" w:fill="FFFFFF"/>
        </w:rPr>
        <w:t>with</w:t>
      </w:r>
      <w:r w:rsidR="002D06B4" w:rsidRPr="00154FB3">
        <w:rPr>
          <w:shd w:val="clear" w:color="auto" w:fill="FFFFFF"/>
        </w:rPr>
        <w:t xml:space="preserve"> </w:t>
      </w:r>
      <w:r w:rsidR="00591C74" w:rsidRPr="00154FB3">
        <w:rPr>
          <w:shd w:val="clear" w:color="auto" w:fill="FFFFFF"/>
        </w:rPr>
        <w:t>data presented by</w:t>
      </w:r>
      <w:r w:rsidR="002D06B4" w:rsidRPr="00154FB3">
        <w:rPr>
          <w:shd w:val="clear" w:color="auto" w:fill="FFFFFF"/>
        </w:rPr>
        <w:t xml:space="preserve"> Tam &amp; Wong </w:t>
      </w:r>
      <w:r w:rsidR="007D496F" w:rsidRPr="00154FB3">
        <w:rPr>
          <w:shd w:val="clear" w:color="auto" w:fill="FFFFFF"/>
        </w:rPr>
        <w:t>(1996)</w:t>
      </w:r>
      <w:r w:rsidRPr="00154FB3">
        <w:rPr>
          <w:shd w:val="clear" w:color="auto" w:fill="FFFFFF"/>
        </w:rPr>
        <w:t xml:space="preserve">. A </w:t>
      </w:r>
      <w:r w:rsidRPr="00154FB3">
        <w:t xml:space="preserve">high ammonium uptake rate for immobilised cells and immobilised blank beads could also be the effect of ionic interactions between ammonium (cation) and alginate gel (anionic group). This effect could help to concentrate the ammonium ions from the medium onto the alginate gel for assimilation by the immobilised algal cells </w:t>
      </w:r>
      <w:r w:rsidR="007D496F" w:rsidRPr="00154FB3">
        <w:t xml:space="preserve">(Lau </w:t>
      </w:r>
      <w:r w:rsidR="007D496F" w:rsidRPr="00154FB3">
        <w:rPr>
          <w:i/>
        </w:rPr>
        <w:t>et al.</w:t>
      </w:r>
      <w:r w:rsidR="007D496F" w:rsidRPr="00154FB3">
        <w:t>, 1997)</w:t>
      </w:r>
      <w:r w:rsidRPr="00154FB3">
        <w:t>.</w:t>
      </w:r>
    </w:p>
    <w:p w14:paraId="0CA8D9F7" w14:textId="0DA4CB9C" w:rsidR="00DC1FE8" w:rsidRPr="00154FB3" w:rsidRDefault="00DC1FE8" w:rsidP="00DC1FE8">
      <w:pPr>
        <w:ind w:firstLine="720"/>
        <w:jc w:val="both"/>
        <w:rPr>
          <w:shd w:val="clear" w:color="auto" w:fill="FFFFFF"/>
        </w:rPr>
      </w:pPr>
      <w:r w:rsidRPr="00154FB3">
        <w:rPr>
          <w:shd w:val="clear" w:color="auto" w:fill="FFFFFF"/>
        </w:rPr>
        <w:t xml:space="preserve">Ammonium has been proven to inhibit the uptake of nitrite and nitrate in many studies </w:t>
      </w:r>
      <w:r w:rsidR="007D496F" w:rsidRPr="00154FB3">
        <w:rPr>
          <w:shd w:val="clear" w:color="auto" w:fill="FFFFFF"/>
        </w:rPr>
        <w:t>(</w:t>
      </w:r>
      <w:r w:rsidR="007D496F" w:rsidRPr="00154FB3">
        <w:t xml:space="preserve">Maestrini </w:t>
      </w:r>
      <w:r w:rsidR="007D496F" w:rsidRPr="00154FB3">
        <w:rPr>
          <w:i/>
        </w:rPr>
        <w:t>et al.</w:t>
      </w:r>
      <w:r w:rsidR="007D496F" w:rsidRPr="00154FB3">
        <w:t xml:space="preserve">, 1986; </w:t>
      </w:r>
      <w:r w:rsidR="007D496F" w:rsidRPr="00154FB3">
        <w:rPr>
          <w:shd w:val="clear" w:color="auto" w:fill="FFFFFF"/>
        </w:rPr>
        <w:t>Vilchez &amp; Vega, 1994)</w:t>
      </w:r>
      <w:r w:rsidR="002778B6" w:rsidRPr="00154FB3">
        <w:rPr>
          <w:shd w:val="clear" w:color="auto" w:fill="FFFFFF"/>
        </w:rPr>
        <w:t>, which will</w:t>
      </w:r>
      <w:r w:rsidRPr="00154FB3">
        <w:rPr>
          <w:shd w:val="clear" w:color="auto" w:fill="FFFFFF"/>
        </w:rPr>
        <w:t xml:space="preserve"> only take place after ammonium has been depleted in a water sample</w:t>
      </w:r>
      <w:r w:rsidR="008E7701" w:rsidRPr="00154FB3">
        <w:t xml:space="preserve"> </w:t>
      </w:r>
      <w:r w:rsidR="00E53CAC" w:rsidRPr="00154FB3">
        <w:t xml:space="preserve">(Maestrini </w:t>
      </w:r>
      <w:r w:rsidR="00E53CAC" w:rsidRPr="00154FB3">
        <w:rPr>
          <w:i/>
        </w:rPr>
        <w:t>et al.</w:t>
      </w:r>
      <w:r w:rsidR="00E53CAC" w:rsidRPr="00154FB3">
        <w:t>, 1986)</w:t>
      </w:r>
      <w:r w:rsidRPr="00154FB3">
        <w:rPr>
          <w:shd w:val="clear" w:color="auto" w:fill="FFFFFF"/>
        </w:rPr>
        <w:t xml:space="preserve">. Both free and immobilised cells in low and high tide PRE water showed negative nitrite </w:t>
      </w:r>
      <w:r w:rsidR="000867DE" w:rsidRPr="00154FB3">
        <w:rPr>
          <w:shd w:val="clear" w:color="auto" w:fill="FFFFFF"/>
        </w:rPr>
        <w:t>and nitrate uptake rates</w:t>
      </w:r>
      <w:r w:rsidR="002778B6" w:rsidRPr="00154FB3">
        <w:rPr>
          <w:shd w:val="clear" w:color="auto" w:fill="FFFFFF"/>
        </w:rPr>
        <w:t>, suggesting that</w:t>
      </w:r>
      <w:r w:rsidRPr="00154FB3">
        <w:rPr>
          <w:shd w:val="clear" w:color="auto" w:fill="FFFFFF"/>
        </w:rPr>
        <w:t xml:space="preserve"> uptake by </w:t>
      </w:r>
      <w:r w:rsidR="002778B6" w:rsidRPr="00154FB3">
        <w:rPr>
          <w:shd w:val="clear" w:color="auto" w:fill="FFFFFF"/>
        </w:rPr>
        <w:t xml:space="preserve">either </w:t>
      </w:r>
      <w:r w:rsidRPr="00154FB3">
        <w:rPr>
          <w:shd w:val="clear" w:color="auto" w:fill="FFFFFF"/>
        </w:rPr>
        <w:t xml:space="preserve">free </w:t>
      </w:r>
      <w:r w:rsidR="002778B6" w:rsidRPr="00154FB3">
        <w:rPr>
          <w:shd w:val="clear" w:color="auto" w:fill="FFFFFF"/>
        </w:rPr>
        <w:t xml:space="preserve">or </w:t>
      </w:r>
      <w:r w:rsidRPr="00154FB3">
        <w:rPr>
          <w:shd w:val="clear" w:color="auto" w:fill="FFFFFF"/>
        </w:rPr>
        <w:t xml:space="preserve">immobilised cells was </w:t>
      </w:r>
      <w:r w:rsidR="002778B6" w:rsidRPr="00154FB3">
        <w:rPr>
          <w:shd w:val="clear" w:color="auto" w:fill="FFFFFF"/>
        </w:rPr>
        <w:t>in</w:t>
      </w:r>
      <w:r w:rsidRPr="00154FB3">
        <w:rPr>
          <w:shd w:val="clear" w:color="auto" w:fill="FFFFFF"/>
        </w:rPr>
        <w:t>efficient due to inhibition by a high initial ammonium concen</w:t>
      </w:r>
      <w:r w:rsidR="008E7701" w:rsidRPr="00154FB3">
        <w:rPr>
          <w:shd w:val="clear" w:color="auto" w:fill="FFFFFF"/>
        </w:rPr>
        <w:t xml:space="preserve">tration in the water </w:t>
      </w:r>
      <w:r w:rsidR="00E53CAC" w:rsidRPr="00154FB3">
        <w:rPr>
          <w:shd w:val="clear" w:color="auto" w:fill="FFFFFF"/>
        </w:rPr>
        <w:t>(</w:t>
      </w:r>
      <w:r w:rsidR="00E53CAC" w:rsidRPr="00154FB3">
        <w:t xml:space="preserve">Maestrini </w:t>
      </w:r>
      <w:r w:rsidR="00E53CAC" w:rsidRPr="00154FB3">
        <w:rPr>
          <w:i/>
        </w:rPr>
        <w:t>et al.</w:t>
      </w:r>
      <w:r w:rsidR="00E53CAC" w:rsidRPr="00154FB3">
        <w:t xml:space="preserve">, 1986; </w:t>
      </w:r>
      <w:r w:rsidR="00E53CAC" w:rsidRPr="00154FB3">
        <w:rPr>
          <w:shd w:val="clear" w:color="auto" w:fill="FFFFFF"/>
        </w:rPr>
        <w:t>Vilchez &amp; Vega, 1994)</w:t>
      </w:r>
      <w:r w:rsidRPr="00154FB3">
        <w:rPr>
          <w:shd w:val="clear" w:color="auto" w:fill="FFFFFF"/>
        </w:rPr>
        <w:t xml:space="preserve">. </w:t>
      </w:r>
      <w:r w:rsidR="000867DE" w:rsidRPr="00154FB3">
        <w:rPr>
          <w:shd w:val="clear" w:color="auto" w:fill="FFFFFF"/>
        </w:rPr>
        <w:t xml:space="preserve">Based on the findings of this study, </w:t>
      </w:r>
      <w:r w:rsidRPr="00154FB3">
        <w:rPr>
          <w:shd w:val="clear" w:color="auto" w:fill="FFFFFF"/>
        </w:rPr>
        <w:t>ammonium decreased from day 0 until day 10, while the nitrite and nitrate concentrations were somewhat erratic and inconsistent in terms of depletion</w:t>
      </w:r>
      <w:r w:rsidR="00C44E13" w:rsidRPr="00154FB3">
        <w:rPr>
          <w:shd w:val="clear" w:color="auto" w:fill="FFFFFF"/>
        </w:rPr>
        <w:t xml:space="preserve"> trates</w:t>
      </w:r>
      <w:r w:rsidRPr="00154FB3">
        <w:rPr>
          <w:shd w:val="clear" w:color="auto" w:fill="FFFFFF"/>
        </w:rPr>
        <w:t xml:space="preserve"> as assimilation by </w:t>
      </w:r>
      <w:r w:rsidRPr="00154FB3">
        <w:rPr>
          <w:i/>
          <w:shd w:val="clear" w:color="auto" w:fill="FFFFFF"/>
        </w:rPr>
        <w:t>S. bijugatus</w:t>
      </w:r>
      <w:r w:rsidRPr="00154FB3">
        <w:rPr>
          <w:shd w:val="clear" w:color="auto" w:fill="FFFFFF"/>
        </w:rPr>
        <w:t xml:space="preserve"> cells occur</w:t>
      </w:r>
      <w:r w:rsidR="00C44E13" w:rsidRPr="00154FB3">
        <w:rPr>
          <w:shd w:val="clear" w:color="auto" w:fill="FFFFFF"/>
        </w:rPr>
        <w:t>r</w:t>
      </w:r>
      <w:r w:rsidRPr="00154FB3">
        <w:rPr>
          <w:shd w:val="clear" w:color="auto" w:fill="FFFFFF"/>
        </w:rPr>
        <w:t xml:space="preserve">ed. </w:t>
      </w:r>
      <w:r w:rsidR="00C44E13" w:rsidRPr="00154FB3">
        <w:rPr>
          <w:shd w:val="clear" w:color="auto" w:fill="FFFFFF"/>
        </w:rPr>
        <w:t>Ammonium levels underlie</w:t>
      </w:r>
      <w:r w:rsidRPr="00154FB3">
        <w:rPr>
          <w:shd w:val="clear" w:color="auto" w:fill="FFFFFF"/>
        </w:rPr>
        <w:t xml:space="preserve"> the low removal percentage of nitrite and nitrate from PRE water samples for both free and immobilised cells. The </w:t>
      </w:r>
      <w:r w:rsidRPr="00154FB3">
        <w:t xml:space="preserve">higher nitrate and nitrite removal observed in immobilised cells compared to free cells could be due to the adsorption of nitrate and nitrite onto the alginate bead matrix in addition to assimilation by </w:t>
      </w:r>
      <w:r w:rsidRPr="00154FB3">
        <w:rPr>
          <w:i/>
        </w:rPr>
        <w:t>S. bijugatus</w:t>
      </w:r>
      <w:r w:rsidR="00AB637F" w:rsidRPr="00154FB3">
        <w:t xml:space="preserve"> cells </w:t>
      </w:r>
      <w:r w:rsidR="00E53CAC" w:rsidRPr="00154FB3">
        <w:t>(Aslan &amp; Kapdan, 2006)</w:t>
      </w:r>
      <w:r w:rsidRPr="00154FB3">
        <w:t>.</w:t>
      </w:r>
    </w:p>
    <w:p w14:paraId="44BE81F1" w14:textId="4B77714D" w:rsidR="00DC1FE8" w:rsidRPr="00154FB3" w:rsidRDefault="00DC1FE8" w:rsidP="00DC1FE8">
      <w:pPr>
        <w:ind w:firstLine="720"/>
        <w:jc w:val="both"/>
      </w:pPr>
      <w:r w:rsidRPr="00154FB3">
        <w:t>The assimilation of nitrate by microalgae depends on the availability of light</w:t>
      </w:r>
      <w:r w:rsidR="00C44E13" w:rsidRPr="00154FB3">
        <w:t>,</w:t>
      </w:r>
      <w:r w:rsidRPr="00154FB3">
        <w:t xml:space="preserve"> because microalgae require light energy as a reductant and to produce ATP </w:t>
      </w:r>
      <w:r w:rsidR="00C44E13" w:rsidRPr="00154FB3">
        <w:t xml:space="preserve">required for the </w:t>
      </w:r>
      <w:r w:rsidRPr="00154FB3">
        <w:t xml:space="preserve">assimilation </w:t>
      </w:r>
      <w:r w:rsidR="00B60AC8" w:rsidRPr="00154FB3">
        <w:t xml:space="preserve">process </w:t>
      </w:r>
      <w:r w:rsidR="00E53CAC" w:rsidRPr="00154FB3">
        <w:t>(Guerrero &amp; Lara, 1987; Lara &amp; Romero, 1986)</w:t>
      </w:r>
      <w:r w:rsidRPr="00154FB3">
        <w:t xml:space="preserve">. </w:t>
      </w:r>
      <w:r w:rsidR="000867DE" w:rsidRPr="00154FB3">
        <w:t>T</w:t>
      </w:r>
      <w:r w:rsidRPr="00154FB3">
        <w:t xml:space="preserve">he nitrate uptake efficiency was higher at a light intensity of 100 </w:t>
      </w:r>
      <w:r w:rsidRPr="00154FB3">
        <w:rPr>
          <w:rFonts w:ascii="Franklin Gothic Book" w:hAnsi="Franklin Gothic Book"/>
        </w:rPr>
        <w:t>µ</w:t>
      </w:r>
      <w:r w:rsidRPr="00154FB3">
        <w:t>mol m</w:t>
      </w:r>
      <w:r w:rsidRPr="00154FB3">
        <w:rPr>
          <w:vertAlign w:val="superscript"/>
        </w:rPr>
        <w:t>-2</w:t>
      </w:r>
      <w:r w:rsidR="00C44E13" w:rsidRPr="00154FB3">
        <w:rPr>
          <w:vertAlign w:val="superscript"/>
        </w:rPr>
        <w:t xml:space="preserve"> </w:t>
      </w:r>
      <w:r w:rsidRPr="00154FB3">
        <w:t>s</w:t>
      </w:r>
      <w:r w:rsidRPr="00154FB3">
        <w:rPr>
          <w:vertAlign w:val="superscript"/>
        </w:rPr>
        <w:t xml:space="preserve">-1 </w:t>
      </w:r>
      <w:r w:rsidRPr="00154FB3">
        <w:t xml:space="preserve">than at 35 </w:t>
      </w:r>
      <w:r w:rsidRPr="00154FB3">
        <w:rPr>
          <w:rFonts w:ascii="Franklin Gothic Book" w:hAnsi="Franklin Gothic Book"/>
        </w:rPr>
        <w:t>µ</w:t>
      </w:r>
      <w:r w:rsidRPr="00154FB3">
        <w:t>mol m</w:t>
      </w:r>
      <w:r w:rsidRPr="00154FB3">
        <w:rPr>
          <w:vertAlign w:val="superscript"/>
        </w:rPr>
        <w:t>-2</w:t>
      </w:r>
      <w:r w:rsidR="00C44E13" w:rsidRPr="00154FB3">
        <w:rPr>
          <w:vertAlign w:val="superscript"/>
        </w:rPr>
        <w:t xml:space="preserve"> </w:t>
      </w:r>
      <w:r w:rsidRPr="00154FB3">
        <w:t>s</w:t>
      </w:r>
      <w:r w:rsidRPr="00154FB3">
        <w:rPr>
          <w:vertAlign w:val="superscript"/>
        </w:rPr>
        <w:t>-1</w:t>
      </w:r>
      <w:r w:rsidR="000867DE" w:rsidRPr="00154FB3">
        <w:t xml:space="preserve"> (Garbisu</w:t>
      </w:r>
      <w:r w:rsidR="000867DE" w:rsidRPr="00154FB3">
        <w:rPr>
          <w:i/>
        </w:rPr>
        <w:t xml:space="preserve"> et al.</w:t>
      </w:r>
      <w:r w:rsidR="000867DE" w:rsidRPr="00154FB3">
        <w:t>, 1991)</w:t>
      </w:r>
      <w:r w:rsidRPr="00154FB3">
        <w:t xml:space="preserve">. In this study, the light intensity was fixed at 33.75 </w:t>
      </w:r>
      <w:r w:rsidRPr="00154FB3">
        <w:rPr>
          <w:rFonts w:ascii="Franklin Gothic Book" w:hAnsi="Franklin Gothic Book"/>
        </w:rPr>
        <w:t>µ</w:t>
      </w:r>
      <w:r w:rsidRPr="00154FB3">
        <w:t>mol m</w:t>
      </w:r>
      <w:r w:rsidRPr="00154FB3">
        <w:rPr>
          <w:vertAlign w:val="superscript"/>
        </w:rPr>
        <w:t>-2</w:t>
      </w:r>
      <w:r w:rsidRPr="00154FB3">
        <w:t>s</w:t>
      </w:r>
      <w:r w:rsidR="00C44E13" w:rsidRPr="00154FB3">
        <w:t xml:space="preserve"> </w:t>
      </w:r>
      <w:r w:rsidRPr="00154FB3">
        <w:rPr>
          <w:vertAlign w:val="superscript"/>
        </w:rPr>
        <w:t>-1</w:t>
      </w:r>
      <w:r w:rsidRPr="00154FB3">
        <w:t xml:space="preserve"> throu</w:t>
      </w:r>
      <w:r w:rsidR="004570C6" w:rsidRPr="00154FB3">
        <w:t xml:space="preserve">ghout the </w:t>
      </w:r>
      <w:r w:rsidR="004570C6" w:rsidRPr="00154FB3">
        <w:lastRenderedPageBreak/>
        <w:t xml:space="preserve">experimental duration </w:t>
      </w:r>
      <w:r w:rsidR="00C44E13" w:rsidRPr="00154FB3">
        <w:t>would therefore have reduced</w:t>
      </w:r>
      <w:r w:rsidR="004570C6" w:rsidRPr="00154FB3">
        <w:t xml:space="preserve"> the nitrate uptake rate</w:t>
      </w:r>
      <w:r w:rsidR="00C44E13" w:rsidRPr="00154FB3">
        <w:t xml:space="preserve"> achievable</w:t>
      </w:r>
      <w:r w:rsidR="004570C6" w:rsidRPr="00154FB3">
        <w:t xml:space="preserve"> by </w:t>
      </w:r>
      <w:r w:rsidR="004570C6" w:rsidRPr="00154FB3">
        <w:rPr>
          <w:i/>
        </w:rPr>
        <w:t>S. bijugatus</w:t>
      </w:r>
      <w:r w:rsidR="004570C6" w:rsidRPr="00154FB3">
        <w:t xml:space="preserve"> cells</w:t>
      </w:r>
      <w:r w:rsidRPr="00154FB3">
        <w:t xml:space="preserve">. </w:t>
      </w:r>
      <w:r w:rsidR="00C44E13" w:rsidRPr="00154FB3">
        <w:t>Both</w:t>
      </w:r>
      <w:r w:rsidRPr="00154FB3">
        <w:t xml:space="preserve"> uptake and nitrate removal rates might be more cons</w:t>
      </w:r>
      <w:r w:rsidR="00C44E13" w:rsidRPr="00154FB3">
        <w:t>is</w:t>
      </w:r>
      <w:r w:rsidRPr="00154FB3">
        <w:t>t</w:t>
      </w:r>
      <w:r w:rsidR="00C44E13" w:rsidRPr="00154FB3">
        <w:t>e</w:t>
      </w:r>
      <w:r w:rsidRPr="00154FB3">
        <w:t>nt at a higher light intensity.</w:t>
      </w:r>
    </w:p>
    <w:p w14:paraId="5B8BD0A4" w14:textId="51645C6C" w:rsidR="002D480C" w:rsidRPr="00154FB3" w:rsidRDefault="00410033" w:rsidP="00801C01">
      <w:pPr>
        <w:pStyle w:val="Newparagraph"/>
        <w:jc w:val="both"/>
        <w:rPr>
          <w:rFonts w:eastAsia="AdvGulliv-R"/>
        </w:rPr>
      </w:pPr>
      <w:r w:rsidRPr="00154FB3">
        <w:t>L</w:t>
      </w:r>
      <w:r w:rsidR="00DC1FE8" w:rsidRPr="00154FB3">
        <w:t>ow nitrate and nitrite removal</w:t>
      </w:r>
      <w:r w:rsidRPr="00154FB3">
        <w:t xml:space="preserve"> were observed in</w:t>
      </w:r>
      <w:r w:rsidR="00C44E13" w:rsidRPr="00154FB3">
        <w:t xml:space="preserve"> both</w:t>
      </w:r>
      <w:r w:rsidRPr="00154FB3">
        <w:t xml:space="preserve"> free cell control and immobilised blank bead treatments, </w:t>
      </w:r>
      <w:r w:rsidR="00C44E13" w:rsidRPr="00154FB3">
        <w:t xml:space="preserve">and </w:t>
      </w:r>
      <w:r w:rsidRPr="00154FB3">
        <w:t xml:space="preserve">might </w:t>
      </w:r>
      <w:r w:rsidR="00C44E13" w:rsidRPr="00154FB3">
        <w:t>indicate</w:t>
      </w:r>
      <w:r w:rsidRPr="00154FB3">
        <w:t xml:space="preserve"> the </w:t>
      </w:r>
      <w:r w:rsidR="00DC1FE8" w:rsidRPr="00154FB3">
        <w:t>oxidation or reduction of nitrate or ni</w:t>
      </w:r>
      <w:r w:rsidRPr="00154FB3">
        <w:t>trite to other forms of nitrogen during the period of the treatment</w:t>
      </w:r>
      <w:r w:rsidR="00DC1FE8" w:rsidRPr="00154FB3">
        <w:t xml:space="preserve"> </w:t>
      </w:r>
      <w:r w:rsidR="00E53CAC" w:rsidRPr="00154FB3">
        <w:rPr>
          <w:rFonts w:eastAsia="AdvGulliv-R"/>
        </w:rPr>
        <w:t>(de-Bashan &amp; Bashan, 2010)</w:t>
      </w:r>
      <w:r w:rsidR="00DC1FE8" w:rsidRPr="00154FB3">
        <w:rPr>
          <w:rFonts w:eastAsia="AdvGulliv-R"/>
        </w:rPr>
        <w:t>.</w:t>
      </w:r>
    </w:p>
    <w:p w14:paraId="1DD01878" w14:textId="77777777" w:rsidR="00801C01" w:rsidRPr="00154FB3" w:rsidRDefault="00801C01" w:rsidP="00801C01">
      <w:pPr>
        <w:pStyle w:val="Newparagraph"/>
        <w:jc w:val="both"/>
        <w:rPr>
          <w:rFonts w:eastAsia="AdvGulliv-R"/>
        </w:rPr>
      </w:pPr>
    </w:p>
    <w:p w14:paraId="534774DB" w14:textId="77777777" w:rsidR="00DC1FE8" w:rsidRPr="00154FB3" w:rsidRDefault="00DC1FE8" w:rsidP="00DC1FE8">
      <w:pPr>
        <w:rPr>
          <w:b/>
        </w:rPr>
      </w:pPr>
      <w:r w:rsidRPr="00154FB3">
        <w:rPr>
          <w:b/>
        </w:rPr>
        <w:t>Conclusion</w:t>
      </w:r>
    </w:p>
    <w:p w14:paraId="775AD769" w14:textId="77D1C68C" w:rsidR="00DC1FE8" w:rsidRPr="00154FB3" w:rsidRDefault="00DC1FE8" w:rsidP="00DC1FE8">
      <w:pPr>
        <w:pStyle w:val="Newparagraph"/>
        <w:jc w:val="both"/>
      </w:pPr>
      <w:r w:rsidRPr="00154FB3">
        <w:t xml:space="preserve">This study was carried out to determine the potential of the free and immobilised green microalgae, </w:t>
      </w:r>
      <w:r w:rsidRPr="00154FB3">
        <w:rPr>
          <w:i/>
        </w:rPr>
        <w:t>Scenedesmus bijugatus</w:t>
      </w:r>
      <w:r w:rsidR="00C44E13" w:rsidRPr="00154FB3">
        <w:rPr>
          <w:i/>
        </w:rPr>
        <w:t>,</w:t>
      </w:r>
      <w:r w:rsidRPr="00154FB3">
        <w:t xml:space="preserve"> to remove inorganic nutrients (phosphate, ammonium, nitrite and nitrate) from organically</w:t>
      </w:r>
      <w:r w:rsidR="00C44E13" w:rsidRPr="00154FB3">
        <w:t>-</w:t>
      </w:r>
      <w:r w:rsidRPr="00154FB3">
        <w:t xml:space="preserve">polluted PRE water. Salinity affects algal growth, </w:t>
      </w:r>
      <w:r w:rsidR="00C44E13" w:rsidRPr="00154FB3">
        <w:t xml:space="preserve">and therefore </w:t>
      </w:r>
      <w:r w:rsidRPr="00154FB3">
        <w:rPr>
          <w:i/>
        </w:rPr>
        <w:t xml:space="preserve">S. bijugatus </w:t>
      </w:r>
      <w:r w:rsidRPr="00154FB3">
        <w:t>cells</w:t>
      </w:r>
      <w:r w:rsidRPr="00154FB3">
        <w:rPr>
          <w:i/>
        </w:rPr>
        <w:t xml:space="preserve"> </w:t>
      </w:r>
      <w:r w:rsidRPr="00154FB3">
        <w:t xml:space="preserve">in high tide PRE water showed poor growth compared to </w:t>
      </w:r>
      <w:r w:rsidR="00C44E13" w:rsidRPr="00154FB3">
        <w:t>that</w:t>
      </w:r>
      <w:r w:rsidRPr="00154FB3">
        <w:t xml:space="preserve"> in low tide water. The efficiency of </w:t>
      </w:r>
      <w:r w:rsidRPr="00154FB3">
        <w:rPr>
          <w:i/>
        </w:rPr>
        <w:t>S. bijugatus</w:t>
      </w:r>
      <w:r w:rsidRPr="00154FB3">
        <w:t xml:space="preserve"> for phosphate and ammonium removal was high (62-88% and 81-94% efficiency, respectively), compared to </w:t>
      </w:r>
      <w:r w:rsidR="00C44E13" w:rsidRPr="00154FB3">
        <w:t>values for</w:t>
      </w:r>
      <w:r w:rsidRPr="00154FB3">
        <w:t xml:space="preserve"> nitrite and nitrate, </w:t>
      </w:r>
      <w:r w:rsidR="00C44E13" w:rsidRPr="00154FB3">
        <w:t xml:space="preserve">supporting previous observations </w:t>
      </w:r>
      <w:r w:rsidRPr="00154FB3">
        <w:t xml:space="preserve">that ammonium </w:t>
      </w:r>
      <w:r w:rsidR="00C44E13" w:rsidRPr="00154FB3">
        <w:t xml:space="preserve">is </w:t>
      </w:r>
      <w:r w:rsidRPr="00154FB3">
        <w:t xml:space="preserve">a preferred nutrient for algal assimilation. Although no significant differences were evident between free and immobilised cells, the results </w:t>
      </w:r>
      <w:r w:rsidR="00292741" w:rsidRPr="00154FB3">
        <w:t xml:space="preserve">overall indicated </w:t>
      </w:r>
      <w:r w:rsidRPr="00154FB3">
        <w:t xml:space="preserve">that cell immobilisation </w:t>
      </w:r>
      <w:r w:rsidR="00292741" w:rsidRPr="00154FB3">
        <w:t xml:space="preserve">helped </w:t>
      </w:r>
      <w:r w:rsidRPr="00154FB3">
        <w:t xml:space="preserve">in nutrient removal, especially for phosphate via chemical precipitation. However, nitrogen removal (ammonium, nitrite and nitrate) by immobilised cells occurred only to a certain extent through adsorption onto the bead matrix. Microalgal cell immobilisation in wastewater treatment is promising and more sustainable in the long run because the by-product (i.e., the microalgal biomass) can </w:t>
      </w:r>
      <w:r w:rsidR="00292741" w:rsidRPr="00154FB3">
        <w:t xml:space="preserve">more </w:t>
      </w:r>
      <w:r w:rsidRPr="00154FB3">
        <w:t>easily be removed after treatment.</w:t>
      </w:r>
    </w:p>
    <w:p w14:paraId="7306DFE3" w14:textId="77777777" w:rsidR="00DC1FE8" w:rsidRPr="00154FB3" w:rsidRDefault="00DC1FE8">
      <w:pPr>
        <w:spacing w:line="240" w:lineRule="auto"/>
      </w:pPr>
    </w:p>
    <w:p w14:paraId="69C7F455" w14:textId="77777777" w:rsidR="00F03424" w:rsidRPr="00154FB3" w:rsidRDefault="00DC1FE8" w:rsidP="00AA01C8">
      <w:pPr>
        <w:jc w:val="both"/>
        <w:rPr>
          <w:b/>
        </w:rPr>
      </w:pPr>
      <w:r w:rsidRPr="00154FB3">
        <w:rPr>
          <w:b/>
        </w:rPr>
        <w:t>References</w:t>
      </w:r>
    </w:p>
    <w:p w14:paraId="36F55E3C" w14:textId="77777777" w:rsidR="00DC1FE8" w:rsidRPr="00154FB3" w:rsidRDefault="00DC1FE8" w:rsidP="00B6067E">
      <w:pPr>
        <w:spacing w:line="240" w:lineRule="auto"/>
        <w:jc w:val="both"/>
      </w:pPr>
      <w:r w:rsidRPr="00154FB3">
        <w:lastRenderedPageBreak/>
        <w:t>Abdullah</w:t>
      </w:r>
      <w:r w:rsidR="00591B8B" w:rsidRPr="00154FB3">
        <w:t xml:space="preserve"> K.</w:t>
      </w:r>
      <w:r w:rsidRPr="00154FB3">
        <w:t xml:space="preserve"> </w:t>
      </w:r>
      <w:r w:rsidR="005127CA" w:rsidRPr="00154FB3">
        <w:t xml:space="preserve">and </w:t>
      </w:r>
      <w:r w:rsidRPr="00154FB3">
        <w:t>Mahmood</w:t>
      </w:r>
      <w:r w:rsidR="00591B8B" w:rsidRPr="00154FB3">
        <w:t>,</w:t>
      </w:r>
      <w:r w:rsidR="00304FC8" w:rsidRPr="00154FB3">
        <w:t xml:space="preserve"> M</w:t>
      </w:r>
      <w:r w:rsidR="00591B8B" w:rsidRPr="00154FB3">
        <w:t>.</w:t>
      </w:r>
      <w:r w:rsidR="00304FC8" w:rsidRPr="00154FB3">
        <w:t xml:space="preserve">F. </w:t>
      </w:r>
      <w:r w:rsidRPr="00154FB3">
        <w:t>Rive</w:t>
      </w:r>
      <w:r w:rsidR="00304FC8" w:rsidRPr="00154FB3">
        <w:t>r Management – The Way Forward.</w:t>
      </w:r>
      <w:r w:rsidRPr="00154FB3">
        <w:t xml:space="preserve"> Workshop on R</w:t>
      </w:r>
      <w:r w:rsidR="00304FC8" w:rsidRPr="00154FB3">
        <w:t>iver Management, Kuala Selangor.</w:t>
      </w:r>
      <w:r w:rsidRPr="00154FB3">
        <w:t xml:space="preserve"> </w:t>
      </w:r>
      <w:r w:rsidR="00304FC8" w:rsidRPr="00154FB3">
        <w:t xml:space="preserve"> 1999; </w:t>
      </w:r>
      <w:r w:rsidRPr="00154FB3">
        <w:t>30–31 March.</w:t>
      </w:r>
    </w:p>
    <w:p w14:paraId="7E2CF936" w14:textId="77777777" w:rsidR="00603139" w:rsidRPr="00154FB3" w:rsidRDefault="00603139" w:rsidP="00B6067E">
      <w:pPr>
        <w:spacing w:line="240" w:lineRule="auto"/>
        <w:jc w:val="both"/>
      </w:pPr>
    </w:p>
    <w:p w14:paraId="1E618F85" w14:textId="77777777" w:rsidR="00603139" w:rsidRPr="00154FB3" w:rsidRDefault="00603139" w:rsidP="00B6067E">
      <w:pPr>
        <w:spacing w:line="240" w:lineRule="auto"/>
        <w:jc w:val="both"/>
      </w:pPr>
      <w:r w:rsidRPr="00154FB3">
        <w:t>Andersen, R.A., (2005), Algal Culturing Techniques, Elsevier Inc.</w:t>
      </w:r>
    </w:p>
    <w:p w14:paraId="1FCBA162" w14:textId="77777777" w:rsidR="003F3FD8" w:rsidRPr="00154FB3" w:rsidRDefault="003F3FD8" w:rsidP="00B6067E">
      <w:pPr>
        <w:spacing w:line="240" w:lineRule="auto"/>
        <w:jc w:val="both"/>
      </w:pPr>
    </w:p>
    <w:p w14:paraId="61FAEBB0" w14:textId="77777777" w:rsidR="003F3FD8" w:rsidRPr="00154FB3" w:rsidRDefault="003F3FD8" w:rsidP="00B6067E">
      <w:pPr>
        <w:spacing w:line="240" w:lineRule="auto"/>
        <w:jc w:val="both"/>
      </w:pPr>
      <w:r w:rsidRPr="00154FB3">
        <w:t xml:space="preserve">Anita, K., Narsi, R.B., and Namita, S. 2011. “Salinity as a factor affecting the physiological and biochemical traits of </w:t>
      </w:r>
      <w:r w:rsidRPr="00154FB3">
        <w:rPr>
          <w:i/>
        </w:rPr>
        <w:t>Scenedesmus quadricauda</w:t>
      </w:r>
      <w:r w:rsidRPr="00154FB3">
        <w:t>.” Journal of Algal Biomass Utilization. 2(4): 28-34.</w:t>
      </w:r>
    </w:p>
    <w:p w14:paraId="7230BCE4" w14:textId="77777777" w:rsidR="00EB561E" w:rsidRPr="00154FB3" w:rsidRDefault="00EB561E" w:rsidP="00B6067E">
      <w:pPr>
        <w:spacing w:line="240" w:lineRule="auto"/>
        <w:jc w:val="both"/>
      </w:pPr>
    </w:p>
    <w:p w14:paraId="52CB5DA1" w14:textId="77777777" w:rsidR="00EB561E" w:rsidRPr="00154FB3" w:rsidRDefault="00EB561E" w:rsidP="00B6067E">
      <w:pPr>
        <w:spacing w:line="240" w:lineRule="auto"/>
        <w:jc w:val="both"/>
        <w:rPr>
          <w:iCs/>
        </w:rPr>
      </w:pPr>
      <w:r w:rsidRPr="00154FB3">
        <w:t>Aslan, S., and Kapdan, I.K. 2006. “Batch kinetics of nitrogen and phosphorus removal from synthetic wastewater by algae.” Ecological Engineering. 28:64-70.</w:t>
      </w:r>
    </w:p>
    <w:p w14:paraId="5ED3CB6B" w14:textId="77777777" w:rsidR="00EB561E" w:rsidRPr="00154FB3" w:rsidRDefault="00EB561E" w:rsidP="00B6067E">
      <w:pPr>
        <w:spacing w:line="240" w:lineRule="auto"/>
        <w:jc w:val="both"/>
        <w:rPr>
          <w:iCs/>
        </w:rPr>
      </w:pPr>
    </w:p>
    <w:p w14:paraId="7E2FB138" w14:textId="77777777" w:rsidR="00EB561E" w:rsidRPr="00154FB3" w:rsidRDefault="00EB561E" w:rsidP="00B6067E">
      <w:pPr>
        <w:spacing w:line="240" w:lineRule="auto"/>
        <w:jc w:val="both"/>
        <w:rPr>
          <w:iCs/>
        </w:rPr>
      </w:pPr>
      <w:r w:rsidRPr="00154FB3">
        <w:t xml:space="preserve">Attilio, C., Alessandro, A.C., Erika, Y.O., Perego, P., and Del Borghi, M. 2009. “Effect of temperature and nitrogen concentration on the growth and lipid content of </w:t>
      </w:r>
      <w:r w:rsidRPr="00154FB3">
        <w:rPr>
          <w:i/>
        </w:rPr>
        <w:t>Nannochloropsis oculata</w:t>
      </w:r>
      <w:r w:rsidRPr="00154FB3">
        <w:t xml:space="preserve"> and </w:t>
      </w:r>
      <w:r w:rsidRPr="00154FB3">
        <w:rPr>
          <w:i/>
        </w:rPr>
        <w:t>Chlorella vulgaris</w:t>
      </w:r>
      <w:r w:rsidRPr="00154FB3">
        <w:t xml:space="preserve"> for biodiesel production.” Chemical Engineering and Processing. 48:1146-1151.</w:t>
      </w:r>
    </w:p>
    <w:p w14:paraId="06AE9A06" w14:textId="77777777" w:rsidR="00EB561E" w:rsidRPr="00154FB3" w:rsidRDefault="00EB561E" w:rsidP="00B6067E">
      <w:pPr>
        <w:spacing w:line="240" w:lineRule="auto"/>
        <w:jc w:val="both"/>
        <w:rPr>
          <w:iCs/>
        </w:rPr>
      </w:pPr>
    </w:p>
    <w:p w14:paraId="73578236" w14:textId="77777777" w:rsidR="00EB561E" w:rsidRPr="00154FB3" w:rsidRDefault="00EB561E" w:rsidP="00B6067E">
      <w:pPr>
        <w:spacing w:line="240" w:lineRule="auto"/>
        <w:jc w:val="both"/>
      </w:pPr>
      <w:r w:rsidRPr="00154FB3">
        <w:rPr>
          <w:iCs/>
        </w:rPr>
        <w:t>Cai, T., Stephen YP, and Yebo, L. 2013. “Nutrient recovery from wastewater streams by microalgae: Status and prospects.” Renewable and Sustainable Energy Reviews. 19:360–369.</w:t>
      </w:r>
    </w:p>
    <w:p w14:paraId="7F2B4DFF" w14:textId="77777777" w:rsidR="00DC1FE8" w:rsidRPr="00154FB3" w:rsidRDefault="00DC1FE8" w:rsidP="00B6067E">
      <w:pPr>
        <w:spacing w:line="240" w:lineRule="auto"/>
        <w:jc w:val="both"/>
      </w:pPr>
    </w:p>
    <w:p w14:paraId="3B5C1D8F" w14:textId="77777777" w:rsidR="00EB561E" w:rsidRPr="00154FB3" w:rsidRDefault="00EB561E" w:rsidP="00EB561E">
      <w:pPr>
        <w:spacing w:line="240" w:lineRule="auto"/>
        <w:jc w:val="both"/>
      </w:pPr>
      <w:r w:rsidRPr="00154FB3">
        <w:t xml:space="preserve">Chen, Y. 2001. “Immobilized microalgae </w:t>
      </w:r>
      <w:r w:rsidRPr="00154FB3">
        <w:rPr>
          <w:i/>
        </w:rPr>
        <w:t>Scenedesmus quadriqauda</w:t>
      </w:r>
      <w:r w:rsidRPr="00154FB3">
        <w:t>, for long-term storage and for application in fish culture water quality control.” Aquaculture. 195:71-80.</w:t>
      </w:r>
    </w:p>
    <w:p w14:paraId="57E6BC68" w14:textId="77777777" w:rsidR="00EB561E" w:rsidRPr="00154FB3" w:rsidRDefault="00EB561E" w:rsidP="00EB561E">
      <w:pPr>
        <w:spacing w:line="240" w:lineRule="auto"/>
        <w:jc w:val="both"/>
      </w:pPr>
    </w:p>
    <w:p w14:paraId="49D6CA3B" w14:textId="77777777" w:rsidR="00EB561E" w:rsidRPr="00154FB3" w:rsidRDefault="00EB561E" w:rsidP="00EB561E">
      <w:pPr>
        <w:spacing w:line="240" w:lineRule="auto"/>
        <w:jc w:val="both"/>
      </w:pPr>
      <w:r w:rsidRPr="00154FB3">
        <w:t>de-Bashan, L.E., and Bashan, Y. 2010. “Immobilized microalgae for removing pollutants: Review of practical aspects.”  Bioresource Technology. 101:1611-1627.</w:t>
      </w:r>
    </w:p>
    <w:p w14:paraId="50191B37" w14:textId="77777777" w:rsidR="00EB561E" w:rsidRPr="00154FB3" w:rsidRDefault="00EB561E" w:rsidP="00B6067E">
      <w:pPr>
        <w:spacing w:line="240" w:lineRule="auto"/>
        <w:jc w:val="both"/>
      </w:pPr>
    </w:p>
    <w:p w14:paraId="6E35E864" w14:textId="77777777" w:rsidR="00262073" w:rsidRPr="00154FB3" w:rsidRDefault="00262073" w:rsidP="00B6067E">
      <w:pPr>
        <w:spacing w:line="240" w:lineRule="auto"/>
        <w:jc w:val="both"/>
      </w:pPr>
      <w:r w:rsidRPr="00154FB3">
        <w:t>DOE (Department of Environment). Malaysia Environmental Quality Report 2004, Department of Environment Malaysia, Ministry of Natural Resources and Environment, Malaysia; 2004. 18-33.</w:t>
      </w:r>
    </w:p>
    <w:p w14:paraId="2521353F" w14:textId="77777777" w:rsidR="00262073" w:rsidRPr="00154FB3" w:rsidRDefault="00262073" w:rsidP="00B6067E">
      <w:pPr>
        <w:spacing w:line="240" w:lineRule="auto"/>
        <w:jc w:val="both"/>
        <w:rPr>
          <w:color w:val="131313"/>
        </w:rPr>
      </w:pPr>
    </w:p>
    <w:p w14:paraId="0604818A" w14:textId="77777777" w:rsidR="00262073" w:rsidRPr="00154FB3" w:rsidRDefault="00262073" w:rsidP="00B6067E">
      <w:pPr>
        <w:spacing w:line="240" w:lineRule="auto"/>
        <w:jc w:val="both"/>
      </w:pPr>
      <w:r w:rsidRPr="00154FB3">
        <w:t xml:space="preserve">DOE (Department of Environment). </w:t>
      </w:r>
      <w:r w:rsidR="00591B8B" w:rsidRPr="00154FB3">
        <w:t>2014. “</w:t>
      </w:r>
      <w:r w:rsidRPr="00154FB3">
        <w:t>Malaysia Environmental Quality Report 2014</w:t>
      </w:r>
      <w:r w:rsidR="00591B8B" w:rsidRPr="00154FB3">
        <w:t>.”</w:t>
      </w:r>
      <w:r w:rsidRPr="00154FB3">
        <w:t xml:space="preserve"> Department of Environment Malaysia, Ministry of Natural Reso</w:t>
      </w:r>
      <w:r w:rsidR="00591B8B" w:rsidRPr="00154FB3">
        <w:t>urces and Environment, Malaysia. pp</w:t>
      </w:r>
      <w:r w:rsidRPr="00154FB3">
        <w:t>44-81.</w:t>
      </w:r>
    </w:p>
    <w:p w14:paraId="75EA41D4" w14:textId="77777777" w:rsidR="00262073" w:rsidRPr="00154FB3" w:rsidRDefault="00262073" w:rsidP="00B6067E">
      <w:pPr>
        <w:spacing w:line="240" w:lineRule="auto"/>
        <w:jc w:val="both"/>
      </w:pPr>
    </w:p>
    <w:p w14:paraId="36EC52C9" w14:textId="77777777" w:rsidR="00262073" w:rsidRPr="00154FB3" w:rsidRDefault="00262073" w:rsidP="00B6067E">
      <w:pPr>
        <w:spacing w:line="240" w:lineRule="auto"/>
        <w:jc w:val="both"/>
      </w:pPr>
      <w:r w:rsidRPr="00154FB3">
        <w:t>Farah Naemah</w:t>
      </w:r>
      <w:r w:rsidR="00591B8B" w:rsidRPr="00154FB3">
        <w:t>,</w:t>
      </w:r>
      <w:r w:rsidRPr="00154FB3">
        <w:t xml:space="preserve"> M</w:t>
      </w:r>
      <w:r w:rsidR="00591B8B" w:rsidRPr="00154FB3">
        <w:t>.</w:t>
      </w:r>
      <w:r w:rsidRPr="00154FB3">
        <w:t>S</w:t>
      </w:r>
      <w:r w:rsidR="00591B8B" w:rsidRPr="00154FB3">
        <w:t>.</w:t>
      </w:r>
      <w:r w:rsidRPr="00154FB3">
        <w:t>, Nik Norulaini</w:t>
      </w:r>
      <w:r w:rsidR="00591B8B" w:rsidRPr="00154FB3">
        <w:t>,</w:t>
      </w:r>
      <w:r w:rsidRPr="00154FB3">
        <w:t xml:space="preserve"> N</w:t>
      </w:r>
      <w:r w:rsidR="00591B8B" w:rsidRPr="00154FB3">
        <w:t>.</w:t>
      </w:r>
      <w:r w:rsidRPr="00154FB3">
        <w:t>A</w:t>
      </w:r>
      <w:r w:rsidR="00591B8B" w:rsidRPr="00154FB3">
        <w:t>.</w:t>
      </w:r>
      <w:r w:rsidRPr="00154FB3">
        <w:t>R, Mohd Omar</w:t>
      </w:r>
      <w:r w:rsidR="00591B8B" w:rsidRPr="00154FB3">
        <w:t>,</w:t>
      </w:r>
      <w:r w:rsidRPr="00154FB3">
        <w:t xml:space="preserve"> A</w:t>
      </w:r>
      <w:r w:rsidR="00591B8B" w:rsidRPr="00154FB3">
        <w:t>.</w:t>
      </w:r>
      <w:r w:rsidRPr="00154FB3">
        <w:t>K</w:t>
      </w:r>
      <w:r w:rsidR="00591B8B" w:rsidRPr="00154FB3">
        <w:t>.</w:t>
      </w:r>
      <w:r w:rsidRPr="00154FB3">
        <w:t xml:space="preserve">, </w:t>
      </w:r>
      <w:r w:rsidR="005127CA" w:rsidRPr="00154FB3">
        <w:t>and Fatehah</w:t>
      </w:r>
      <w:r w:rsidR="00591B8B" w:rsidRPr="00154FB3">
        <w:t>,</w:t>
      </w:r>
      <w:r w:rsidR="005127CA" w:rsidRPr="00154FB3">
        <w:t xml:space="preserve"> M.O. </w:t>
      </w:r>
      <w:r w:rsidR="000D1B0C" w:rsidRPr="00154FB3">
        <w:t>2000. “</w:t>
      </w:r>
      <w:r w:rsidRPr="00154FB3">
        <w:t>Identification of Pollution Sources within the Sungai Pinang River Basin.</w:t>
      </w:r>
      <w:r w:rsidR="000D1B0C" w:rsidRPr="00154FB3">
        <w:t>”</w:t>
      </w:r>
      <w:r w:rsidRPr="00154FB3">
        <w:t xml:space="preserve"> Project Report. Un</w:t>
      </w:r>
      <w:r w:rsidR="000D1B0C" w:rsidRPr="00154FB3">
        <w:t>iversiti Sains Malaysia, Penang.</w:t>
      </w:r>
      <w:r w:rsidRPr="00154FB3">
        <w:t xml:space="preserve"> 478-485.</w:t>
      </w:r>
    </w:p>
    <w:p w14:paraId="2330AABC" w14:textId="77777777" w:rsidR="00177263" w:rsidRPr="00154FB3" w:rsidRDefault="00177263" w:rsidP="00B6067E">
      <w:pPr>
        <w:spacing w:line="240" w:lineRule="auto"/>
        <w:jc w:val="both"/>
      </w:pPr>
    </w:p>
    <w:p w14:paraId="1D12AD3D" w14:textId="77777777" w:rsidR="009909DF" w:rsidRPr="00154FB3" w:rsidRDefault="009909DF" w:rsidP="009909DF">
      <w:pPr>
        <w:spacing w:line="240" w:lineRule="auto"/>
        <w:jc w:val="both"/>
      </w:pPr>
      <w:r w:rsidRPr="00154FB3">
        <w:t xml:space="preserve">Garbayo, I., Javier Vigara, A., Conchon, V., Martins Dos Santos, V.A.P., and Vilchez C. 2000. Nitrate consumption alterations induced by alginate entrapment of Chlamydomonas </w:t>
      </w:r>
      <w:r w:rsidRPr="00154FB3">
        <w:rPr>
          <w:i/>
        </w:rPr>
        <w:t>reindhartii</w:t>
      </w:r>
      <w:r w:rsidRPr="00154FB3">
        <w:t xml:space="preserve"> cells. Process Biochem. 36:459-466.</w:t>
      </w:r>
    </w:p>
    <w:p w14:paraId="708CC6D0" w14:textId="77777777" w:rsidR="009909DF" w:rsidRPr="00154FB3" w:rsidRDefault="009909DF" w:rsidP="009909DF">
      <w:pPr>
        <w:spacing w:line="240" w:lineRule="auto"/>
        <w:jc w:val="both"/>
      </w:pPr>
    </w:p>
    <w:p w14:paraId="63B4089B" w14:textId="77777777" w:rsidR="009909DF" w:rsidRPr="00154FB3" w:rsidRDefault="009909DF" w:rsidP="009909DF">
      <w:pPr>
        <w:spacing w:line="240" w:lineRule="auto"/>
        <w:jc w:val="both"/>
      </w:pPr>
      <w:r w:rsidRPr="00154FB3">
        <w:t xml:space="preserve">Garbisu, C., Gil, J.M., Bazin, M.J., Hall D.O. and Serra J.L. 1991. “Removal of nitrate from water by foam-immobilized </w:t>
      </w:r>
      <w:r w:rsidRPr="00154FB3">
        <w:rPr>
          <w:i/>
        </w:rPr>
        <w:t>Phormidium laminosum</w:t>
      </w:r>
      <w:r w:rsidRPr="00154FB3">
        <w:t xml:space="preserve"> in batch and continuous-flow bioreactors.” Journal of Applied Phycology. 3:221-234.</w:t>
      </w:r>
    </w:p>
    <w:p w14:paraId="0CBB03A5" w14:textId="77777777" w:rsidR="009909DF" w:rsidRPr="00154FB3" w:rsidRDefault="009909DF" w:rsidP="009909DF">
      <w:pPr>
        <w:spacing w:line="240" w:lineRule="auto"/>
        <w:jc w:val="both"/>
      </w:pPr>
    </w:p>
    <w:p w14:paraId="7D87828A" w14:textId="77777777" w:rsidR="009909DF" w:rsidRPr="00154FB3" w:rsidRDefault="009909DF" w:rsidP="009909DF">
      <w:pPr>
        <w:spacing w:line="240" w:lineRule="auto"/>
        <w:jc w:val="both"/>
        <w:rPr>
          <w:color w:val="131313"/>
        </w:rPr>
      </w:pPr>
      <w:r w:rsidRPr="00154FB3">
        <w:rPr>
          <w:color w:val="131313"/>
        </w:rPr>
        <w:t>Giorgos, M., and Dimitris, G. “Cultivation of filamentous cyanobacteria (blue-green algae) in agro-industrial wastes and wastewaters: A review.” Applied Energy. 2011; 88:3389-3401.</w:t>
      </w:r>
    </w:p>
    <w:p w14:paraId="52A7F1C6" w14:textId="77777777" w:rsidR="00EE722D" w:rsidRPr="00154FB3" w:rsidRDefault="00EE722D" w:rsidP="009909DF">
      <w:pPr>
        <w:spacing w:line="240" w:lineRule="auto"/>
        <w:jc w:val="both"/>
        <w:rPr>
          <w:color w:val="131313"/>
        </w:rPr>
      </w:pPr>
    </w:p>
    <w:p w14:paraId="0FF32CB2" w14:textId="77777777" w:rsidR="00EE722D" w:rsidRPr="00154FB3" w:rsidRDefault="00EE722D" w:rsidP="009909DF">
      <w:pPr>
        <w:spacing w:line="240" w:lineRule="auto"/>
        <w:jc w:val="both"/>
      </w:pPr>
      <w:r w:rsidRPr="00154FB3">
        <w:rPr>
          <w:color w:val="131313"/>
        </w:rPr>
        <w:lastRenderedPageBreak/>
        <w:t xml:space="preserve">Gonzalez, L.E., Canizares, R.O., Baena, S. 1997. Efficiency of ammonia and phosphorus removal from a Colombian agroindustrial wastewater by the microalgae </w:t>
      </w:r>
      <w:r w:rsidRPr="00154FB3">
        <w:rPr>
          <w:i/>
          <w:color w:val="131313"/>
        </w:rPr>
        <w:t>Chlorella vulgaris</w:t>
      </w:r>
      <w:r w:rsidRPr="00154FB3">
        <w:rPr>
          <w:color w:val="131313"/>
        </w:rPr>
        <w:t xml:space="preserve"> and </w:t>
      </w:r>
      <w:r w:rsidRPr="00154FB3">
        <w:rPr>
          <w:i/>
          <w:color w:val="131313"/>
        </w:rPr>
        <w:t>Scenedesmus dimorphus</w:t>
      </w:r>
      <w:r w:rsidRPr="00154FB3">
        <w:rPr>
          <w:color w:val="131313"/>
        </w:rPr>
        <w:t>. Bioresource Technology; 60:259-62</w:t>
      </w:r>
    </w:p>
    <w:p w14:paraId="7F06747D" w14:textId="77777777" w:rsidR="009909DF" w:rsidRPr="00154FB3" w:rsidRDefault="009909DF" w:rsidP="009909DF">
      <w:pPr>
        <w:spacing w:line="240" w:lineRule="auto"/>
        <w:jc w:val="both"/>
      </w:pPr>
    </w:p>
    <w:p w14:paraId="35AFD8B8" w14:textId="77777777" w:rsidR="00177263" w:rsidRPr="00154FB3" w:rsidRDefault="009909DF" w:rsidP="00B6067E">
      <w:pPr>
        <w:spacing w:line="240" w:lineRule="auto"/>
        <w:jc w:val="both"/>
        <w:rPr>
          <w:color w:val="131313"/>
        </w:rPr>
      </w:pPr>
      <w:r w:rsidRPr="00154FB3">
        <w:t>Guarrero, M.G., and Lara, C. 1987. “Assimilation of inorganic nitrogen. In: Fay P, van Baalen C (eds), The Cyanobacteria.” Elsevier Science Publishers B.V. (Biomedical Division), Amsterdam. 163-186.</w:t>
      </w:r>
    </w:p>
    <w:p w14:paraId="3619E7AE" w14:textId="77777777" w:rsidR="00177263" w:rsidRPr="00154FB3" w:rsidRDefault="00177263" w:rsidP="00B6067E">
      <w:pPr>
        <w:spacing w:line="240" w:lineRule="auto"/>
        <w:jc w:val="both"/>
      </w:pPr>
    </w:p>
    <w:p w14:paraId="1AD9DA13" w14:textId="633C8BEE" w:rsidR="00EE722D" w:rsidRPr="00154FB3" w:rsidRDefault="00EE722D" w:rsidP="00B6067E">
      <w:pPr>
        <w:spacing w:line="240" w:lineRule="auto"/>
        <w:jc w:val="both"/>
      </w:pPr>
      <w:r w:rsidRPr="00154FB3">
        <w:t xml:space="preserve">Hernandez, J.P., de-Bashan, L.E., Basahn, Y. 2006. Starvation enhances phosphorus removal from wastewater by the microalga Chlorella spp. co-immobilized with </w:t>
      </w:r>
      <w:r w:rsidRPr="00154FB3">
        <w:rPr>
          <w:i/>
        </w:rPr>
        <w:t>Azospirillum brasilense</w:t>
      </w:r>
      <w:r w:rsidR="00292741" w:rsidRPr="00154FB3">
        <w:t>.</w:t>
      </w:r>
      <w:r w:rsidRPr="00154FB3">
        <w:t xml:space="preserve"> Enzyme and Microbial Technology, 38: 190-8.</w:t>
      </w:r>
    </w:p>
    <w:p w14:paraId="328FD8E7" w14:textId="77777777" w:rsidR="00F74921" w:rsidRPr="00154FB3" w:rsidRDefault="00F74921" w:rsidP="00B6067E">
      <w:pPr>
        <w:spacing w:line="240" w:lineRule="auto"/>
        <w:jc w:val="both"/>
      </w:pPr>
    </w:p>
    <w:p w14:paraId="5380F321" w14:textId="77777777" w:rsidR="00F74921" w:rsidRPr="00154FB3" w:rsidRDefault="00F74921" w:rsidP="00B6067E">
      <w:pPr>
        <w:spacing w:line="240" w:lineRule="auto"/>
        <w:jc w:val="both"/>
      </w:pPr>
      <w:r w:rsidRPr="00154FB3">
        <w:rPr>
          <w:color w:val="131313"/>
        </w:rPr>
        <w:t xml:space="preserve">Hongyang, S., Yalei, Z., Chunmin, W., Xuefei, Z., Jinpeng, L. 2011. Cultivation of </w:t>
      </w:r>
      <w:r w:rsidRPr="00154FB3">
        <w:rPr>
          <w:i/>
          <w:color w:val="131313"/>
        </w:rPr>
        <w:t>Chlorella pyrenoidosa</w:t>
      </w:r>
      <w:r w:rsidRPr="00154FB3">
        <w:rPr>
          <w:color w:val="131313"/>
        </w:rPr>
        <w:t xml:space="preserve"> in soybean processing wastewater. Bioresource Technology; 102:9884-90.</w:t>
      </w:r>
    </w:p>
    <w:p w14:paraId="14FC1155" w14:textId="77777777" w:rsidR="00EE722D" w:rsidRPr="00154FB3" w:rsidRDefault="00EE722D" w:rsidP="00B6067E">
      <w:pPr>
        <w:spacing w:line="240" w:lineRule="auto"/>
        <w:jc w:val="both"/>
        <w:rPr>
          <w:color w:val="131313"/>
        </w:rPr>
      </w:pPr>
    </w:p>
    <w:p w14:paraId="2531A347" w14:textId="77777777" w:rsidR="00177263" w:rsidRPr="00154FB3" w:rsidRDefault="00177263" w:rsidP="00B6067E">
      <w:pPr>
        <w:spacing w:line="240" w:lineRule="auto"/>
        <w:jc w:val="both"/>
      </w:pPr>
      <w:r w:rsidRPr="00154FB3">
        <w:rPr>
          <w:color w:val="131313"/>
        </w:rPr>
        <w:t>Jiménez-Pérez</w:t>
      </w:r>
      <w:r w:rsidR="004B1457" w:rsidRPr="00154FB3">
        <w:rPr>
          <w:color w:val="131313"/>
        </w:rPr>
        <w:t>,</w:t>
      </w:r>
      <w:r w:rsidRPr="00154FB3">
        <w:rPr>
          <w:color w:val="131313"/>
        </w:rPr>
        <w:t xml:space="preserve"> M</w:t>
      </w:r>
      <w:r w:rsidR="004B1457" w:rsidRPr="00154FB3">
        <w:rPr>
          <w:color w:val="131313"/>
        </w:rPr>
        <w:t>.</w:t>
      </w:r>
      <w:r w:rsidRPr="00154FB3">
        <w:rPr>
          <w:color w:val="131313"/>
        </w:rPr>
        <w:t>V</w:t>
      </w:r>
      <w:r w:rsidR="004B1457" w:rsidRPr="00154FB3">
        <w:rPr>
          <w:color w:val="131313"/>
        </w:rPr>
        <w:t>.</w:t>
      </w:r>
      <w:r w:rsidRPr="00154FB3">
        <w:rPr>
          <w:color w:val="131313"/>
        </w:rPr>
        <w:t>, Sanchez-Castillo</w:t>
      </w:r>
      <w:r w:rsidR="004B1457" w:rsidRPr="00154FB3">
        <w:rPr>
          <w:color w:val="131313"/>
        </w:rPr>
        <w:t>,</w:t>
      </w:r>
      <w:r w:rsidRPr="00154FB3">
        <w:rPr>
          <w:color w:val="131313"/>
        </w:rPr>
        <w:t xml:space="preserve"> P</w:t>
      </w:r>
      <w:r w:rsidR="004B1457" w:rsidRPr="00154FB3">
        <w:rPr>
          <w:color w:val="131313"/>
        </w:rPr>
        <w:t>.</w:t>
      </w:r>
      <w:r w:rsidRPr="00154FB3">
        <w:rPr>
          <w:color w:val="131313"/>
        </w:rPr>
        <w:t>, Romera</w:t>
      </w:r>
      <w:r w:rsidR="004B1457" w:rsidRPr="00154FB3">
        <w:rPr>
          <w:color w:val="131313"/>
        </w:rPr>
        <w:t>,</w:t>
      </w:r>
      <w:r w:rsidRPr="00154FB3">
        <w:rPr>
          <w:color w:val="131313"/>
        </w:rPr>
        <w:t xml:space="preserve"> O</w:t>
      </w:r>
      <w:r w:rsidR="004B1457" w:rsidRPr="00154FB3">
        <w:rPr>
          <w:color w:val="131313"/>
        </w:rPr>
        <w:t>.</w:t>
      </w:r>
      <w:r w:rsidRPr="00154FB3">
        <w:rPr>
          <w:color w:val="131313"/>
        </w:rPr>
        <w:t xml:space="preserve">, </w:t>
      </w:r>
      <w:r w:rsidR="00101376" w:rsidRPr="00154FB3">
        <w:rPr>
          <w:color w:val="131313"/>
        </w:rPr>
        <w:t>Fernandez-Moreno, D., and Pérez-Martinez, C. 2004. “</w:t>
      </w:r>
      <w:r w:rsidRPr="00154FB3">
        <w:rPr>
          <w:color w:val="131313"/>
        </w:rPr>
        <w:t>Growth and nutrient removal in free and immobilized planktonic green algae isolated from pig manure.</w:t>
      </w:r>
      <w:r w:rsidR="00101376" w:rsidRPr="00154FB3">
        <w:rPr>
          <w:color w:val="131313"/>
        </w:rPr>
        <w:t>”</w:t>
      </w:r>
      <w:r w:rsidRPr="00154FB3">
        <w:rPr>
          <w:color w:val="131313"/>
        </w:rPr>
        <w:t xml:space="preserve"> Enzyme and Microbial Technology. 34:392-398.</w:t>
      </w:r>
    </w:p>
    <w:p w14:paraId="7C519383" w14:textId="77777777" w:rsidR="00177263" w:rsidRPr="00154FB3" w:rsidRDefault="00177263" w:rsidP="00B6067E">
      <w:pPr>
        <w:spacing w:line="240" w:lineRule="auto"/>
        <w:jc w:val="both"/>
      </w:pPr>
    </w:p>
    <w:p w14:paraId="6094F5AF" w14:textId="77777777" w:rsidR="00EB561E" w:rsidRPr="00154FB3" w:rsidRDefault="00EB561E" w:rsidP="00B6067E">
      <w:pPr>
        <w:spacing w:line="240" w:lineRule="auto"/>
        <w:jc w:val="both"/>
      </w:pPr>
      <w:r w:rsidRPr="00154FB3">
        <w:t xml:space="preserve">Kamyab, H., Md Din, M.F., Chew, T.L., Ali, K., Arezou, S., Muhd Zaimi A.M., Mohanadoss P. and Xiao Yun T. 2015. “Lipid Production by microalgae </w:t>
      </w:r>
      <w:r w:rsidRPr="00154FB3">
        <w:rPr>
          <w:i/>
          <w:iCs/>
        </w:rPr>
        <w:t xml:space="preserve">Chlorella pyrenoidosa </w:t>
      </w:r>
      <w:r w:rsidRPr="00154FB3">
        <w:t xml:space="preserve">cultivated in Palm Oil Mill Effluent (POME) using Hybrid Photo Bioreactor (HPBR).” </w:t>
      </w:r>
      <w:r w:rsidRPr="00154FB3">
        <w:rPr>
          <w:iCs/>
        </w:rPr>
        <w:t>Desalination and Water Treatment</w:t>
      </w:r>
      <w:r w:rsidRPr="00154FB3">
        <w:t>. 1–13.</w:t>
      </w:r>
    </w:p>
    <w:p w14:paraId="4DA22665" w14:textId="77777777" w:rsidR="00EE722D" w:rsidRPr="00154FB3" w:rsidRDefault="00EE722D" w:rsidP="00B6067E">
      <w:pPr>
        <w:spacing w:line="240" w:lineRule="auto"/>
        <w:jc w:val="both"/>
      </w:pPr>
    </w:p>
    <w:p w14:paraId="60A7D924" w14:textId="77777777" w:rsidR="00EE722D" w:rsidRPr="00154FB3" w:rsidRDefault="00EE722D" w:rsidP="00B6067E">
      <w:pPr>
        <w:spacing w:line="240" w:lineRule="auto"/>
        <w:jc w:val="both"/>
      </w:pPr>
      <w:r w:rsidRPr="00154FB3">
        <w:t xml:space="preserve">Khan, M., Yoshida, N. 2008. Effect of L-glutamic acid on the growth and ammonium removal from ammonium solution and natural wastewater by </w:t>
      </w:r>
      <w:r w:rsidRPr="00154FB3">
        <w:rPr>
          <w:i/>
        </w:rPr>
        <w:t>Chlorella vulgaris</w:t>
      </w:r>
      <w:r w:rsidRPr="00154FB3">
        <w:t xml:space="preserve"> NTM06. Bioresource Technology; 99:575-82</w:t>
      </w:r>
    </w:p>
    <w:p w14:paraId="22421BDD" w14:textId="77777777" w:rsidR="00F74921" w:rsidRPr="00154FB3" w:rsidRDefault="00F74921" w:rsidP="00B6067E">
      <w:pPr>
        <w:spacing w:line="240" w:lineRule="auto"/>
        <w:jc w:val="both"/>
      </w:pPr>
    </w:p>
    <w:p w14:paraId="5D33A255" w14:textId="77777777" w:rsidR="00F74921" w:rsidRPr="00154FB3" w:rsidRDefault="00F74921" w:rsidP="00B6067E">
      <w:pPr>
        <w:spacing w:line="240" w:lineRule="auto"/>
        <w:jc w:val="both"/>
      </w:pPr>
      <w:r w:rsidRPr="00154FB3">
        <w:rPr>
          <w:color w:val="131313"/>
        </w:rPr>
        <w:t xml:space="preserve">Kong, Q.X., Lil Martinez, B., Chen, P., Ruan, R. 2010. Culture of microalgae </w:t>
      </w:r>
      <w:r w:rsidRPr="00154FB3">
        <w:rPr>
          <w:i/>
          <w:color w:val="131313"/>
        </w:rPr>
        <w:t>Chlamydomonas reinhardtii</w:t>
      </w:r>
      <w:r w:rsidRPr="00154FB3">
        <w:rPr>
          <w:color w:val="131313"/>
        </w:rPr>
        <w:t xml:space="preserve"> in wastewater for biomass feedstock production. Applied Biochemistry and Biotechnology; 160: 9-18</w:t>
      </w:r>
    </w:p>
    <w:p w14:paraId="20E787CC" w14:textId="77777777" w:rsidR="00EB561E" w:rsidRPr="00154FB3" w:rsidRDefault="00EB561E" w:rsidP="00B6067E">
      <w:pPr>
        <w:spacing w:line="240" w:lineRule="auto"/>
        <w:jc w:val="both"/>
      </w:pPr>
    </w:p>
    <w:p w14:paraId="6D516CAE" w14:textId="77777777" w:rsidR="009909DF" w:rsidRPr="00154FB3" w:rsidRDefault="009909DF" w:rsidP="009909DF">
      <w:pPr>
        <w:spacing w:line="240" w:lineRule="auto"/>
        <w:jc w:val="both"/>
      </w:pPr>
      <w:r w:rsidRPr="00154FB3">
        <w:t>Lara, C., and Romero, J.M. 1986. “Distinctive light and CO</w:t>
      </w:r>
      <w:r w:rsidRPr="00154FB3">
        <w:rPr>
          <w:vertAlign w:val="subscript"/>
        </w:rPr>
        <w:t>2</w:t>
      </w:r>
      <w:r w:rsidRPr="00154FB3">
        <w:t xml:space="preserve"> fixation requirements of nitrate and ammonium utilization by the cyanobacterium </w:t>
      </w:r>
      <w:r w:rsidRPr="00154FB3">
        <w:rPr>
          <w:i/>
        </w:rPr>
        <w:t>Ancystis nidulans</w:t>
      </w:r>
      <w:r w:rsidRPr="00154FB3">
        <w:t>.” Plant Physiology. 81: 686-688.</w:t>
      </w:r>
    </w:p>
    <w:p w14:paraId="67C34BAA" w14:textId="77777777" w:rsidR="009909DF" w:rsidRPr="00154FB3" w:rsidRDefault="009909DF" w:rsidP="009909DF">
      <w:pPr>
        <w:spacing w:line="240" w:lineRule="auto"/>
        <w:jc w:val="both"/>
      </w:pPr>
    </w:p>
    <w:p w14:paraId="4A3AADB8" w14:textId="77777777" w:rsidR="009909DF" w:rsidRPr="00154FB3" w:rsidRDefault="009909DF" w:rsidP="009909DF">
      <w:pPr>
        <w:spacing w:line="240" w:lineRule="auto"/>
        <w:jc w:val="both"/>
      </w:pPr>
      <w:r w:rsidRPr="00154FB3">
        <w:t xml:space="preserve">Lau, P.S., Tam, N.F.Y., and Wong, Y.S. 1997. “Wastewater nutrients (N and P) removal by carrageenan and alginate immobilized </w:t>
      </w:r>
      <w:r w:rsidRPr="00154FB3">
        <w:rPr>
          <w:i/>
        </w:rPr>
        <w:t>Chlorella vulgaris</w:t>
      </w:r>
      <w:r w:rsidRPr="00154FB3">
        <w:t>.” Environmental Technology. 18(9):945-951.</w:t>
      </w:r>
    </w:p>
    <w:p w14:paraId="48275A70" w14:textId="77777777" w:rsidR="00251D56" w:rsidRPr="00154FB3" w:rsidRDefault="00251D56" w:rsidP="009909DF">
      <w:pPr>
        <w:spacing w:line="240" w:lineRule="auto"/>
        <w:jc w:val="both"/>
        <w:rPr>
          <w:shd w:val="clear" w:color="auto" w:fill="FFFF00"/>
        </w:rPr>
      </w:pPr>
    </w:p>
    <w:p w14:paraId="28C5586D" w14:textId="77777777" w:rsidR="00251D56" w:rsidRPr="00154FB3" w:rsidRDefault="00251D56" w:rsidP="009909DF">
      <w:pPr>
        <w:spacing w:line="240" w:lineRule="auto"/>
        <w:jc w:val="both"/>
      </w:pPr>
      <w:r w:rsidRPr="00154FB3">
        <w:t>Lee, K., and Lee, C.G. 2001. “Effect of light/dark cycles on wastewater treatments by microalgae.” Biotechnology and Bioprocess Engineering; 6:194–9.</w:t>
      </w:r>
    </w:p>
    <w:p w14:paraId="35DE09FE" w14:textId="77777777" w:rsidR="009909DF" w:rsidRPr="00154FB3" w:rsidRDefault="009909DF" w:rsidP="00B6067E">
      <w:pPr>
        <w:spacing w:line="240" w:lineRule="auto"/>
        <w:jc w:val="both"/>
      </w:pPr>
    </w:p>
    <w:p w14:paraId="22321830" w14:textId="77777777" w:rsidR="003F3FD8" w:rsidRPr="00154FB3" w:rsidRDefault="003F3FD8" w:rsidP="00B6067E">
      <w:pPr>
        <w:spacing w:line="240" w:lineRule="auto"/>
        <w:jc w:val="both"/>
      </w:pPr>
      <w:r w:rsidRPr="00154FB3">
        <w:t>Lobban, C.S., Chapman, D.J., and Kremer, B.P. 1988. Experimental Phycology A Laboratory Manual, Cambridge University Press. pp.35-41.</w:t>
      </w:r>
    </w:p>
    <w:p w14:paraId="76D6A4C7" w14:textId="77777777" w:rsidR="003F3FD8" w:rsidRPr="00154FB3" w:rsidRDefault="003F3FD8" w:rsidP="00B6067E">
      <w:pPr>
        <w:spacing w:line="240" w:lineRule="auto"/>
        <w:jc w:val="both"/>
      </w:pPr>
    </w:p>
    <w:p w14:paraId="237C611A" w14:textId="77777777" w:rsidR="009909DF" w:rsidRPr="00154FB3" w:rsidRDefault="009909DF" w:rsidP="00B6067E">
      <w:pPr>
        <w:spacing w:line="240" w:lineRule="auto"/>
        <w:jc w:val="both"/>
      </w:pPr>
      <w:r w:rsidRPr="00154FB3">
        <w:t>Maestrini, S.Y., Robert, J.M., Leftley, J.W., and Collos, Y. 1986. “Ammonium thresholds for simultaneous uptake of ammonium and nitrate by oyster-pond algae.” Journal of Experimental Marine Biology and Ecology. 102:75-98.</w:t>
      </w:r>
    </w:p>
    <w:p w14:paraId="75A5F131" w14:textId="77777777" w:rsidR="009909DF" w:rsidRPr="00154FB3" w:rsidRDefault="009909DF" w:rsidP="00B6067E">
      <w:pPr>
        <w:spacing w:line="240" w:lineRule="auto"/>
        <w:jc w:val="both"/>
        <w:rPr>
          <w:color w:val="131313"/>
        </w:rPr>
      </w:pPr>
    </w:p>
    <w:p w14:paraId="7A22E154" w14:textId="77777777" w:rsidR="003F3FD8" w:rsidRPr="00154FB3" w:rsidRDefault="003F3FD8" w:rsidP="00B6067E">
      <w:pPr>
        <w:spacing w:line="240" w:lineRule="auto"/>
        <w:jc w:val="both"/>
        <w:rPr>
          <w:color w:val="131313"/>
        </w:rPr>
      </w:pPr>
      <w:r w:rsidRPr="00154FB3">
        <w:rPr>
          <w:color w:val="131313"/>
        </w:rPr>
        <w:lastRenderedPageBreak/>
        <w:t>Mitra, M., Hasfalina, C.M., Mohd, A.H., and Phang, L.Y. 2010. “Treatment of wastewater from rubber industry in Malaysia.” African Journal of Biotechnology. 9(38):6233-6243.</w:t>
      </w:r>
    </w:p>
    <w:p w14:paraId="272B4F86" w14:textId="77777777" w:rsidR="003F3FD8" w:rsidRPr="00154FB3" w:rsidRDefault="003F3FD8" w:rsidP="00B6067E">
      <w:pPr>
        <w:spacing w:line="240" w:lineRule="auto"/>
        <w:jc w:val="both"/>
        <w:rPr>
          <w:color w:val="131313"/>
        </w:rPr>
      </w:pPr>
    </w:p>
    <w:p w14:paraId="439692D5" w14:textId="77777777" w:rsidR="00177263" w:rsidRPr="00154FB3" w:rsidRDefault="003F3FD8" w:rsidP="00B6067E">
      <w:pPr>
        <w:spacing w:line="240" w:lineRule="auto"/>
        <w:jc w:val="both"/>
      </w:pPr>
      <w:r w:rsidRPr="00154FB3">
        <w:rPr>
          <w:color w:val="131313"/>
        </w:rPr>
        <w:t>Mohd Fadhil, M.D., Kamyab, H., Chew, L.T., Mohanadoss, P., Mohammad, S., Shaza, E.M., and Anahita, M.R. 2014. “Micro-Macro Algal Mixture as a Promising Agent for Treating POME Discharge and its Potential Use as Animal Feed Stock Enhancer.” Jurnal Teknology (Sciences &amp; Engineering). 68(5):1-4.</w:t>
      </w:r>
    </w:p>
    <w:p w14:paraId="028BD657" w14:textId="77777777" w:rsidR="00177263" w:rsidRPr="00154FB3" w:rsidRDefault="00177263" w:rsidP="00B6067E">
      <w:pPr>
        <w:spacing w:line="240" w:lineRule="auto"/>
        <w:jc w:val="both"/>
      </w:pPr>
    </w:p>
    <w:p w14:paraId="49AA7CBB" w14:textId="77777777" w:rsidR="00352F22" w:rsidRPr="00154FB3" w:rsidRDefault="003F3FD8" w:rsidP="00B6067E">
      <w:pPr>
        <w:spacing w:line="240" w:lineRule="auto"/>
        <w:jc w:val="both"/>
      </w:pPr>
      <w:r w:rsidRPr="00154FB3">
        <w:t>Moradi, M., and Ismail, A.M. 2007. “Responses of photosynthesis, chlorophyll fluorescence and ROS – Scavenging systems to salt stress. During seedling and reproductive stages of Rice.” Ann. Botany. 99:1161-1173.</w:t>
      </w:r>
    </w:p>
    <w:p w14:paraId="2C7FE376" w14:textId="77777777" w:rsidR="00352F22" w:rsidRPr="00154FB3" w:rsidRDefault="00352F22" w:rsidP="00B6067E">
      <w:pPr>
        <w:spacing w:line="240" w:lineRule="auto"/>
        <w:jc w:val="both"/>
      </w:pPr>
    </w:p>
    <w:p w14:paraId="4145E1F6" w14:textId="77777777" w:rsidR="009909DF" w:rsidRPr="00154FB3" w:rsidRDefault="009909DF" w:rsidP="00B6067E">
      <w:pPr>
        <w:spacing w:line="240" w:lineRule="auto"/>
        <w:jc w:val="both"/>
      </w:pPr>
      <w:r w:rsidRPr="00154FB3">
        <w:t>Moreno-Garrido, I. 2008. “Microalgae immobilization: Current techniques and uses.” Bioresource Technology. 99:3949-3964.</w:t>
      </w:r>
    </w:p>
    <w:p w14:paraId="54D9CC81" w14:textId="77777777" w:rsidR="00292741" w:rsidRPr="00154FB3" w:rsidRDefault="00292741" w:rsidP="00B6067E">
      <w:pPr>
        <w:spacing w:line="240" w:lineRule="auto"/>
        <w:jc w:val="both"/>
      </w:pPr>
    </w:p>
    <w:p w14:paraId="30FA67C5" w14:textId="77777777" w:rsidR="006F7B19" w:rsidRPr="00154FB3" w:rsidRDefault="006F7B19" w:rsidP="00B6067E">
      <w:pPr>
        <w:spacing w:line="240" w:lineRule="auto"/>
        <w:jc w:val="both"/>
      </w:pPr>
      <w:r w:rsidRPr="00154FB3">
        <w:rPr>
          <w:color w:val="131313"/>
        </w:rPr>
        <w:t>Ngai Weng, C. 2005. “Sustainable management of rivers in Malaysia: Involving all stakeholders.” International Journal of River Basin Management. 3(3):147-162.</w:t>
      </w:r>
    </w:p>
    <w:p w14:paraId="116BBC66" w14:textId="77777777" w:rsidR="006F7B19" w:rsidRPr="00154FB3" w:rsidRDefault="006F7B19" w:rsidP="00B6067E">
      <w:pPr>
        <w:spacing w:line="240" w:lineRule="auto"/>
        <w:jc w:val="both"/>
      </w:pPr>
    </w:p>
    <w:p w14:paraId="6D2741A2" w14:textId="77777777" w:rsidR="00352F22" w:rsidRPr="00154FB3" w:rsidRDefault="00352F22" w:rsidP="00B6067E">
      <w:pPr>
        <w:spacing w:line="240" w:lineRule="auto"/>
        <w:jc w:val="both"/>
      </w:pPr>
      <w:r w:rsidRPr="00154FB3">
        <w:t>Ruiz-Marin</w:t>
      </w:r>
      <w:r w:rsidR="00CD0FD2" w:rsidRPr="00154FB3">
        <w:t>,</w:t>
      </w:r>
      <w:r w:rsidRPr="00154FB3">
        <w:t xml:space="preserve"> A</w:t>
      </w:r>
      <w:r w:rsidR="00CD0FD2" w:rsidRPr="00154FB3">
        <w:t>.</w:t>
      </w:r>
      <w:r w:rsidRPr="00154FB3">
        <w:t>, Mendoza-Espinosa</w:t>
      </w:r>
      <w:r w:rsidR="00CD0FD2" w:rsidRPr="00154FB3">
        <w:t>,</w:t>
      </w:r>
      <w:r w:rsidRPr="00154FB3">
        <w:t xml:space="preserve"> L</w:t>
      </w:r>
      <w:r w:rsidR="00CD0FD2" w:rsidRPr="00154FB3">
        <w:t>.</w:t>
      </w:r>
      <w:r w:rsidRPr="00154FB3">
        <w:t>G</w:t>
      </w:r>
      <w:r w:rsidR="00CD0FD2" w:rsidRPr="00154FB3">
        <w:t>.</w:t>
      </w:r>
      <w:r w:rsidRPr="00154FB3">
        <w:t>,</w:t>
      </w:r>
      <w:r w:rsidR="00CD0FD2" w:rsidRPr="00154FB3">
        <w:t xml:space="preserve"> and</w:t>
      </w:r>
      <w:r w:rsidRPr="00154FB3">
        <w:t xml:space="preserve"> Stephenson</w:t>
      </w:r>
      <w:r w:rsidR="00CD0FD2" w:rsidRPr="00154FB3">
        <w:t>,</w:t>
      </w:r>
      <w:r w:rsidRPr="00154FB3">
        <w:t xml:space="preserve"> T.</w:t>
      </w:r>
      <w:r w:rsidR="00CD0FD2" w:rsidRPr="00154FB3">
        <w:t xml:space="preserve"> 2010. “</w:t>
      </w:r>
      <w:r w:rsidRPr="00154FB3">
        <w:t>Growth and nutrient removal in free and immobilized green algae in batch and semi-continuous cu</w:t>
      </w:r>
      <w:r w:rsidR="00CD0FD2" w:rsidRPr="00154FB3">
        <w:t>ltures treating real wastewater.”</w:t>
      </w:r>
      <w:r w:rsidRPr="00154FB3">
        <w:t xml:space="preserve"> Bioresource Technology. 101:58-64.</w:t>
      </w:r>
    </w:p>
    <w:p w14:paraId="160DE6FB" w14:textId="77777777" w:rsidR="00352F22" w:rsidRPr="00154FB3" w:rsidRDefault="00352F22" w:rsidP="00B6067E">
      <w:pPr>
        <w:spacing w:line="240" w:lineRule="auto"/>
        <w:jc w:val="both"/>
      </w:pPr>
    </w:p>
    <w:p w14:paraId="2E62D9DE" w14:textId="77777777" w:rsidR="006F7B19" w:rsidRPr="00154FB3" w:rsidRDefault="006F7B19" w:rsidP="00B6067E">
      <w:pPr>
        <w:spacing w:line="240" w:lineRule="auto"/>
        <w:jc w:val="both"/>
      </w:pPr>
      <w:r w:rsidRPr="00154FB3">
        <w:rPr>
          <w:color w:val="131313"/>
        </w:rPr>
        <w:t>Shafie, S.M., Mahlia, T.M.l., Masjuki, H.H., and Andriyana A. 2011. “Current energy usage and sustainable energy in Malaysia: A review.” Renewable and Sustainable Energy Reviews. 15(9):4370-4377.</w:t>
      </w:r>
    </w:p>
    <w:p w14:paraId="214CD358" w14:textId="77777777" w:rsidR="006F7B19" w:rsidRPr="00154FB3" w:rsidRDefault="006F7B19" w:rsidP="00B6067E">
      <w:pPr>
        <w:spacing w:line="240" w:lineRule="auto"/>
        <w:jc w:val="both"/>
      </w:pPr>
    </w:p>
    <w:p w14:paraId="1B54AB91" w14:textId="77777777" w:rsidR="006F7B19" w:rsidRPr="00154FB3" w:rsidRDefault="006F7B19" w:rsidP="00B6067E">
      <w:pPr>
        <w:spacing w:line="240" w:lineRule="auto"/>
        <w:jc w:val="both"/>
      </w:pPr>
      <w:r w:rsidRPr="00154FB3">
        <w:rPr>
          <w:color w:val="131313"/>
        </w:rPr>
        <w:t xml:space="preserve">Sing-Lai, L., Wan-Loy, C., Siew-Moi, P. 2010. “Use of </w:t>
      </w:r>
      <w:r w:rsidRPr="00154FB3">
        <w:rPr>
          <w:i/>
          <w:color w:val="131313"/>
        </w:rPr>
        <w:t>Chlorella vulgaris</w:t>
      </w:r>
      <w:r w:rsidRPr="00154FB3">
        <w:rPr>
          <w:color w:val="131313"/>
        </w:rPr>
        <w:t xml:space="preserve"> for bioremediation of textile wastewater.”  Bioresource Technology. 101:7314-7322.</w:t>
      </w:r>
    </w:p>
    <w:p w14:paraId="1A468FED" w14:textId="77777777" w:rsidR="006F7B19" w:rsidRPr="00154FB3" w:rsidRDefault="006F7B19" w:rsidP="00B6067E">
      <w:pPr>
        <w:spacing w:line="240" w:lineRule="auto"/>
        <w:jc w:val="both"/>
      </w:pPr>
    </w:p>
    <w:p w14:paraId="200C3E0F" w14:textId="77777777" w:rsidR="00352F22" w:rsidRPr="00154FB3" w:rsidRDefault="00352F22" w:rsidP="00B6067E">
      <w:pPr>
        <w:spacing w:line="240" w:lineRule="auto"/>
        <w:jc w:val="both"/>
      </w:pPr>
      <w:r w:rsidRPr="00154FB3">
        <w:t>Strickland</w:t>
      </w:r>
      <w:r w:rsidR="00472DF3" w:rsidRPr="00154FB3">
        <w:t>,</w:t>
      </w:r>
      <w:r w:rsidRPr="00154FB3">
        <w:t xml:space="preserve"> J</w:t>
      </w:r>
      <w:r w:rsidR="00472DF3" w:rsidRPr="00154FB3">
        <w:t>.</w:t>
      </w:r>
      <w:r w:rsidRPr="00154FB3">
        <w:t>D</w:t>
      </w:r>
      <w:r w:rsidR="00472DF3" w:rsidRPr="00154FB3">
        <w:t>.</w:t>
      </w:r>
      <w:r w:rsidRPr="00154FB3">
        <w:t>H</w:t>
      </w:r>
      <w:r w:rsidR="00472DF3" w:rsidRPr="00154FB3">
        <w:t>.</w:t>
      </w:r>
      <w:r w:rsidRPr="00154FB3">
        <w:t xml:space="preserve">, </w:t>
      </w:r>
      <w:r w:rsidR="00472DF3" w:rsidRPr="00154FB3">
        <w:t xml:space="preserve">and </w:t>
      </w:r>
      <w:r w:rsidRPr="00154FB3">
        <w:t>Parsons</w:t>
      </w:r>
      <w:r w:rsidR="00472DF3" w:rsidRPr="00154FB3">
        <w:t>,</w:t>
      </w:r>
      <w:r w:rsidRPr="00154FB3">
        <w:t xml:space="preserve"> T</w:t>
      </w:r>
      <w:r w:rsidR="00472DF3" w:rsidRPr="00154FB3">
        <w:t>.</w:t>
      </w:r>
      <w:r w:rsidRPr="00154FB3">
        <w:t>R.</w:t>
      </w:r>
      <w:r w:rsidR="00472DF3" w:rsidRPr="00154FB3">
        <w:t xml:space="preserve"> 1972. </w:t>
      </w:r>
      <w:r w:rsidRPr="00154FB3">
        <w:t>A Practical Handbook of Seawater Analysis. Canada: Fisheries Research Board of Canada</w:t>
      </w:r>
      <w:r w:rsidR="00472DF3" w:rsidRPr="00154FB3">
        <w:t xml:space="preserve">. </w:t>
      </w:r>
      <w:r w:rsidRPr="00154FB3">
        <w:t>p</w:t>
      </w:r>
      <w:r w:rsidR="00472DF3" w:rsidRPr="00154FB3">
        <w:t>p</w:t>
      </w:r>
      <w:r w:rsidRPr="00154FB3">
        <w:t>.49-52.</w:t>
      </w:r>
    </w:p>
    <w:p w14:paraId="10B57974" w14:textId="77777777" w:rsidR="00352F22" w:rsidRPr="00154FB3" w:rsidRDefault="00352F22" w:rsidP="00B6067E">
      <w:pPr>
        <w:spacing w:line="240" w:lineRule="auto"/>
        <w:jc w:val="both"/>
      </w:pPr>
    </w:p>
    <w:p w14:paraId="1D010CDE" w14:textId="77777777" w:rsidR="009909DF" w:rsidRPr="00154FB3" w:rsidRDefault="009909DF" w:rsidP="00B6067E">
      <w:pPr>
        <w:spacing w:line="240" w:lineRule="auto"/>
        <w:jc w:val="both"/>
      </w:pPr>
      <w:r w:rsidRPr="00154FB3">
        <w:t xml:space="preserve">Tam, N.F.Y., and Wong, Y.S. 1996. “Effect of ammonia concentrations on growth of </w:t>
      </w:r>
      <w:r w:rsidRPr="00154FB3">
        <w:rPr>
          <w:i/>
        </w:rPr>
        <w:t>Chlorella vulgaris</w:t>
      </w:r>
      <w:r w:rsidRPr="00154FB3">
        <w:t xml:space="preserve"> and nitrogen removal from media.” Bioresource Technology. 57:45-50.</w:t>
      </w:r>
    </w:p>
    <w:p w14:paraId="4C575D31" w14:textId="77777777" w:rsidR="006F7B19" w:rsidRPr="00154FB3" w:rsidRDefault="006F7B19" w:rsidP="00B6067E">
      <w:pPr>
        <w:spacing w:line="240" w:lineRule="auto"/>
        <w:jc w:val="both"/>
      </w:pPr>
    </w:p>
    <w:p w14:paraId="4E9EF1A6" w14:textId="77777777" w:rsidR="006F7B19" w:rsidRPr="00154FB3" w:rsidRDefault="006F7B19" w:rsidP="00B6067E">
      <w:pPr>
        <w:spacing w:line="240" w:lineRule="auto"/>
        <w:jc w:val="both"/>
      </w:pPr>
      <w:r w:rsidRPr="00154FB3">
        <w:rPr>
          <w:rFonts w:eastAsia="AdvEPSTIM"/>
        </w:rPr>
        <w:t xml:space="preserve">Vı´lchez, C., and Vega, J.M. 1994. “Nitrite uptake by </w:t>
      </w:r>
      <w:r w:rsidRPr="00154FB3">
        <w:rPr>
          <w:rFonts w:eastAsia="AdvEPSTIM-I"/>
          <w:i/>
        </w:rPr>
        <w:t>Chlamydomonas reinhardtii</w:t>
      </w:r>
      <w:r w:rsidRPr="00154FB3">
        <w:rPr>
          <w:rFonts w:eastAsia="AdvEPSTIM-I"/>
        </w:rPr>
        <w:t xml:space="preserve"> </w:t>
      </w:r>
      <w:r w:rsidRPr="00154FB3">
        <w:rPr>
          <w:rFonts w:eastAsia="AdvEPSTIM"/>
        </w:rPr>
        <w:t>cells immobilized in calcium alginate.” Appl. Microbiol.</w:t>
      </w:r>
      <w:r w:rsidRPr="00154FB3">
        <w:rPr>
          <w:rFonts w:eastAsia="AdvEPSTIM-I"/>
        </w:rPr>
        <w:t xml:space="preserve"> </w:t>
      </w:r>
      <w:r w:rsidRPr="00154FB3">
        <w:rPr>
          <w:rFonts w:eastAsia="AdvEPSTIM"/>
        </w:rPr>
        <w:t>Biotechnol. 41:137–141.</w:t>
      </w:r>
    </w:p>
    <w:p w14:paraId="42A946C5" w14:textId="77777777" w:rsidR="009909DF" w:rsidRPr="00154FB3" w:rsidRDefault="009909DF" w:rsidP="00B6067E">
      <w:pPr>
        <w:spacing w:line="240" w:lineRule="auto"/>
        <w:jc w:val="both"/>
      </w:pPr>
    </w:p>
    <w:p w14:paraId="730CC8C2" w14:textId="77777777" w:rsidR="00352F22" w:rsidRPr="00154FB3" w:rsidRDefault="00352F22" w:rsidP="00B6067E">
      <w:pPr>
        <w:spacing w:line="240" w:lineRule="auto"/>
        <w:jc w:val="both"/>
      </w:pPr>
      <w:r w:rsidRPr="00154FB3">
        <w:t>Xin</w:t>
      </w:r>
      <w:r w:rsidR="009252F7" w:rsidRPr="00154FB3">
        <w:t>,</w:t>
      </w:r>
      <w:r w:rsidRPr="00154FB3">
        <w:t xml:space="preserve"> L</w:t>
      </w:r>
      <w:r w:rsidR="009252F7" w:rsidRPr="00154FB3">
        <w:t>.</w:t>
      </w:r>
      <w:r w:rsidRPr="00154FB3">
        <w:t>, Hong-Ying</w:t>
      </w:r>
      <w:r w:rsidR="009252F7" w:rsidRPr="00154FB3">
        <w:t>,</w:t>
      </w:r>
      <w:r w:rsidRPr="00154FB3">
        <w:t xml:space="preserve"> H</w:t>
      </w:r>
      <w:r w:rsidR="009252F7" w:rsidRPr="00154FB3">
        <w:t>.</w:t>
      </w:r>
      <w:r w:rsidRPr="00154FB3">
        <w:t xml:space="preserve">, </w:t>
      </w:r>
      <w:r w:rsidR="009252F7" w:rsidRPr="00154FB3">
        <w:t>Ke, G.</w:t>
      </w:r>
      <w:r w:rsidRPr="00154FB3">
        <w:t>,</w:t>
      </w:r>
      <w:r w:rsidR="009252F7" w:rsidRPr="00154FB3">
        <w:t xml:space="preserve"> </w:t>
      </w:r>
      <w:r w:rsidR="00E82291" w:rsidRPr="00154FB3">
        <w:t xml:space="preserve">and </w:t>
      </w:r>
      <w:r w:rsidR="009252F7" w:rsidRPr="00154FB3">
        <w:t>Sun, Y.X. 2010</w:t>
      </w:r>
      <w:r w:rsidR="00691F5E" w:rsidRPr="00154FB3">
        <w:t>. “</w:t>
      </w:r>
      <w:r w:rsidRPr="00154FB3">
        <w:t xml:space="preserve">Effects of different nitrogen and phosphorus concentrations on the growth, nutrient uptake and lipid accumulation of a freshwater microalga </w:t>
      </w:r>
      <w:r w:rsidRPr="00154FB3">
        <w:rPr>
          <w:i/>
        </w:rPr>
        <w:t>Scenedesmus</w:t>
      </w:r>
      <w:r w:rsidRPr="00154FB3">
        <w:t xml:space="preserve"> sp.</w:t>
      </w:r>
      <w:r w:rsidR="00691F5E" w:rsidRPr="00154FB3">
        <w:t>”</w:t>
      </w:r>
      <w:r w:rsidRPr="00154FB3">
        <w:t xml:space="preserve"> Bioresource Technology. 101:5494-5500.</w:t>
      </w:r>
    </w:p>
    <w:p w14:paraId="4C7EA879" w14:textId="77777777" w:rsidR="00EB561E" w:rsidRPr="00154FB3" w:rsidRDefault="00EB561E" w:rsidP="00EB561E">
      <w:pPr>
        <w:spacing w:line="240" w:lineRule="auto"/>
        <w:rPr>
          <w:color w:val="131313"/>
        </w:rPr>
      </w:pPr>
    </w:p>
    <w:p w14:paraId="3211F64F" w14:textId="77777777" w:rsidR="00EE722D" w:rsidRPr="00154FB3" w:rsidRDefault="00EE722D" w:rsidP="00EB561E">
      <w:pPr>
        <w:spacing w:line="240" w:lineRule="auto"/>
        <w:rPr>
          <w:color w:val="131313"/>
        </w:rPr>
      </w:pPr>
    </w:p>
    <w:p w14:paraId="7623120F" w14:textId="77777777" w:rsidR="00EE722D" w:rsidRPr="00154FB3" w:rsidRDefault="00EE722D" w:rsidP="00F74921">
      <w:pPr>
        <w:spacing w:line="240" w:lineRule="auto"/>
        <w:jc w:val="both"/>
        <w:rPr>
          <w:color w:val="131313"/>
        </w:rPr>
      </w:pPr>
    </w:p>
    <w:p w14:paraId="3A78AFBA" w14:textId="77777777" w:rsidR="00EE722D" w:rsidRPr="00154FB3" w:rsidRDefault="00EE722D" w:rsidP="00F74921">
      <w:pPr>
        <w:spacing w:line="240" w:lineRule="auto"/>
        <w:jc w:val="both"/>
        <w:rPr>
          <w:color w:val="131313"/>
        </w:rPr>
      </w:pPr>
    </w:p>
    <w:p w14:paraId="42FA4A29" w14:textId="77777777" w:rsidR="00EE722D" w:rsidRPr="00154FB3" w:rsidRDefault="00F74921" w:rsidP="00F74921">
      <w:pPr>
        <w:spacing w:line="240" w:lineRule="auto"/>
        <w:jc w:val="both"/>
        <w:rPr>
          <w:color w:val="131313"/>
        </w:rPr>
      </w:pPr>
      <w:r w:rsidRPr="00154FB3">
        <w:rPr>
          <w:color w:val="131313"/>
        </w:rPr>
        <w:t xml:space="preserve">  </w:t>
      </w:r>
    </w:p>
    <w:p w14:paraId="16FBEDB3" w14:textId="77777777" w:rsidR="00F74921" w:rsidRPr="00154FB3" w:rsidRDefault="00F74921" w:rsidP="00F74921">
      <w:pPr>
        <w:spacing w:line="240" w:lineRule="auto"/>
        <w:jc w:val="both"/>
        <w:rPr>
          <w:color w:val="131313"/>
        </w:rPr>
      </w:pPr>
    </w:p>
    <w:p w14:paraId="59DAA798" w14:textId="77777777" w:rsidR="00EE722D" w:rsidRPr="00154FB3" w:rsidRDefault="00EE722D" w:rsidP="00EB561E">
      <w:pPr>
        <w:spacing w:line="240" w:lineRule="auto"/>
      </w:pPr>
    </w:p>
    <w:p w14:paraId="345C5B92" w14:textId="77777777" w:rsidR="00000766" w:rsidRPr="00154FB3" w:rsidRDefault="00000766" w:rsidP="00EB561E">
      <w:pPr>
        <w:spacing w:line="240" w:lineRule="auto"/>
      </w:pPr>
      <w:r w:rsidRPr="00154FB3">
        <w:br w:type="page"/>
      </w:r>
    </w:p>
    <w:p w14:paraId="5631B259" w14:textId="77777777" w:rsidR="002D480C" w:rsidRPr="00154FB3" w:rsidRDefault="002D480C" w:rsidP="00000766">
      <w:pPr>
        <w:pStyle w:val="NoSpacing"/>
        <w:rPr>
          <w:rFonts w:ascii="Times New Roman" w:hAnsi="Times New Roman" w:cs="Times New Roman"/>
          <w:b/>
          <w:sz w:val="24"/>
          <w:szCs w:val="24"/>
          <w:shd w:val="clear" w:color="auto" w:fill="FFFFFF"/>
        </w:rPr>
      </w:pPr>
      <w:r w:rsidRPr="00154FB3">
        <w:rPr>
          <w:rFonts w:ascii="Times New Roman" w:hAnsi="Times New Roman" w:cs="Times New Roman"/>
          <w:b/>
          <w:sz w:val="24"/>
          <w:szCs w:val="24"/>
          <w:shd w:val="clear" w:color="auto" w:fill="FFFFFF"/>
        </w:rPr>
        <w:lastRenderedPageBreak/>
        <w:t>List of tables with captions</w:t>
      </w:r>
    </w:p>
    <w:p w14:paraId="4B93F705" w14:textId="77777777" w:rsidR="002D480C" w:rsidRPr="00154FB3" w:rsidRDefault="002D480C" w:rsidP="00000766">
      <w:pPr>
        <w:pStyle w:val="NoSpacing"/>
        <w:rPr>
          <w:rFonts w:ascii="Times New Roman" w:hAnsi="Times New Roman" w:cs="Times New Roman"/>
          <w:sz w:val="24"/>
          <w:szCs w:val="24"/>
          <w:shd w:val="clear" w:color="auto" w:fill="FFFFFF"/>
        </w:rPr>
      </w:pPr>
    </w:p>
    <w:p w14:paraId="067849DF" w14:textId="01797428" w:rsidR="00000766" w:rsidRPr="00154FB3" w:rsidRDefault="00000766" w:rsidP="00000766">
      <w:pPr>
        <w:pStyle w:val="NoSpacing"/>
        <w:rPr>
          <w:rFonts w:ascii="Times New Roman" w:hAnsi="Times New Roman" w:cs="Times New Roman"/>
          <w:sz w:val="24"/>
          <w:szCs w:val="24"/>
          <w:shd w:val="clear" w:color="auto" w:fill="FFFFFF"/>
        </w:rPr>
      </w:pPr>
      <w:r w:rsidRPr="00154FB3">
        <w:rPr>
          <w:rFonts w:ascii="Times New Roman" w:hAnsi="Times New Roman" w:cs="Times New Roman"/>
          <w:sz w:val="24"/>
          <w:szCs w:val="24"/>
          <w:shd w:val="clear" w:color="auto" w:fill="FFFFFF"/>
        </w:rPr>
        <w:t>Table 1</w:t>
      </w:r>
      <w:r w:rsidR="004C103B" w:rsidRPr="00154FB3">
        <w:rPr>
          <w:rFonts w:ascii="Times New Roman" w:hAnsi="Times New Roman" w:cs="Times New Roman"/>
          <w:sz w:val="24"/>
          <w:szCs w:val="24"/>
          <w:shd w:val="clear" w:color="auto" w:fill="FFFFFF"/>
        </w:rPr>
        <w:t>:</w:t>
      </w:r>
      <w:r w:rsidRPr="00154FB3">
        <w:rPr>
          <w:rFonts w:ascii="Times New Roman" w:hAnsi="Times New Roman" w:cs="Times New Roman"/>
          <w:sz w:val="24"/>
          <w:szCs w:val="24"/>
          <w:shd w:val="clear" w:color="auto" w:fill="FFFFFF"/>
        </w:rPr>
        <w:t xml:space="preserve"> </w:t>
      </w:r>
      <w:r w:rsidRPr="00154FB3">
        <w:rPr>
          <w:rFonts w:ascii="Times New Roman" w:hAnsi="Times New Roman" w:cs="Times New Roman"/>
          <w:sz w:val="24"/>
          <w:szCs w:val="24"/>
        </w:rPr>
        <w:t>Initial nutrient concentration</w:t>
      </w:r>
      <w:r w:rsidR="00292741" w:rsidRPr="00154FB3">
        <w:rPr>
          <w:rFonts w:ascii="Times New Roman" w:hAnsi="Times New Roman" w:cs="Times New Roman"/>
          <w:sz w:val="24"/>
          <w:szCs w:val="24"/>
        </w:rPr>
        <w:t>s</w:t>
      </w:r>
      <w:r w:rsidRPr="00154FB3">
        <w:rPr>
          <w:rFonts w:ascii="Times New Roman" w:hAnsi="Times New Roman" w:cs="Times New Roman"/>
          <w:sz w:val="24"/>
          <w:szCs w:val="24"/>
        </w:rPr>
        <w:t xml:space="preserve"> and salinity of water samples</w:t>
      </w:r>
      <w:r w:rsidR="00292741" w:rsidRPr="00154FB3">
        <w:rPr>
          <w:rFonts w:ascii="Times New Roman" w:hAnsi="Times New Roman" w:cs="Times New Roman"/>
          <w:sz w:val="24"/>
          <w:szCs w:val="24"/>
        </w:rPr>
        <w:t xml:space="preserve"> obtained</w:t>
      </w:r>
      <w:r w:rsidRPr="00154FB3">
        <w:rPr>
          <w:rFonts w:ascii="Times New Roman" w:hAnsi="Times New Roman" w:cs="Times New Roman"/>
          <w:sz w:val="24"/>
          <w:szCs w:val="24"/>
        </w:rPr>
        <w:t xml:space="preserve"> during sampling</w:t>
      </w:r>
      <w:r w:rsidR="00292741" w:rsidRPr="00154FB3">
        <w:rPr>
          <w:rFonts w:ascii="Times New Roman" w:hAnsi="Times New Roman" w:cs="Times New Roman"/>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426"/>
        <w:gridCol w:w="1428"/>
        <w:gridCol w:w="1553"/>
        <w:gridCol w:w="1455"/>
        <w:gridCol w:w="1512"/>
        <w:gridCol w:w="1430"/>
      </w:tblGrid>
      <w:tr w:rsidR="00000766" w:rsidRPr="00154FB3" w14:paraId="071DB244" w14:textId="77777777" w:rsidTr="000D1B0C">
        <w:trPr>
          <w:trHeight w:val="107"/>
        </w:trPr>
        <w:tc>
          <w:tcPr>
            <w:tcW w:w="1426" w:type="dxa"/>
            <w:tcBorders>
              <w:top w:val="single" w:sz="4" w:space="0" w:color="auto"/>
              <w:left w:val="nil"/>
              <w:bottom w:val="single" w:sz="4" w:space="0" w:color="auto"/>
            </w:tcBorders>
          </w:tcPr>
          <w:p w14:paraId="4FB69553"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Sampling sites</w:t>
            </w:r>
          </w:p>
        </w:tc>
        <w:tc>
          <w:tcPr>
            <w:tcW w:w="1398" w:type="dxa"/>
            <w:tcBorders>
              <w:top w:val="single" w:sz="4" w:space="0" w:color="auto"/>
              <w:bottom w:val="single" w:sz="4" w:space="0" w:color="auto"/>
            </w:tcBorders>
          </w:tcPr>
          <w:p w14:paraId="2A8B7C87"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Phosphate (mg/L)</w:t>
            </w:r>
          </w:p>
        </w:tc>
        <w:tc>
          <w:tcPr>
            <w:tcW w:w="1553" w:type="dxa"/>
            <w:tcBorders>
              <w:top w:val="single" w:sz="4" w:space="0" w:color="auto"/>
              <w:bottom w:val="single" w:sz="4" w:space="0" w:color="auto"/>
            </w:tcBorders>
          </w:tcPr>
          <w:p w14:paraId="443505AF"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Ammonium (mg/L)</w:t>
            </w:r>
          </w:p>
        </w:tc>
        <w:tc>
          <w:tcPr>
            <w:tcW w:w="1455" w:type="dxa"/>
            <w:tcBorders>
              <w:top w:val="single" w:sz="4" w:space="0" w:color="auto"/>
              <w:bottom w:val="single" w:sz="4" w:space="0" w:color="auto"/>
            </w:tcBorders>
          </w:tcPr>
          <w:p w14:paraId="4127DEB8"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Nitrite (mg/L)</w:t>
            </w:r>
          </w:p>
        </w:tc>
        <w:tc>
          <w:tcPr>
            <w:tcW w:w="1512" w:type="dxa"/>
            <w:tcBorders>
              <w:top w:val="single" w:sz="4" w:space="0" w:color="auto"/>
              <w:bottom w:val="single" w:sz="4" w:space="0" w:color="auto"/>
              <w:right w:val="single" w:sz="4" w:space="0" w:color="FFFFFF" w:themeColor="background1"/>
            </w:tcBorders>
          </w:tcPr>
          <w:p w14:paraId="31981202"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Nitrate (mg/L)</w:t>
            </w:r>
          </w:p>
        </w:tc>
        <w:tc>
          <w:tcPr>
            <w:tcW w:w="1371" w:type="dxa"/>
            <w:tcBorders>
              <w:top w:val="single" w:sz="4" w:space="0" w:color="auto"/>
              <w:left w:val="single" w:sz="4" w:space="0" w:color="FFFFFF" w:themeColor="background1"/>
              <w:bottom w:val="single" w:sz="4" w:space="0" w:color="auto"/>
              <w:right w:val="nil"/>
            </w:tcBorders>
          </w:tcPr>
          <w:p w14:paraId="31F7B669"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Salinity(ppt)</w:t>
            </w:r>
          </w:p>
        </w:tc>
      </w:tr>
      <w:tr w:rsidR="00000766" w:rsidRPr="00154FB3" w14:paraId="35822BD9" w14:textId="77777777" w:rsidTr="000D1B0C">
        <w:tc>
          <w:tcPr>
            <w:tcW w:w="1426" w:type="dxa"/>
            <w:tcBorders>
              <w:left w:val="nil"/>
            </w:tcBorders>
          </w:tcPr>
          <w:p w14:paraId="194C7F32"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 xml:space="preserve">low tide PRE </w:t>
            </w:r>
          </w:p>
        </w:tc>
        <w:tc>
          <w:tcPr>
            <w:tcW w:w="1398" w:type="dxa"/>
          </w:tcPr>
          <w:p w14:paraId="26B86640"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1.016±0.039</w:t>
            </w:r>
          </w:p>
        </w:tc>
        <w:tc>
          <w:tcPr>
            <w:tcW w:w="1553" w:type="dxa"/>
          </w:tcPr>
          <w:p w14:paraId="0B376ADD"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27.990±1.902</w:t>
            </w:r>
          </w:p>
        </w:tc>
        <w:tc>
          <w:tcPr>
            <w:tcW w:w="1455" w:type="dxa"/>
          </w:tcPr>
          <w:p w14:paraId="680B49F1"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0.012±0.004</w:t>
            </w:r>
          </w:p>
        </w:tc>
        <w:tc>
          <w:tcPr>
            <w:tcW w:w="1512" w:type="dxa"/>
            <w:tcBorders>
              <w:right w:val="single" w:sz="4" w:space="0" w:color="FFFFFF" w:themeColor="background1"/>
            </w:tcBorders>
          </w:tcPr>
          <w:p w14:paraId="1420A275"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0.007±0.004</w:t>
            </w:r>
          </w:p>
        </w:tc>
        <w:tc>
          <w:tcPr>
            <w:tcW w:w="1371" w:type="dxa"/>
            <w:tcBorders>
              <w:left w:val="single" w:sz="4" w:space="0" w:color="FFFFFF" w:themeColor="background1"/>
              <w:right w:val="nil"/>
            </w:tcBorders>
          </w:tcPr>
          <w:p w14:paraId="4305184D"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6.750±0.001</w:t>
            </w:r>
          </w:p>
        </w:tc>
      </w:tr>
      <w:tr w:rsidR="00000766" w:rsidRPr="00154FB3" w14:paraId="49929CE7" w14:textId="77777777" w:rsidTr="000D1B0C">
        <w:tc>
          <w:tcPr>
            <w:tcW w:w="1426" w:type="dxa"/>
            <w:tcBorders>
              <w:left w:val="nil"/>
              <w:bottom w:val="single" w:sz="4" w:space="0" w:color="auto"/>
            </w:tcBorders>
          </w:tcPr>
          <w:p w14:paraId="5DD8F08F"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 xml:space="preserve">high tide PRE </w:t>
            </w:r>
          </w:p>
        </w:tc>
        <w:tc>
          <w:tcPr>
            <w:tcW w:w="1398" w:type="dxa"/>
          </w:tcPr>
          <w:p w14:paraId="669177C9"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0.609±0.002</w:t>
            </w:r>
          </w:p>
        </w:tc>
        <w:tc>
          <w:tcPr>
            <w:tcW w:w="1553" w:type="dxa"/>
          </w:tcPr>
          <w:p w14:paraId="75AD520D"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18.430±1.499</w:t>
            </w:r>
          </w:p>
        </w:tc>
        <w:tc>
          <w:tcPr>
            <w:tcW w:w="1455" w:type="dxa"/>
          </w:tcPr>
          <w:p w14:paraId="1531BC7A"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0.014±0.004</w:t>
            </w:r>
          </w:p>
        </w:tc>
        <w:tc>
          <w:tcPr>
            <w:tcW w:w="1512" w:type="dxa"/>
            <w:tcBorders>
              <w:bottom w:val="single" w:sz="4" w:space="0" w:color="auto"/>
              <w:right w:val="single" w:sz="4" w:space="0" w:color="FFFFFF" w:themeColor="background1"/>
            </w:tcBorders>
          </w:tcPr>
          <w:p w14:paraId="3018629F"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0.008±0.001</w:t>
            </w:r>
          </w:p>
        </w:tc>
        <w:tc>
          <w:tcPr>
            <w:tcW w:w="1371" w:type="dxa"/>
            <w:tcBorders>
              <w:left w:val="single" w:sz="4" w:space="0" w:color="FFFFFF" w:themeColor="background1"/>
              <w:bottom w:val="single" w:sz="4" w:space="0" w:color="auto"/>
              <w:right w:val="nil"/>
            </w:tcBorders>
          </w:tcPr>
          <w:p w14:paraId="328C407C" w14:textId="77777777" w:rsidR="00000766" w:rsidRPr="00154FB3" w:rsidRDefault="00000766" w:rsidP="000D1B0C">
            <w:pPr>
              <w:pStyle w:val="NoSpacing"/>
              <w:rPr>
                <w:rFonts w:ascii="Times New Roman" w:hAnsi="Times New Roman" w:cs="Times New Roman"/>
                <w:sz w:val="24"/>
                <w:szCs w:val="24"/>
              </w:rPr>
            </w:pPr>
            <w:r w:rsidRPr="00154FB3">
              <w:rPr>
                <w:rFonts w:ascii="Times New Roman" w:hAnsi="Times New Roman" w:cs="Times New Roman"/>
                <w:sz w:val="24"/>
                <w:szCs w:val="24"/>
              </w:rPr>
              <w:t>7.930±0.001</w:t>
            </w:r>
          </w:p>
        </w:tc>
      </w:tr>
    </w:tbl>
    <w:p w14:paraId="189A2B2D" w14:textId="77777777" w:rsidR="00000766" w:rsidRPr="00154FB3" w:rsidRDefault="00000766" w:rsidP="00000766">
      <w:pPr>
        <w:pStyle w:val="NoSpacing"/>
        <w:rPr>
          <w:rFonts w:ascii="Times New Roman" w:hAnsi="Times New Roman" w:cs="Times New Roman"/>
          <w:sz w:val="20"/>
          <w:szCs w:val="20"/>
        </w:rPr>
      </w:pPr>
      <w:r w:rsidRPr="00154FB3">
        <w:rPr>
          <w:rFonts w:ascii="Times New Roman" w:hAnsi="Times New Roman" w:cs="Times New Roman"/>
          <w:sz w:val="20"/>
          <w:szCs w:val="20"/>
        </w:rPr>
        <w:t>PRE= Pinang River estuary</w:t>
      </w:r>
      <w:r w:rsidR="008A5CA5" w:rsidRPr="00154FB3">
        <w:rPr>
          <w:rFonts w:ascii="Times New Roman" w:hAnsi="Times New Roman" w:cs="Times New Roman"/>
          <w:sz w:val="20"/>
          <w:szCs w:val="20"/>
        </w:rPr>
        <w:t>; Triplicates of water samples were used for each analysis (n = 24 water samples)</w:t>
      </w:r>
    </w:p>
    <w:p w14:paraId="6D772E58" w14:textId="77777777" w:rsidR="00000766" w:rsidRPr="00154FB3" w:rsidRDefault="00000766" w:rsidP="00000766">
      <w:pPr>
        <w:spacing w:line="240" w:lineRule="auto"/>
      </w:pPr>
    </w:p>
    <w:p w14:paraId="1039CD5F" w14:textId="77777777" w:rsidR="00801C01" w:rsidRPr="00154FB3" w:rsidRDefault="00801C01" w:rsidP="00000766">
      <w:pPr>
        <w:spacing w:line="240" w:lineRule="auto"/>
        <w:jc w:val="both"/>
      </w:pPr>
    </w:p>
    <w:p w14:paraId="14888277" w14:textId="45BAD4E8" w:rsidR="00000766" w:rsidRPr="00154FB3" w:rsidRDefault="00000766" w:rsidP="00000766">
      <w:pPr>
        <w:spacing w:line="240" w:lineRule="auto"/>
        <w:jc w:val="both"/>
      </w:pPr>
      <w:r w:rsidRPr="00154FB3">
        <w:t>Table 2</w:t>
      </w:r>
      <w:r w:rsidR="004C103B" w:rsidRPr="00154FB3">
        <w:t>:</w:t>
      </w:r>
      <w:r w:rsidRPr="00154FB3">
        <w:t xml:space="preserve"> Linearised logistic growth model for the growth, phosphate, ammonium, nitrite and nitrate uptake of </w:t>
      </w:r>
      <w:r w:rsidRPr="00154FB3">
        <w:rPr>
          <w:i/>
        </w:rPr>
        <w:t>S. bijugatus</w:t>
      </w:r>
      <w:r w:rsidRPr="00154FB3">
        <w:t xml:space="preserve"> </w:t>
      </w:r>
      <w:r w:rsidR="00292741" w:rsidRPr="00154FB3">
        <w:t xml:space="preserve">as </w:t>
      </w:r>
      <w:r w:rsidRPr="00154FB3">
        <w:t xml:space="preserve">free </w:t>
      </w:r>
      <w:r w:rsidR="00292741" w:rsidRPr="00154FB3">
        <w:t xml:space="preserve">or </w:t>
      </w:r>
      <w:r w:rsidRPr="00154FB3">
        <w:t>immobilised cell</w:t>
      </w:r>
      <w:r w:rsidR="00292741" w:rsidRPr="00154FB3">
        <w:t xml:space="preserve"> culture</w:t>
      </w:r>
      <w:r w:rsidRPr="00154FB3">
        <w:t>s</w:t>
      </w:r>
      <w:r w:rsidR="00292741" w:rsidRPr="00154FB3">
        <w:t>.</w:t>
      </w:r>
    </w:p>
    <w:tbl>
      <w:tblPr>
        <w:tblStyle w:val="TableGrid"/>
        <w:tblW w:w="9258" w:type="dxa"/>
        <w:tblLayout w:type="fixed"/>
        <w:tblLook w:val="04A0" w:firstRow="1" w:lastRow="0" w:firstColumn="1" w:lastColumn="0" w:noHBand="0" w:noVBand="1"/>
      </w:tblPr>
      <w:tblGrid>
        <w:gridCol w:w="2434"/>
        <w:gridCol w:w="1904"/>
        <w:gridCol w:w="2047"/>
        <w:gridCol w:w="1803"/>
        <w:gridCol w:w="1070"/>
      </w:tblGrid>
      <w:tr w:rsidR="00E86361" w:rsidRPr="00154FB3" w14:paraId="21730D78" w14:textId="77777777" w:rsidTr="00564EF8">
        <w:trPr>
          <w:trHeight w:val="332"/>
        </w:trPr>
        <w:tc>
          <w:tcPr>
            <w:tcW w:w="2434" w:type="dxa"/>
            <w:tcBorders>
              <w:left w:val="single" w:sz="4" w:space="0" w:color="FFFFFF" w:themeColor="background1"/>
              <w:right w:val="single" w:sz="4" w:space="0" w:color="FFFFFF" w:themeColor="background1"/>
            </w:tcBorders>
          </w:tcPr>
          <w:p w14:paraId="5401D79C" w14:textId="77777777" w:rsidR="00E86361" w:rsidRPr="00154FB3" w:rsidRDefault="00E86361" w:rsidP="00564EF8">
            <w:pPr>
              <w:spacing w:line="240" w:lineRule="auto"/>
              <w:jc w:val="center"/>
              <w:rPr>
                <w:sz w:val="24"/>
                <w:szCs w:val="24"/>
              </w:rPr>
            </w:pPr>
          </w:p>
        </w:tc>
        <w:tc>
          <w:tcPr>
            <w:tcW w:w="1904" w:type="dxa"/>
            <w:tcBorders>
              <w:top w:val="single" w:sz="4" w:space="0" w:color="auto"/>
              <w:left w:val="single" w:sz="4" w:space="0" w:color="FFFFFF" w:themeColor="background1"/>
              <w:right w:val="single" w:sz="4" w:space="0" w:color="FFFFFF" w:themeColor="background1"/>
            </w:tcBorders>
          </w:tcPr>
          <w:p w14:paraId="65B96758" w14:textId="77777777" w:rsidR="00E86361" w:rsidRPr="00154FB3" w:rsidRDefault="00E86361" w:rsidP="00564EF8">
            <w:pPr>
              <w:spacing w:line="240" w:lineRule="auto"/>
              <w:jc w:val="center"/>
              <w:rPr>
                <w:sz w:val="24"/>
                <w:szCs w:val="24"/>
              </w:rPr>
            </w:pPr>
          </w:p>
        </w:tc>
        <w:tc>
          <w:tcPr>
            <w:tcW w:w="2047" w:type="dxa"/>
            <w:tcBorders>
              <w:top w:val="single" w:sz="4" w:space="0" w:color="auto"/>
              <w:left w:val="single" w:sz="4" w:space="0" w:color="FFFFFF" w:themeColor="background1"/>
              <w:right w:val="single" w:sz="4" w:space="0" w:color="FFFFFF" w:themeColor="background1"/>
            </w:tcBorders>
          </w:tcPr>
          <w:p w14:paraId="14BE757C" w14:textId="77777777" w:rsidR="00E86361" w:rsidRPr="00154FB3" w:rsidRDefault="00E86361" w:rsidP="00564EF8">
            <w:pPr>
              <w:spacing w:line="240" w:lineRule="auto"/>
              <w:jc w:val="center"/>
              <w:rPr>
                <w:sz w:val="24"/>
                <w:szCs w:val="24"/>
              </w:rPr>
            </w:pPr>
            <w:r w:rsidRPr="00154FB3">
              <w:rPr>
                <w:i/>
                <w:sz w:val="24"/>
                <w:szCs w:val="24"/>
              </w:rPr>
              <w:t>K</w:t>
            </w:r>
            <w:r w:rsidRPr="00154FB3">
              <w:rPr>
                <w:sz w:val="24"/>
                <w:szCs w:val="24"/>
              </w:rPr>
              <w:t>±SE</w:t>
            </w:r>
          </w:p>
        </w:tc>
        <w:tc>
          <w:tcPr>
            <w:tcW w:w="1803" w:type="dxa"/>
            <w:tcBorders>
              <w:top w:val="single" w:sz="4" w:space="0" w:color="auto"/>
              <w:left w:val="single" w:sz="4" w:space="0" w:color="FFFFFF" w:themeColor="background1"/>
              <w:right w:val="single" w:sz="4" w:space="0" w:color="FFFFFF" w:themeColor="background1"/>
            </w:tcBorders>
          </w:tcPr>
          <w:p w14:paraId="69ADD9B4" w14:textId="77777777" w:rsidR="00E86361" w:rsidRPr="00154FB3" w:rsidRDefault="00E86361" w:rsidP="00564EF8">
            <w:pPr>
              <w:spacing w:line="240" w:lineRule="auto"/>
              <w:jc w:val="center"/>
              <w:rPr>
                <w:i/>
                <w:sz w:val="24"/>
                <w:szCs w:val="24"/>
              </w:rPr>
            </w:pPr>
            <w:r w:rsidRPr="00154FB3">
              <w:rPr>
                <w:i/>
                <w:sz w:val="24"/>
                <w:szCs w:val="24"/>
              </w:rPr>
              <w:t>r</w:t>
            </w:r>
            <w:r w:rsidRPr="00154FB3">
              <w:rPr>
                <w:sz w:val="24"/>
                <w:szCs w:val="24"/>
              </w:rPr>
              <w:t>±SE</w:t>
            </w:r>
          </w:p>
        </w:tc>
        <w:tc>
          <w:tcPr>
            <w:tcW w:w="1070" w:type="dxa"/>
            <w:tcBorders>
              <w:top w:val="single" w:sz="4" w:space="0" w:color="auto"/>
              <w:left w:val="single" w:sz="4" w:space="0" w:color="FFFFFF" w:themeColor="background1"/>
              <w:right w:val="single" w:sz="4" w:space="0" w:color="FFFFFF" w:themeColor="background1"/>
            </w:tcBorders>
          </w:tcPr>
          <w:p w14:paraId="4D85CF6B" w14:textId="77777777" w:rsidR="00E86361" w:rsidRPr="00154FB3" w:rsidRDefault="00E86361" w:rsidP="00564EF8">
            <w:pPr>
              <w:spacing w:line="240" w:lineRule="auto"/>
              <w:jc w:val="center"/>
              <w:rPr>
                <w:sz w:val="24"/>
                <w:szCs w:val="24"/>
              </w:rPr>
            </w:pPr>
            <w:r w:rsidRPr="00154FB3">
              <w:rPr>
                <w:sz w:val="24"/>
                <w:szCs w:val="24"/>
              </w:rPr>
              <w:t>R</w:t>
            </w:r>
            <w:r w:rsidRPr="00154FB3">
              <w:rPr>
                <w:sz w:val="24"/>
                <w:szCs w:val="24"/>
                <w:vertAlign w:val="superscript"/>
              </w:rPr>
              <w:t>2</w:t>
            </w:r>
          </w:p>
        </w:tc>
      </w:tr>
      <w:tr w:rsidR="00E86361" w:rsidRPr="00154FB3" w14:paraId="3AE449D0" w14:textId="77777777" w:rsidTr="00564EF8">
        <w:trPr>
          <w:trHeight w:val="120"/>
        </w:trPr>
        <w:tc>
          <w:tcPr>
            <w:tcW w:w="2434" w:type="dxa"/>
            <w:tcBorders>
              <w:top w:val="single" w:sz="4" w:space="0" w:color="auto"/>
              <w:left w:val="single" w:sz="4" w:space="0" w:color="FFFFFF" w:themeColor="background1"/>
              <w:bottom w:val="single" w:sz="4" w:space="0" w:color="auto"/>
              <w:right w:val="single" w:sz="4" w:space="0" w:color="FFFFFF" w:themeColor="background1"/>
            </w:tcBorders>
          </w:tcPr>
          <w:p w14:paraId="55D88704" w14:textId="77777777" w:rsidR="00E86361" w:rsidRPr="00154FB3" w:rsidRDefault="00E86361" w:rsidP="00564EF8">
            <w:pPr>
              <w:spacing w:line="240" w:lineRule="auto"/>
              <w:rPr>
                <w:sz w:val="24"/>
                <w:szCs w:val="24"/>
              </w:rPr>
            </w:pPr>
            <w:r w:rsidRPr="00154FB3">
              <w:rPr>
                <w:sz w:val="24"/>
                <w:szCs w:val="24"/>
              </w:rPr>
              <w:t>Growth</w:t>
            </w:r>
          </w:p>
        </w:tc>
        <w:tc>
          <w:tcPr>
            <w:tcW w:w="1904" w:type="dxa"/>
            <w:tcBorders>
              <w:top w:val="single" w:sz="4" w:space="0" w:color="auto"/>
              <w:left w:val="single" w:sz="4" w:space="0" w:color="FFFFFF" w:themeColor="background1"/>
              <w:bottom w:val="single" w:sz="4" w:space="0" w:color="auto"/>
              <w:right w:val="single" w:sz="4" w:space="0" w:color="FFFFFF" w:themeColor="background1"/>
            </w:tcBorders>
          </w:tcPr>
          <w:p w14:paraId="6EC076CC" w14:textId="77777777" w:rsidR="00E86361" w:rsidRPr="00154FB3" w:rsidRDefault="00E86361" w:rsidP="00564EF8">
            <w:pPr>
              <w:spacing w:line="240" w:lineRule="auto"/>
              <w:jc w:val="center"/>
              <w:rPr>
                <w:sz w:val="24"/>
                <w:szCs w:val="24"/>
              </w:rPr>
            </w:pPr>
          </w:p>
        </w:tc>
        <w:tc>
          <w:tcPr>
            <w:tcW w:w="204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89A61D9" w14:textId="77777777" w:rsidR="00E86361" w:rsidRPr="00154FB3" w:rsidRDefault="00E86361" w:rsidP="00564EF8">
            <w:pPr>
              <w:spacing w:line="240" w:lineRule="auto"/>
              <w:jc w:val="center"/>
              <w:rPr>
                <w:sz w:val="24"/>
                <w:szCs w:val="24"/>
              </w:rPr>
            </w:pPr>
          </w:p>
        </w:tc>
        <w:tc>
          <w:tcPr>
            <w:tcW w:w="1803"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5A8B7D9" w14:textId="77777777" w:rsidR="00E86361" w:rsidRPr="00154FB3" w:rsidRDefault="00E86361" w:rsidP="00564EF8">
            <w:pPr>
              <w:spacing w:line="240" w:lineRule="auto"/>
              <w:jc w:val="center"/>
              <w:rPr>
                <w:sz w:val="24"/>
                <w:szCs w:val="24"/>
              </w:rPr>
            </w:pPr>
          </w:p>
        </w:tc>
        <w:tc>
          <w:tcPr>
            <w:tcW w:w="107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4A1B688" w14:textId="77777777" w:rsidR="00E86361" w:rsidRPr="00154FB3" w:rsidRDefault="00E86361" w:rsidP="00564EF8">
            <w:pPr>
              <w:spacing w:line="240" w:lineRule="auto"/>
              <w:jc w:val="center"/>
              <w:rPr>
                <w:sz w:val="24"/>
                <w:szCs w:val="24"/>
              </w:rPr>
            </w:pPr>
          </w:p>
        </w:tc>
      </w:tr>
      <w:tr w:rsidR="00E86361" w:rsidRPr="00154FB3" w14:paraId="7BAB4F94" w14:textId="77777777" w:rsidTr="00564EF8">
        <w:trPr>
          <w:trHeight w:val="95"/>
        </w:trPr>
        <w:tc>
          <w:tcPr>
            <w:tcW w:w="243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2F07233" w14:textId="77777777" w:rsidR="00E86361" w:rsidRPr="00154FB3" w:rsidRDefault="00E86361" w:rsidP="00564EF8">
            <w:pPr>
              <w:spacing w:line="240" w:lineRule="auto"/>
              <w:jc w:val="center"/>
              <w:rPr>
                <w:sz w:val="24"/>
                <w:szCs w:val="24"/>
              </w:rPr>
            </w:pPr>
            <w:r w:rsidRPr="00154FB3">
              <w:rPr>
                <w:sz w:val="24"/>
                <w:szCs w:val="24"/>
              </w:rPr>
              <w:t xml:space="preserve">low tide PRE </w:t>
            </w:r>
          </w:p>
        </w:tc>
        <w:tc>
          <w:tcPr>
            <w:tcW w:w="190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D59ECDD" w14:textId="77777777" w:rsidR="00E86361" w:rsidRPr="00154FB3" w:rsidRDefault="00E86361" w:rsidP="00564EF8">
            <w:pPr>
              <w:spacing w:line="240" w:lineRule="auto"/>
              <w:jc w:val="center"/>
              <w:rPr>
                <w:sz w:val="24"/>
                <w:szCs w:val="24"/>
              </w:rPr>
            </w:pPr>
            <w:r w:rsidRPr="00154FB3">
              <w:rPr>
                <w:sz w:val="24"/>
                <w:szCs w:val="24"/>
              </w:rPr>
              <w:t>(free)</w:t>
            </w:r>
          </w:p>
        </w:tc>
        <w:tc>
          <w:tcPr>
            <w:tcW w:w="2047"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DE0A810" w14:textId="77777777" w:rsidR="00E86361" w:rsidRPr="00154FB3" w:rsidRDefault="00E86361" w:rsidP="00564EF8">
            <w:pPr>
              <w:spacing w:line="240" w:lineRule="auto"/>
              <w:jc w:val="center"/>
              <w:rPr>
                <w:sz w:val="24"/>
                <w:szCs w:val="24"/>
              </w:rPr>
            </w:pPr>
            <w:r w:rsidRPr="00154FB3">
              <w:rPr>
                <w:sz w:val="24"/>
                <w:szCs w:val="24"/>
              </w:rPr>
              <w:t>2.646±1.153a</w:t>
            </w:r>
          </w:p>
        </w:tc>
        <w:tc>
          <w:tcPr>
            <w:tcW w:w="1803"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E9C361E" w14:textId="77777777" w:rsidR="00E86361" w:rsidRPr="00154FB3" w:rsidRDefault="00E86361" w:rsidP="00564EF8">
            <w:pPr>
              <w:spacing w:line="240" w:lineRule="auto"/>
              <w:jc w:val="center"/>
              <w:rPr>
                <w:sz w:val="24"/>
                <w:szCs w:val="24"/>
              </w:rPr>
            </w:pPr>
            <w:r w:rsidRPr="00154FB3">
              <w:rPr>
                <w:sz w:val="24"/>
                <w:szCs w:val="24"/>
              </w:rPr>
              <w:t>0.285±0.003a</w:t>
            </w:r>
          </w:p>
        </w:tc>
        <w:tc>
          <w:tcPr>
            <w:tcW w:w="107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9D50199" w14:textId="77777777" w:rsidR="00E86361" w:rsidRPr="00154FB3" w:rsidRDefault="00E86361" w:rsidP="00564EF8">
            <w:pPr>
              <w:spacing w:line="240" w:lineRule="auto"/>
              <w:jc w:val="center"/>
              <w:rPr>
                <w:sz w:val="24"/>
                <w:szCs w:val="24"/>
              </w:rPr>
            </w:pPr>
            <w:r w:rsidRPr="00154FB3">
              <w:rPr>
                <w:sz w:val="24"/>
                <w:szCs w:val="24"/>
              </w:rPr>
              <w:t>0.909</w:t>
            </w:r>
          </w:p>
        </w:tc>
      </w:tr>
      <w:tr w:rsidR="00E86361" w:rsidRPr="00154FB3" w14:paraId="0A411A3E" w14:textId="77777777" w:rsidTr="00564EF8">
        <w:trPr>
          <w:trHeight w:val="210"/>
        </w:trPr>
        <w:tc>
          <w:tcPr>
            <w:tcW w:w="24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18CA7D" w14:textId="77777777" w:rsidR="00E86361" w:rsidRPr="00154FB3" w:rsidRDefault="00E86361" w:rsidP="00564EF8">
            <w:pPr>
              <w:spacing w:line="240" w:lineRule="auto"/>
              <w:jc w:val="center"/>
              <w:rPr>
                <w:sz w:val="24"/>
                <w:szCs w:val="24"/>
              </w:rPr>
            </w:pPr>
          </w:p>
        </w:tc>
        <w:tc>
          <w:tcPr>
            <w:tcW w:w="19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1D02A4" w14:textId="77777777" w:rsidR="00E86361" w:rsidRPr="00154FB3" w:rsidRDefault="00E86361" w:rsidP="00564EF8">
            <w:pPr>
              <w:spacing w:line="240" w:lineRule="auto"/>
              <w:jc w:val="center"/>
              <w:rPr>
                <w:sz w:val="24"/>
                <w:szCs w:val="24"/>
              </w:rPr>
            </w:pPr>
            <w:r w:rsidRPr="00154FB3">
              <w:rPr>
                <w:sz w:val="24"/>
                <w:szCs w:val="24"/>
              </w:rPr>
              <w:t>(immobilised)</w:t>
            </w:r>
          </w:p>
        </w:tc>
        <w:tc>
          <w:tcPr>
            <w:tcW w:w="2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FB1056" w14:textId="77777777" w:rsidR="00E86361" w:rsidRPr="00154FB3" w:rsidRDefault="00E86361" w:rsidP="00564EF8">
            <w:pPr>
              <w:spacing w:line="240" w:lineRule="auto"/>
              <w:jc w:val="center"/>
              <w:rPr>
                <w:sz w:val="24"/>
                <w:szCs w:val="24"/>
              </w:rPr>
            </w:pPr>
            <w:r w:rsidRPr="00154FB3">
              <w:rPr>
                <w:sz w:val="24"/>
                <w:szCs w:val="24"/>
              </w:rPr>
              <w:t>1.105±0.067b</w:t>
            </w: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AEAD60" w14:textId="77777777" w:rsidR="00E86361" w:rsidRPr="00154FB3" w:rsidRDefault="00E86361" w:rsidP="00564EF8">
            <w:pPr>
              <w:spacing w:line="240" w:lineRule="auto"/>
              <w:jc w:val="center"/>
              <w:rPr>
                <w:sz w:val="24"/>
                <w:szCs w:val="24"/>
              </w:rPr>
            </w:pPr>
            <w:r w:rsidRPr="00154FB3">
              <w:rPr>
                <w:sz w:val="24"/>
                <w:szCs w:val="24"/>
              </w:rPr>
              <w:t>0.062±0.158b</w:t>
            </w:r>
          </w:p>
        </w:tc>
        <w:tc>
          <w:tcPr>
            <w:tcW w:w="1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3E1890" w14:textId="77777777" w:rsidR="00E86361" w:rsidRPr="00154FB3" w:rsidRDefault="00E86361" w:rsidP="00564EF8">
            <w:pPr>
              <w:spacing w:line="240" w:lineRule="auto"/>
              <w:jc w:val="center"/>
              <w:rPr>
                <w:sz w:val="24"/>
                <w:szCs w:val="24"/>
              </w:rPr>
            </w:pPr>
            <w:r w:rsidRPr="00154FB3">
              <w:rPr>
                <w:sz w:val="24"/>
                <w:szCs w:val="24"/>
              </w:rPr>
              <w:t>0.421</w:t>
            </w:r>
          </w:p>
        </w:tc>
      </w:tr>
      <w:tr w:rsidR="00E86361" w:rsidRPr="00154FB3" w14:paraId="1627B9E7" w14:textId="77777777" w:rsidTr="00564EF8">
        <w:trPr>
          <w:trHeight w:val="95"/>
        </w:trPr>
        <w:tc>
          <w:tcPr>
            <w:tcW w:w="24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986C66" w14:textId="77777777" w:rsidR="00E86361" w:rsidRPr="00154FB3" w:rsidRDefault="00E86361" w:rsidP="00564EF8">
            <w:pPr>
              <w:spacing w:line="240" w:lineRule="auto"/>
              <w:jc w:val="center"/>
              <w:rPr>
                <w:sz w:val="24"/>
                <w:szCs w:val="24"/>
              </w:rPr>
            </w:pPr>
            <w:r w:rsidRPr="00154FB3">
              <w:rPr>
                <w:sz w:val="24"/>
                <w:szCs w:val="24"/>
              </w:rPr>
              <w:t xml:space="preserve">high tide PRE </w:t>
            </w:r>
          </w:p>
        </w:tc>
        <w:tc>
          <w:tcPr>
            <w:tcW w:w="19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8387E1" w14:textId="77777777" w:rsidR="00E86361" w:rsidRPr="00154FB3" w:rsidRDefault="00E86361" w:rsidP="00564EF8">
            <w:pPr>
              <w:spacing w:line="240" w:lineRule="auto"/>
              <w:jc w:val="center"/>
              <w:rPr>
                <w:sz w:val="24"/>
                <w:szCs w:val="24"/>
              </w:rPr>
            </w:pPr>
            <w:r w:rsidRPr="00154FB3">
              <w:rPr>
                <w:sz w:val="24"/>
                <w:szCs w:val="24"/>
              </w:rPr>
              <w:t>(free)</w:t>
            </w:r>
          </w:p>
        </w:tc>
        <w:tc>
          <w:tcPr>
            <w:tcW w:w="2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00A246" w14:textId="77777777" w:rsidR="00E86361" w:rsidRPr="00154FB3" w:rsidRDefault="00E86361" w:rsidP="00564EF8">
            <w:pPr>
              <w:spacing w:line="240" w:lineRule="auto"/>
              <w:jc w:val="center"/>
              <w:rPr>
                <w:sz w:val="24"/>
                <w:szCs w:val="24"/>
              </w:rPr>
            </w:pPr>
            <w:r w:rsidRPr="00154FB3">
              <w:rPr>
                <w:sz w:val="24"/>
                <w:szCs w:val="24"/>
              </w:rPr>
              <w:t>0.508a</w:t>
            </w: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5E219D" w14:textId="77777777" w:rsidR="00E86361" w:rsidRPr="00154FB3" w:rsidRDefault="00E86361" w:rsidP="00564EF8">
            <w:pPr>
              <w:spacing w:line="240" w:lineRule="auto"/>
              <w:jc w:val="center"/>
              <w:rPr>
                <w:sz w:val="24"/>
                <w:szCs w:val="24"/>
              </w:rPr>
            </w:pPr>
            <w:r w:rsidRPr="00154FB3">
              <w:rPr>
                <w:sz w:val="24"/>
                <w:szCs w:val="24"/>
              </w:rPr>
              <w:t>-</w:t>
            </w:r>
          </w:p>
        </w:tc>
        <w:tc>
          <w:tcPr>
            <w:tcW w:w="1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3C30C4" w14:textId="77777777" w:rsidR="00E86361" w:rsidRPr="00154FB3" w:rsidRDefault="00E86361" w:rsidP="00564EF8">
            <w:pPr>
              <w:spacing w:line="240" w:lineRule="auto"/>
              <w:jc w:val="center"/>
              <w:rPr>
                <w:sz w:val="24"/>
                <w:szCs w:val="24"/>
              </w:rPr>
            </w:pPr>
            <w:r w:rsidRPr="00154FB3">
              <w:rPr>
                <w:sz w:val="24"/>
                <w:szCs w:val="24"/>
              </w:rPr>
              <w:t>-</w:t>
            </w:r>
          </w:p>
        </w:tc>
      </w:tr>
      <w:tr w:rsidR="00E86361" w:rsidRPr="00154FB3" w14:paraId="52FF5D12" w14:textId="77777777" w:rsidTr="00564EF8">
        <w:trPr>
          <w:trHeight w:val="120"/>
        </w:trPr>
        <w:tc>
          <w:tcPr>
            <w:tcW w:w="243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D139F93" w14:textId="77777777" w:rsidR="00E86361" w:rsidRPr="00154FB3" w:rsidRDefault="00E86361" w:rsidP="00564EF8">
            <w:pPr>
              <w:spacing w:line="240" w:lineRule="auto"/>
              <w:jc w:val="center"/>
              <w:rPr>
                <w:sz w:val="24"/>
                <w:szCs w:val="24"/>
              </w:rPr>
            </w:pPr>
          </w:p>
        </w:tc>
        <w:tc>
          <w:tcPr>
            <w:tcW w:w="19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4DD76E9" w14:textId="77777777" w:rsidR="00E86361" w:rsidRPr="00154FB3" w:rsidRDefault="00E86361" w:rsidP="00564EF8">
            <w:pPr>
              <w:spacing w:line="240" w:lineRule="auto"/>
              <w:jc w:val="center"/>
              <w:rPr>
                <w:sz w:val="24"/>
                <w:szCs w:val="24"/>
              </w:rPr>
            </w:pPr>
            <w:r w:rsidRPr="00154FB3">
              <w:rPr>
                <w:sz w:val="24"/>
                <w:szCs w:val="24"/>
              </w:rPr>
              <w:t>(immobilised)</w:t>
            </w:r>
          </w:p>
        </w:tc>
        <w:tc>
          <w:tcPr>
            <w:tcW w:w="204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F279E6F" w14:textId="77777777" w:rsidR="00E86361" w:rsidRPr="00154FB3" w:rsidRDefault="00E86361" w:rsidP="00564EF8">
            <w:pPr>
              <w:spacing w:line="240" w:lineRule="auto"/>
              <w:jc w:val="center"/>
              <w:rPr>
                <w:sz w:val="24"/>
                <w:szCs w:val="24"/>
              </w:rPr>
            </w:pPr>
            <w:r w:rsidRPr="00154FB3">
              <w:rPr>
                <w:sz w:val="24"/>
                <w:szCs w:val="24"/>
              </w:rPr>
              <w:t>0.760±0.265a</w:t>
            </w:r>
          </w:p>
        </w:tc>
        <w:tc>
          <w:tcPr>
            <w:tcW w:w="1803"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DF607B4" w14:textId="77777777" w:rsidR="00E86361" w:rsidRPr="00154FB3" w:rsidRDefault="00E86361" w:rsidP="00564EF8">
            <w:pPr>
              <w:spacing w:line="240" w:lineRule="auto"/>
              <w:jc w:val="center"/>
              <w:rPr>
                <w:sz w:val="24"/>
                <w:szCs w:val="24"/>
              </w:rPr>
            </w:pPr>
            <w:r w:rsidRPr="00154FB3">
              <w:rPr>
                <w:sz w:val="24"/>
                <w:szCs w:val="24"/>
              </w:rPr>
              <w:t>-</w:t>
            </w:r>
          </w:p>
        </w:tc>
        <w:tc>
          <w:tcPr>
            <w:tcW w:w="107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2925623" w14:textId="77777777" w:rsidR="00E86361" w:rsidRPr="00154FB3" w:rsidRDefault="00E86361" w:rsidP="00564EF8">
            <w:pPr>
              <w:spacing w:line="240" w:lineRule="auto"/>
              <w:jc w:val="center"/>
              <w:rPr>
                <w:sz w:val="24"/>
                <w:szCs w:val="24"/>
              </w:rPr>
            </w:pPr>
            <w:r w:rsidRPr="00154FB3">
              <w:rPr>
                <w:sz w:val="24"/>
                <w:szCs w:val="24"/>
              </w:rPr>
              <w:t>-</w:t>
            </w:r>
          </w:p>
        </w:tc>
      </w:tr>
      <w:tr w:rsidR="00E86361" w:rsidRPr="00154FB3" w14:paraId="30E9298D" w14:textId="77777777" w:rsidTr="00564EF8">
        <w:trPr>
          <w:trHeight w:val="255"/>
        </w:trPr>
        <w:tc>
          <w:tcPr>
            <w:tcW w:w="2434" w:type="dxa"/>
            <w:tcBorders>
              <w:top w:val="single" w:sz="4" w:space="0" w:color="auto"/>
              <w:left w:val="single" w:sz="4" w:space="0" w:color="FFFFFF" w:themeColor="background1"/>
              <w:bottom w:val="single" w:sz="4" w:space="0" w:color="auto"/>
              <w:right w:val="single" w:sz="4" w:space="0" w:color="FFFFFF" w:themeColor="background1"/>
            </w:tcBorders>
          </w:tcPr>
          <w:p w14:paraId="29A26C02" w14:textId="77777777" w:rsidR="00E86361" w:rsidRPr="00154FB3" w:rsidRDefault="00E86361" w:rsidP="00564EF8">
            <w:pPr>
              <w:spacing w:line="240" w:lineRule="auto"/>
              <w:rPr>
                <w:sz w:val="24"/>
                <w:szCs w:val="24"/>
              </w:rPr>
            </w:pPr>
            <w:r w:rsidRPr="00154FB3">
              <w:rPr>
                <w:sz w:val="24"/>
                <w:szCs w:val="24"/>
              </w:rPr>
              <w:t>Phosphate uptake</w:t>
            </w:r>
          </w:p>
        </w:tc>
        <w:tc>
          <w:tcPr>
            <w:tcW w:w="1904" w:type="dxa"/>
            <w:tcBorders>
              <w:top w:val="single" w:sz="4" w:space="0" w:color="auto"/>
              <w:left w:val="single" w:sz="4" w:space="0" w:color="FFFFFF" w:themeColor="background1"/>
              <w:bottom w:val="single" w:sz="4" w:space="0" w:color="auto"/>
              <w:right w:val="single" w:sz="4" w:space="0" w:color="FFFFFF" w:themeColor="background1"/>
            </w:tcBorders>
          </w:tcPr>
          <w:p w14:paraId="571654DA" w14:textId="77777777" w:rsidR="00E86361" w:rsidRPr="00154FB3" w:rsidRDefault="00E86361" w:rsidP="00564EF8">
            <w:pPr>
              <w:spacing w:line="240" w:lineRule="auto"/>
              <w:jc w:val="center"/>
              <w:rPr>
                <w:sz w:val="24"/>
                <w:szCs w:val="24"/>
              </w:rPr>
            </w:pPr>
          </w:p>
        </w:tc>
        <w:tc>
          <w:tcPr>
            <w:tcW w:w="2047" w:type="dxa"/>
            <w:tcBorders>
              <w:top w:val="single" w:sz="4" w:space="0" w:color="auto"/>
              <w:left w:val="single" w:sz="4" w:space="0" w:color="FFFFFF" w:themeColor="background1"/>
              <w:bottom w:val="single" w:sz="4" w:space="0" w:color="auto"/>
              <w:right w:val="single" w:sz="4" w:space="0" w:color="FFFFFF" w:themeColor="background1"/>
            </w:tcBorders>
          </w:tcPr>
          <w:p w14:paraId="0EC21E05" w14:textId="77777777" w:rsidR="00E86361" w:rsidRPr="00154FB3" w:rsidRDefault="00E86361" w:rsidP="00564EF8">
            <w:pPr>
              <w:spacing w:line="240" w:lineRule="auto"/>
              <w:jc w:val="center"/>
              <w:rPr>
                <w:sz w:val="24"/>
                <w:szCs w:val="24"/>
              </w:rPr>
            </w:pPr>
          </w:p>
        </w:tc>
        <w:tc>
          <w:tcPr>
            <w:tcW w:w="1803" w:type="dxa"/>
            <w:tcBorders>
              <w:top w:val="single" w:sz="4" w:space="0" w:color="auto"/>
              <w:left w:val="single" w:sz="4" w:space="0" w:color="FFFFFF" w:themeColor="background1"/>
              <w:bottom w:val="single" w:sz="4" w:space="0" w:color="auto"/>
              <w:right w:val="single" w:sz="4" w:space="0" w:color="FFFFFF" w:themeColor="background1"/>
            </w:tcBorders>
          </w:tcPr>
          <w:p w14:paraId="48064BBB" w14:textId="77777777" w:rsidR="00E86361" w:rsidRPr="00154FB3" w:rsidRDefault="00E86361" w:rsidP="00564EF8">
            <w:pPr>
              <w:spacing w:line="240" w:lineRule="auto"/>
              <w:jc w:val="center"/>
              <w:rPr>
                <w:sz w:val="24"/>
                <w:szCs w:val="24"/>
              </w:rPr>
            </w:pPr>
          </w:p>
        </w:tc>
        <w:tc>
          <w:tcPr>
            <w:tcW w:w="1070" w:type="dxa"/>
            <w:tcBorders>
              <w:top w:val="single" w:sz="4" w:space="0" w:color="auto"/>
              <w:left w:val="single" w:sz="4" w:space="0" w:color="FFFFFF" w:themeColor="background1"/>
              <w:bottom w:val="single" w:sz="4" w:space="0" w:color="auto"/>
              <w:right w:val="single" w:sz="4" w:space="0" w:color="FFFFFF" w:themeColor="background1"/>
            </w:tcBorders>
          </w:tcPr>
          <w:p w14:paraId="34941B54" w14:textId="77777777" w:rsidR="00E86361" w:rsidRPr="00154FB3" w:rsidRDefault="00E86361" w:rsidP="00564EF8">
            <w:pPr>
              <w:spacing w:line="240" w:lineRule="auto"/>
              <w:jc w:val="center"/>
              <w:rPr>
                <w:sz w:val="24"/>
                <w:szCs w:val="24"/>
              </w:rPr>
            </w:pPr>
          </w:p>
        </w:tc>
      </w:tr>
      <w:tr w:rsidR="00E86361" w:rsidRPr="00154FB3" w14:paraId="025D5BAB" w14:textId="77777777" w:rsidTr="00564EF8">
        <w:trPr>
          <w:trHeight w:val="120"/>
        </w:trPr>
        <w:tc>
          <w:tcPr>
            <w:tcW w:w="243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BEBDD5C" w14:textId="77777777" w:rsidR="00E86361" w:rsidRPr="00154FB3" w:rsidRDefault="00E86361" w:rsidP="00564EF8">
            <w:pPr>
              <w:spacing w:line="240" w:lineRule="auto"/>
              <w:jc w:val="center"/>
              <w:rPr>
                <w:sz w:val="24"/>
                <w:szCs w:val="24"/>
              </w:rPr>
            </w:pPr>
            <w:r w:rsidRPr="00154FB3">
              <w:rPr>
                <w:sz w:val="24"/>
                <w:szCs w:val="24"/>
              </w:rPr>
              <w:t xml:space="preserve">low tide PRE </w:t>
            </w:r>
          </w:p>
        </w:tc>
        <w:tc>
          <w:tcPr>
            <w:tcW w:w="190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2981C24" w14:textId="77777777" w:rsidR="00E86361" w:rsidRPr="00154FB3" w:rsidRDefault="00E86361" w:rsidP="00564EF8">
            <w:pPr>
              <w:spacing w:line="240" w:lineRule="auto"/>
              <w:jc w:val="center"/>
              <w:rPr>
                <w:sz w:val="24"/>
                <w:szCs w:val="24"/>
              </w:rPr>
            </w:pPr>
            <w:r w:rsidRPr="00154FB3">
              <w:rPr>
                <w:sz w:val="24"/>
                <w:szCs w:val="24"/>
              </w:rPr>
              <w:t>(free)</w:t>
            </w:r>
          </w:p>
        </w:tc>
        <w:tc>
          <w:tcPr>
            <w:tcW w:w="2047"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07C6586" w14:textId="77777777" w:rsidR="00E86361" w:rsidRPr="00154FB3" w:rsidRDefault="00E86361" w:rsidP="00564EF8">
            <w:pPr>
              <w:spacing w:line="240" w:lineRule="auto"/>
              <w:jc w:val="center"/>
              <w:rPr>
                <w:sz w:val="24"/>
                <w:szCs w:val="24"/>
              </w:rPr>
            </w:pPr>
            <w:r w:rsidRPr="00154FB3">
              <w:rPr>
                <w:sz w:val="24"/>
                <w:szCs w:val="24"/>
              </w:rPr>
              <w:t>1.016±0.039a</w:t>
            </w:r>
          </w:p>
        </w:tc>
        <w:tc>
          <w:tcPr>
            <w:tcW w:w="1803"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F4F945A" w14:textId="77777777" w:rsidR="00E86361" w:rsidRPr="00154FB3" w:rsidRDefault="00E86361" w:rsidP="00564EF8">
            <w:pPr>
              <w:spacing w:line="240" w:lineRule="auto"/>
              <w:jc w:val="center"/>
              <w:rPr>
                <w:sz w:val="24"/>
                <w:szCs w:val="24"/>
              </w:rPr>
            </w:pPr>
            <w:r w:rsidRPr="00154FB3">
              <w:rPr>
                <w:sz w:val="24"/>
                <w:szCs w:val="24"/>
              </w:rPr>
              <w:t>0.359±0.003a</w:t>
            </w:r>
          </w:p>
        </w:tc>
        <w:tc>
          <w:tcPr>
            <w:tcW w:w="107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AFB3642" w14:textId="77777777" w:rsidR="00E86361" w:rsidRPr="00154FB3" w:rsidRDefault="00E86361" w:rsidP="00564EF8">
            <w:pPr>
              <w:spacing w:line="240" w:lineRule="auto"/>
              <w:jc w:val="center"/>
              <w:rPr>
                <w:sz w:val="24"/>
                <w:szCs w:val="24"/>
              </w:rPr>
            </w:pPr>
            <w:r w:rsidRPr="00154FB3">
              <w:rPr>
                <w:sz w:val="24"/>
                <w:szCs w:val="24"/>
              </w:rPr>
              <w:t>0.946</w:t>
            </w:r>
          </w:p>
        </w:tc>
      </w:tr>
      <w:tr w:rsidR="00E86361" w:rsidRPr="00154FB3" w14:paraId="7F7A7D98" w14:textId="77777777" w:rsidTr="00564EF8">
        <w:trPr>
          <w:trHeight w:val="120"/>
        </w:trPr>
        <w:tc>
          <w:tcPr>
            <w:tcW w:w="24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9272DB" w14:textId="77777777" w:rsidR="00E86361" w:rsidRPr="00154FB3" w:rsidRDefault="00E86361" w:rsidP="00564EF8">
            <w:pPr>
              <w:spacing w:line="240" w:lineRule="auto"/>
              <w:jc w:val="center"/>
              <w:rPr>
                <w:sz w:val="24"/>
                <w:szCs w:val="24"/>
              </w:rPr>
            </w:pPr>
          </w:p>
        </w:tc>
        <w:tc>
          <w:tcPr>
            <w:tcW w:w="19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4D1D31" w14:textId="77777777" w:rsidR="00E86361" w:rsidRPr="00154FB3" w:rsidRDefault="00E86361" w:rsidP="00564EF8">
            <w:pPr>
              <w:spacing w:line="240" w:lineRule="auto"/>
              <w:jc w:val="center"/>
              <w:rPr>
                <w:sz w:val="24"/>
                <w:szCs w:val="24"/>
              </w:rPr>
            </w:pPr>
            <w:r w:rsidRPr="00154FB3">
              <w:rPr>
                <w:sz w:val="24"/>
                <w:szCs w:val="24"/>
              </w:rPr>
              <w:t>(immobilised)</w:t>
            </w:r>
          </w:p>
        </w:tc>
        <w:tc>
          <w:tcPr>
            <w:tcW w:w="2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65C548" w14:textId="77777777" w:rsidR="00E86361" w:rsidRPr="00154FB3" w:rsidRDefault="00E86361" w:rsidP="00564EF8">
            <w:pPr>
              <w:spacing w:line="240" w:lineRule="auto"/>
              <w:jc w:val="center"/>
              <w:rPr>
                <w:sz w:val="24"/>
                <w:szCs w:val="24"/>
              </w:rPr>
            </w:pPr>
            <w:r w:rsidRPr="00154FB3">
              <w:rPr>
                <w:sz w:val="24"/>
                <w:szCs w:val="24"/>
              </w:rPr>
              <w:t>1.016±0.039a</w:t>
            </w: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4E24E4" w14:textId="77777777" w:rsidR="00E86361" w:rsidRPr="00154FB3" w:rsidRDefault="00E86361" w:rsidP="00564EF8">
            <w:pPr>
              <w:spacing w:line="240" w:lineRule="auto"/>
              <w:jc w:val="center"/>
              <w:rPr>
                <w:sz w:val="24"/>
                <w:szCs w:val="24"/>
              </w:rPr>
            </w:pPr>
            <w:r w:rsidRPr="00154FB3">
              <w:rPr>
                <w:sz w:val="24"/>
                <w:szCs w:val="24"/>
              </w:rPr>
              <w:t>0.251±0.002a</w:t>
            </w:r>
          </w:p>
        </w:tc>
        <w:tc>
          <w:tcPr>
            <w:tcW w:w="1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E9E81D" w14:textId="77777777" w:rsidR="00E86361" w:rsidRPr="00154FB3" w:rsidRDefault="00E86361" w:rsidP="00564EF8">
            <w:pPr>
              <w:spacing w:line="240" w:lineRule="auto"/>
              <w:jc w:val="center"/>
              <w:rPr>
                <w:sz w:val="24"/>
                <w:szCs w:val="24"/>
              </w:rPr>
            </w:pPr>
            <w:r w:rsidRPr="00154FB3">
              <w:rPr>
                <w:sz w:val="24"/>
                <w:szCs w:val="24"/>
              </w:rPr>
              <w:t>0.943</w:t>
            </w:r>
          </w:p>
        </w:tc>
      </w:tr>
      <w:tr w:rsidR="00E86361" w:rsidRPr="00154FB3" w14:paraId="6936F981" w14:textId="77777777" w:rsidTr="00564EF8">
        <w:trPr>
          <w:trHeight w:val="120"/>
        </w:trPr>
        <w:tc>
          <w:tcPr>
            <w:tcW w:w="24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3120FD" w14:textId="77777777" w:rsidR="00E86361" w:rsidRPr="00154FB3" w:rsidRDefault="00E86361" w:rsidP="00564EF8">
            <w:pPr>
              <w:spacing w:line="240" w:lineRule="auto"/>
              <w:jc w:val="center"/>
              <w:rPr>
                <w:sz w:val="24"/>
                <w:szCs w:val="24"/>
              </w:rPr>
            </w:pPr>
            <w:r w:rsidRPr="00154FB3">
              <w:rPr>
                <w:sz w:val="24"/>
                <w:szCs w:val="24"/>
              </w:rPr>
              <w:t xml:space="preserve">high tide PRE </w:t>
            </w:r>
          </w:p>
        </w:tc>
        <w:tc>
          <w:tcPr>
            <w:tcW w:w="19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CB4BA0" w14:textId="77777777" w:rsidR="00E86361" w:rsidRPr="00154FB3" w:rsidRDefault="00E86361" w:rsidP="00564EF8">
            <w:pPr>
              <w:spacing w:line="240" w:lineRule="auto"/>
              <w:jc w:val="center"/>
              <w:rPr>
                <w:sz w:val="24"/>
                <w:szCs w:val="24"/>
              </w:rPr>
            </w:pPr>
            <w:r w:rsidRPr="00154FB3">
              <w:rPr>
                <w:sz w:val="24"/>
                <w:szCs w:val="24"/>
              </w:rPr>
              <w:t>(free)</w:t>
            </w:r>
          </w:p>
        </w:tc>
        <w:tc>
          <w:tcPr>
            <w:tcW w:w="2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20F810" w14:textId="77777777" w:rsidR="00E86361" w:rsidRPr="00154FB3" w:rsidRDefault="00E86361" w:rsidP="00564EF8">
            <w:pPr>
              <w:spacing w:line="240" w:lineRule="auto"/>
              <w:jc w:val="center"/>
              <w:rPr>
                <w:sz w:val="24"/>
                <w:szCs w:val="24"/>
              </w:rPr>
            </w:pPr>
            <w:r w:rsidRPr="00154FB3">
              <w:rPr>
                <w:sz w:val="24"/>
                <w:szCs w:val="24"/>
              </w:rPr>
              <w:t>0.609±0.002a</w:t>
            </w: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D96DD6" w14:textId="77777777" w:rsidR="00E86361" w:rsidRPr="00154FB3" w:rsidRDefault="00E86361" w:rsidP="00564EF8">
            <w:pPr>
              <w:spacing w:line="240" w:lineRule="auto"/>
              <w:jc w:val="center"/>
              <w:rPr>
                <w:sz w:val="24"/>
                <w:szCs w:val="24"/>
              </w:rPr>
            </w:pPr>
            <w:r w:rsidRPr="00154FB3">
              <w:rPr>
                <w:sz w:val="24"/>
                <w:szCs w:val="24"/>
              </w:rPr>
              <w:t>0.271±0.047a</w:t>
            </w:r>
          </w:p>
        </w:tc>
        <w:tc>
          <w:tcPr>
            <w:tcW w:w="1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574D23" w14:textId="77777777" w:rsidR="00E86361" w:rsidRPr="00154FB3" w:rsidRDefault="00E86361" w:rsidP="00564EF8">
            <w:pPr>
              <w:spacing w:line="240" w:lineRule="auto"/>
              <w:jc w:val="center"/>
              <w:rPr>
                <w:sz w:val="24"/>
                <w:szCs w:val="24"/>
              </w:rPr>
            </w:pPr>
            <w:r w:rsidRPr="00154FB3">
              <w:rPr>
                <w:sz w:val="24"/>
                <w:szCs w:val="24"/>
              </w:rPr>
              <w:t>0.689</w:t>
            </w:r>
          </w:p>
        </w:tc>
      </w:tr>
      <w:tr w:rsidR="00E86361" w:rsidRPr="00154FB3" w14:paraId="2C9DA0E3" w14:textId="77777777" w:rsidTr="00564EF8">
        <w:trPr>
          <w:trHeight w:val="95"/>
        </w:trPr>
        <w:tc>
          <w:tcPr>
            <w:tcW w:w="243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D0EA6C3" w14:textId="77777777" w:rsidR="00E86361" w:rsidRPr="00154FB3" w:rsidRDefault="00E86361" w:rsidP="00564EF8">
            <w:pPr>
              <w:spacing w:line="240" w:lineRule="auto"/>
              <w:jc w:val="center"/>
              <w:rPr>
                <w:sz w:val="24"/>
                <w:szCs w:val="24"/>
              </w:rPr>
            </w:pPr>
          </w:p>
        </w:tc>
        <w:tc>
          <w:tcPr>
            <w:tcW w:w="19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62080C0" w14:textId="77777777" w:rsidR="00E86361" w:rsidRPr="00154FB3" w:rsidRDefault="00E86361" w:rsidP="00564EF8">
            <w:pPr>
              <w:spacing w:line="240" w:lineRule="auto"/>
              <w:jc w:val="center"/>
              <w:rPr>
                <w:sz w:val="24"/>
                <w:szCs w:val="24"/>
              </w:rPr>
            </w:pPr>
            <w:r w:rsidRPr="00154FB3">
              <w:rPr>
                <w:sz w:val="24"/>
                <w:szCs w:val="24"/>
              </w:rPr>
              <w:t>(immobilised)</w:t>
            </w:r>
          </w:p>
        </w:tc>
        <w:tc>
          <w:tcPr>
            <w:tcW w:w="204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7F80D9C" w14:textId="77777777" w:rsidR="00E86361" w:rsidRPr="00154FB3" w:rsidRDefault="00E86361" w:rsidP="00564EF8">
            <w:pPr>
              <w:spacing w:line="240" w:lineRule="auto"/>
              <w:jc w:val="center"/>
              <w:rPr>
                <w:sz w:val="24"/>
                <w:szCs w:val="24"/>
              </w:rPr>
            </w:pPr>
            <w:r w:rsidRPr="00154FB3">
              <w:rPr>
                <w:sz w:val="24"/>
                <w:szCs w:val="24"/>
              </w:rPr>
              <w:t>0.609±0.002a</w:t>
            </w:r>
          </w:p>
        </w:tc>
        <w:tc>
          <w:tcPr>
            <w:tcW w:w="1803"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22ED491" w14:textId="77777777" w:rsidR="00E86361" w:rsidRPr="00154FB3" w:rsidRDefault="00E86361" w:rsidP="00564EF8">
            <w:pPr>
              <w:spacing w:line="240" w:lineRule="auto"/>
              <w:jc w:val="center"/>
              <w:rPr>
                <w:sz w:val="24"/>
                <w:szCs w:val="24"/>
              </w:rPr>
            </w:pPr>
            <w:r w:rsidRPr="00154FB3">
              <w:rPr>
                <w:sz w:val="24"/>
                <w:szCs w:val="24"/>
              </w:rPr>
              <w:t>0.233±0.099a</w:t>
            </w:r>
          </w:p>
        </w:tc>
        <w:tc>
          <w:tcPr>
            <w:tcW w:w="107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99D8FAC" w14:textId="77777777" w:rsidR="00E86361" w:rsidRPr="00154FB3" w:rsidRDefault="00E86361" w:rsidP="00564EF8">
            <w:pPr>
              <w:spacing w:line="240" w:lineRule="auto"/>
              <w:jc w:val="center"/>
              <w:rPr>
                <w:sz w:val="24"/>
                <w:szCs w:val="24"/>
              </w:rPr>
            </w:pPr>
            <w:r w:rsidRPr="00154FB3">
              <w:rPr>
                <w:sz w:val="24"/>
                <w:szCs w:val="24"/>
              </w:rPr>
              <w:t>0.784</w:t>
            </w:r>
          </w:p>
        </w:tc>
      </w:tr>
      <w:tr w:rsidR="00E86361" w:rsidRPr="00154FB3" w14:paraId="42B4B762" w14:textId="77777777" w:rsidTr="00564EF8">
        <w:trPr>
          <w:trHeight w:val="220"/>
        </w:trPr>
        <w:tc>
          <w:tcPr>
            <w:tcW w:w="2434" w:type="dxa"/>
            <w:tcBorders>
              <w:top w:val="single" w:sz="4" w:space="0" w:color="auto"/>
              <w:left w:val="single" w:sz="4" w:space="0" w:color="FFFFFF" w:themeColor="background1"/>
              <w:bottom w:val="single" w:sz="4" w:space="0" w:color="auto"/>
              <w:right w:val="single" w:sz="4" w:space="0" w:color="FFFFFF" w:themeColor="background1"/>
            </w:tcBorders>
          </w:tcPr>
          <w:p w14:paraId="3631F16B" w14:textId="77777777" w:rsidR="00E86361" w:rsidRPr="00154FB3" w:rsidRDefault="00E86361" w:rsidP="00564EF8">
            <w:pPr>
              <w:spacing w:line="240" w:lineRule="auto"/>
              <w:rPr>
                <w:sz w:val="24"/>
                <w:szCs w:val="24"/>
              </w:rPr>
            </w:pPr>
            <w:r w:rsidRPr="00154FB3">
              <w:rPr>
                <w:sz w:val="24"/>
                <w:szCs w:val="24"/>
              </w:rPr>
              <w:t>Ammonium uptake</w:t>
            </w:r>
          </w:p>
        </w:tc>
        <w:tc>
          <w:tcPr>
            <w:tcW w:w="1904" w:type="dxa"/>
            <w:tcBorders>
              <w:top w:val="single" w:sz="4" w:space="0" w:color="auto"/>
              <w:left w:val="single" w:sz="4" w:space="0" w:color="FFFFFF" w:themeColor="background1"/>
              <w:bottom w:val="single" w:sz="4" w:space="0" w:color="auto"/>
              <w:right w:val="single" w:sz="4" w:space="0" w:color="FFFFFF" w:themeColor="background1"/>
            </w:tcBorders>
          </w:tcPr>
          <w:p w14:paraId="35075E41" w14:textId="77777777" w:rsidR="00E86361" w:rsidRPr="00154FB3" w:rsidRDefault="00E86361" w:rsidP="00564EF8">
            <w:pPr>
              <w:spacing w:line="240" w:lineRule="auto"/>
              <w:jc w:val="center"/>
              <w:rPr>
                <w:sz w:val="24"/>
                <w:szCs w:val="24"/>
              </w:rPr>
            </w:pPr>
          </w:p>
        </w:tc>
        <w:tc>
          <w:tcPr>
            <w:tcW w:w="2047" w:type="dxa"/>
            <w:tcBorders>
              <w:top w:val="single" w:sz="4" w:space="0" w:color="auto"/>
              <w:left w:val="single" w:sz="4" w:space="0" w:color="FFFFFF" w:themeColor="background1"/>
              <w:bottom w:val="single" w:sz="4" w:space="0" w:color="auto"/>
              <w:right w:val="single" w:sz="4" w:space="0" w:color="FFFFFF" w:themeColor="background1"/>
            </w:tcBorders>
          </w:tcPr>
          <w:p w14:paraId="76B7A8EB" w14:textId="77777777" w:rsidR="00E86361" w:rsidRPr="00154FB3" w:rsidRDefault="00E86361" w:rsidP="00564EF8">
            <w:pPr>
              <w:spacing w:line="240" w:lineRule="auto"/>
              <w:jc w:val="center"/>
              <w:rPr>
                <w:sz w:val="24"/>
                <w:szCs w:val="24"/>
              </w:rPr>
            </w:pPr>
          </w:p>
        </w:tc>
        <w:tc>
          <w:tcPr>
            <w:tcW w:w="1803" w:type="dxa"/>
            <w:tcBorders>
              <w:top w:val="single" w:sz="4" w:space="0" w:color="auto"/>
              <w:left w:val="single" w:sz="4" w:space="0" w:color="FFFFFF" w:themeColor="background1"/>
              <w:bottom w:val="single" w:sz="4" w:space="0" w:color="auto"/>
              <w:right w:val="single" w:sz="4" w:space="0" w:color="FFFFFF" w:themeColor="background1"/>
            </w:tcBorders>
          </w:tcPr>
          <w:p w14:paraId="7ED8403F" w14:textId="77777777" w:rsidR="00E86361" w:rsidRPr="00154FB3" w:rsidRDefault="00E86361" w:rsidP="00564EF8">
            <w:pPr>
              <w:spacing w:line="240" w:lineRule="auto"/>
              <w:jc w:val="center"/>
              <w:rPr>
                <w:sz w:val="24"/>
                <w:szCs w:val="24"/>
              </w:rPr>
            </w:pPr>
          </w:p>
        </w:tc>
        <w:tc>
          <w:tcPr>
            <w:tcW w:w="1070" w:type="dxa"/>
            <w:tcBorders>
              <w:top w:val="single" w:sz="4" w:space="0" w:color="auto"/>
              <w:left w:val="single" w:sz="4" w:space="0" w:color="FFFFFF" w:themeColor="background1"/>
              <w:bottom w:val="single" w:sz="4" w:space="0" w:color="auto"/>
              <w:right w:val="single" w:sz="4" w:space="0" w:color="FFFFFF" w:themeColor="background1"/>
            </w:tcBorders>
          </w:tcPr>
          <w:p w14:paraId="49259AE9" w14:textId="77777777" w:rsidR="00E86361" w:rsidRPr="00154FB3" w:rsidRDefault="00E86361" w:rsidP="00564EF8">
            <w:pPr>
              <w:spacing w:line="240" w:lineRule="auto"/>
              <w:jc w:val="center"/>
              <w:rPr>
                <w:sz w:val="24"/>
                <w:szCs w:val="24"/>
              </w:rPr>
            </w:pPr>
          </w:p>
        </w:tc>
      </w:tr>
      <w:tr w:rsidR="00E86361" w:rsidRPr="00154FB3" w14:paraId="35CF84A8" w14:textId="77777777" w:rsidTr="00564EF8">
        <w:trPr>
          <w:trHeight w:val="285"/>
        </w:trPr>
        <w:tc>
          <w:tcPr>
            <w:tcW w:w="2434" w:type="dxa"/>
            <w:vMerge w:val="restart"/>
            <w:tcBorders>
              <w:top w:val="single" w:sz="4" w:space="0" w:color="auto"/>
              <w:left w:val="single" w:sz="4" w:space="0" w:color="FFFFFF" w:themeColor="background1"/>
              <w:right w:val="single" w:sz="4" w:space="0" w:color="FFFFFF" w:themeColor="background1"/>
            </w:tcBorders>
          </w:tcPr>
          <w:p w14:paraId="29EC032B" w14:textId="77777777" w:rsidR="00E86361" w:rsidRPr="00154FB3" w:rsidRDefault="00E86361" w:rsidP="00564EF8">
            <w:pPr>
              <w:spacing w:line="240" w:lineRule="auto"/>
              <w:jc w:val="center"/>
              <w:rPr>
                <w:sz w:val="24"/>
                <w:szCs w:val="24"/>
              </w:rPr>
            </w:pPr>
            <w:r w:rsidRPr="00154FB3">
              <w:rPr>
                <w:sz w:val="24"/>
                <w:szCs w:val="24"/>
              </w:rPr>
              <w:t xml:space="preserve">low tide PRE </w:t>
            </w:r>
          </w:p>
          <w:p w14:paraId="5E4256EB" w14:textId="77777777" w:rsidR="00E86361" w:rsidRPr="00154FB3" w:rsidRDefault="00E86361" w:rsidP="00564EF8">
            <w:pPr>
              <w:spacing w:line="240" w:lineRule="auto"/>
              <w:jc w:val="center"/>
              <w:rPr>
                <w:sz w:val="24"/>
                <w:szCs w:val="24"/>
              </w:rPr>
            </w:pPr>
          </w:p>
        </w:tc>
        <w:tc>
          <w:tcPr>
            <w:tcW w:w="190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20D6E75" w14:textId="77777777" w:rsidR="00E86361" w:rsidRPr="00154FB3" w:rsidRDefault="00E86361" w:rsidP="00564EF8">
            <w:pPr>
              <w:spacing w:line="240" w:lineRule="auto"/>
              <w:jc w:val="center"/>
              <w:rPr>
                <w:sz w:val="24"/>
                <w:szCs w:val="24"/>
              </w:rPr>
            </w:pPr>
            <w:r w:rsidRPr="00154FB3">
              <w:rPr>
                <w:sz w:val="24"/>
                <w:szCs w:val="24"/>
              </w:rPr>
              <w:t>(free)</w:t>
            </w:r>
          </w:p>
        </w:tc>
        <w:tc>
          <w:tcPr>
            <w:tcW w:w="2047"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853465C" w14:textId="77777777" w:rsidR="00E86361" w:rsidRPr="00154FB3" w:rsidRDefault="00E86361" w:rsidP="00564EF8">
            <w:pPr>
              <w:spacing w:line="240" w:lineRule="auto"/>
              <w:jc w:val="center"/>
              <w:rPr>
                <w:sz w:val="24"/>
                <w:szCs w:val="24"/>
              </w:rPr>
            </w:pPr>
            <w:r w:rsidRPr="00154FB3">
              <w:rPr>
                <w:sz w:val="24"/>
                <w:szCs w:val="24"/>
              </w:rPr>
              <w:t>27.990±1.902a</w:t>
            </w:r>
          </w:p>
        </w:tc>
        <w:tc>
          <w:tcPr>
            <w:tcW w:w="1803"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DBF18AE" w14:textId="77777777" w:rsidR="00E86361" w:rsidRPr="00154FB3" w:rsidRDefault="00E86361" w:rsidP="00564EF8">
            <w:pPr>
              <w:spacing w:line="240" w:lineRule="auto"/>
              <w:jc w:val="center"/>
              <w:rPr>
                <w:sz w:val="24"/>
                <w:szCs w:val="24"/>
              </w:rPr>
            </w:pPr>
            <w:r w:rsidRPr="00154FB3">
              <w:rPr>
                <w:sz w:val="24"/>
                <w:szCs w:val="24"/>
              </w:rPr>
              <w:t>0.439±0.001a</w:t>
            </w:r>
          </w:p>
        </w:tc>
        <w:tc>
          <w:tcPr>
            <w:tcW w:w="107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7229C35" w14:textId="77777777" w:rsidR="00E86361" w:rsidRPr="00154FB3" w:rsidRDefault="00E86361" w:rsidP="00564EF8">
            <w:pPr>
              <w:spacing w:line="240" w:lineRule="auto"/>
              <w:jc w:val="center"/>
              <w:rPr>
                <w:sz w:val="24"/>
                <w:szCs w:val="24"/>
              </w:rPr>
            </w:pPr>
            <w:r w:rsidRPr="00154FB3">
              <w:rPr>
                <w:sz w:val="24"/>
                <w:szCs w:val="24"/>
              </w:rPr>
              <w:t>0.956</w:t>
            </w:r>
          </w:p>
        </w:tc>
      </w:tr>
      <w:tr w:rsidR="00E86361" w:rsidRPr="00154FB3" w14:paraId="0995A5F5" w14:textId="77777777" w:rsidTr="00564EF8">
        <w:trPr>
          <w:trHeight w:val="215"/>
        </w:trPr>
        <w:tc>
          <w:tcPr>
            <w:tcW w:w="2434" w:type="dxa"/>
            <w:vMerge/>
            <w:tcBorders>
              <w:left w:val="single" w:sz="4" w:space="0" w:color="FFFFFF" w:themeColor="background1"/>
              <w:bottom w:val="single" w:sz="4" w:space="0" w:color="FFFFFF" w:themeColor="background1"/>
              <w:right w:val="single" w:sz="4" w:space="0" w:color="FFFFFF" w:themeColor="background1"/>
            </w:tcBorders>
          </w:tcPr>
          <w:p w14:paraId="7520EDFB" w14:textId="77777777" w:rsidR="00E86361" w:rsidRPr="00154FB3" w:rsidRDefault="00E86361" w:rsidP="00564EF8">
            <w:pPr>
              <w:spacing w:line="240" w:lineRule="auto"/>
              <w:jc w:val="center"/>
              <w:rPr>
                <w:sz w:val="24"/>
                <w:szCs w:val="24"/>
              </w:rPr>
            </w:pPr>
          </w:p>
        </w:tc>
        <w:tc>
          <w:tcPr>
            <w:tcW w:w="19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56A4EE" w14:textId="77777777" w:rsidR="00E86361" w:rsidRPr="00154FB3" w:rsidRDefault="00E86361" w:rsidP="00564EF8">
            <w:pPr>
              <w:spacing w:line="240" w:lineRule="auto"/>
              <w:jc w:val="center"/>
              <w:rPr>
                <w:sz w:val="24"/>
                <w:szCs w:val="24"/>
              </w:rPr>
            </w:pPr>
            <w:r w:rsidRPr="00154FB3">
              <w:rPr>
                <w:sz w:val="24"/>
                <w:szCs w:val="24"/>
              </w:rPr>
              <w:t>(immobilised)</w:t>
            </w:r>
          </w:p>
        </w:tc>
        <w:tc>
          <w:tcPr>
            <w:tcW w:w="2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0203EC" w14:textId="77777777" w:rsidR="00E86361" w:rsidRPr="00154FB3" w:rsidRDefault="00E86361" w:rsidP="00564EF8">
            <w:pPr>
              <w:spacing w:line="240" w:lineRule="auto"/>
              <w:jc w:val="center"/>
              <w:rPr>
                <w:sz w:val="24"/>
                <w:szCs w:val="24"/>
              </w:rPr>
            </w:pPr>
            <w:r w:rsidRPr="00154FB3">
              <w:rPr>
                <w:sz w:val="24"/>
                <w:szCs w:val="24"/>
              </w:rPr>
              <w:t>27.990±1.902a</w:t>
            </w: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5D36D2" w14:textId="77777777" w:rsidR="00E86361" w:rsidRPr="00154FB3" w:rsidRDefault="00E86361" w:rsidP="00564EF8">
            <w:pPr>
              <w:spacing w:line="240" w:lineRule="auto"/>
              <w:jc w:val="center"/>
              <w:rPr>
                <w:sz w:val="24"/>
                <w:szCs w:val="24"/>
              </w:rPr>
            </w:pPr>
            <w:r w:rsidRPr="00154FB3">
              <w:rPr>
                <w:sz w:val="24"/>
                <w:szCs w:val="24"/>
              </w:rPr>
              <w:t>0.297±0.023a</w:t>
            </w:r>
          </w:p>
        </w:tc>
        <w:tc>
          <w:tcPr>
            <w:tcW w:w="1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0CF813" w14:textId="77777777" w:rsidR="00E86361" w:rsidRPr="00154FB3" w:rsidRDefault="00E86361" w:rsidP="00564EF8">
            <w:pPr>
              <w:spacing w:line="240" w:lineRule="auto"/>
              <w:jc w:val="center"/>
              <w:rPr>
                <w:sz w:val="24"/>
                <w:szCs w:val="24"/>
              </w:rPr>
            </w:pPr>
            <w:r w:rsidRPr="00154FB3">
              <w:rPr>
                <w:sz w:val="24"/>
                <w:szCs w:val="24"/>
              </w:rPr>
              <w:t>0.703</w:t>
            </w:r>
          </w:p>
        </w:tc>
      </w:tr>
      <w:tr w:rsidR="00E86361" w:rsidRPr="00154FB3" w14:paraId="6A5E12DA" w14:textId="77777777" w:rsidTr="00564EF8">
        <w:trPr>
          <w:trHeight w:val="160"/>
        </w:trPr>
        <w:tc>
          <w:tcPr>
            <w:tcW w:w="2434" w:type="dxa"/>
            <w:vMerge w:val="restart"/>
            <w:tcBorders>
              <w:top w:val="single" w:sz="4" w:space="0" w:color="FFFFFF" w:themeColor="background1"/>
              <w:left w:val="single" w:sz="4" w:space="0" w:color="FFFFFF" w:themeColor="background1"/>
              <w:right w:val="single" w:sz="4" w:space="0" w:color="FFFFFF" w:themeColor="background1"/>
            </w:tcBorders>
          </w:tcPr>
          <w:p w14:paraId="4D0C4C32" w14:textId="77777777" w:rsidR="00E86361" w:rsidRPr="00154FB3" w:rsidRDefault="00E86361" w:rsidP="00564EF8">
            <w:pPr>
              <w:spacing w:line="240" w:lineRule="auto"/>
              <w:jc w:val="center"/>
              <w:rPr>
                <w:sz w:val="24"/>
                <w:szCs w:val="24"/>
              </w:rPr>
            </w:pPr>
            <w:r w:rsidRPr="00154FB3">
              <w:rPr>
                <w:sz w:val="24"/>
                <w:szCs w:val="24"/>
              </w:rPr>
              <w:t xml:space="preserve">high tide PRE </w:t>
            </w:r>
          </w:p>
        </w:tc>
        <w:tc>
          <w:tcPr>
            <w:tcW w:w="19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D3E9BC" w14:textId="77777777" w:rsidR="00E86361" w:rsidRPr="00154FB3" w:rsidRDefault="00E86361" w:rsidP="00564EF8">
            <w:pPr>
              <w:spacing w:line="240" w:lineRule="auto"/>
              <w:jc w:val="center"/>
              <w:rPr>
                <w:sz w:val="24"/>
                <w:szCs w:val="24"/>
              </w:rPr>
            </w:pPr>
            <w:r w:rsidRPr="00154FB3">
              <w:rPr>
                <w:sz w:val="24"/>
                <w:szCs w:val="24"/>
              </w:rPr>
              <w:t>(free)</w:t>
            </w:r>
          </w:p>
        </w:tc>
        <w:tc>
          <w:tcPr>
            <w:tcW w:w="2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ACDC1" w14:textId="77777777" w:rsidR="00E86361" w:rsidRPr="00154FB3" w:rsidRDefault="00E86361" w:rsidP="00564EF8">
            <w:pPr>
              <w:spacing w:line="240" w:lineRule="auto"/>
              <w:jc w:val="center"/>
              <w:rPr>
                <w:sz w:val="24"/>
                <w:szCs w:val="24"/>
              </w:rPr>
            </w:pPr>
            <w:r w:rsidRPr="00154FB3">
              <w:rPr>
                <w:sz w:val="24"/>
                <w:szCs w:val="24"/>
              </w:rPr>
              <w:t>18.430±1.499a</w:t>
            </w: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7433B7" w14:textId="77777777" w:rsidR="00E86361" w:rsidRPr="00154FB3" w:rsidRDefault="00E86361" w:rsidP="00564EF8">
            <w:pPr>
              <w:spacing w:line="240" w:lineRule="auto"/>
              <w:jc w:val="center"/>
              <w:rPr>
                <w:sz w:val="24"/>
                <w:szCs w:val="24"/>
              </w:rPr>
            </w:pPr>
            <w:r w:rsidRPr="00154FB3">
              <w:rPr>
                <w:sz w:val="24"/>
                <w:szCs w:val="24"/>
              </w:rPr>
              <w:t>0.154±0.163a</w:t>
            </w:r>
          </w:p>
        </w:tc>
        <w:tc>
          <w:tcPr>
            <w:tcW w:w="1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F0BBB5" w14:textId="77777777" w:rsidR="00E86361" w:rsidRPr="00154FB3" w:rsidRDefault="00E86361" w:rsidP="00564EF8">
            <w:pPr>
              <w:spacing w:line="240" w:lineRule="auto"/>
              <w:jc w:val="center"/>
              <w:rPr>
                <w:sz w:val="24"/>
                <w:szCs w:val="24"/>
              </w:rPr>
            </w:pPr>
            <w:r w:rsidRPr="00154FB3">
              <w:rPr>
                <w:sz w:val="24"/>
                <w:szCs w:val="24"/>
              </w:rPr>
              <w:t>0.404</w:t>
            </w:r>
          </w:p>
        </w:tc>
      </w:tr>
      <w:tr w:rsidR="00E86361" w:rsidRPr="00154FB3" w14:paraId="450FD92F" w14:textId="77777777" w:rsidTr="00564EF8">
        <w:trPr>
          <w:trHeight w:val="180"/>
        </w:trPr>
        <w:tc>
          <w:tcPr>
            <w:tcW w:w="2434" w:type="dxa"/>
            <w:vMerge/>
            <w:tcBorders>
              <w:left w:val="single" w:sz="4" w:space="0" w:color="FFFFFF" w:themeColor="background1"/>
              <w:bottom w:val="single" w:sz="4" w:space="0" w:color="auto"/>
              <w:right w:val="single" w:sz="4" w:space="0" w:color="FFFFFF" w:themeColor="background1"/>
            </w:tcBorders>
          </w:tcPr>
          <w:p w14:paraId="36061807" w14:textId="77777777" w:rsidR="00E86361" w:rsidRPr="00154FB3" w:rsidRDefault="00E86361" w:rsidP="00564EF8">
            <w:pPr>
              <w:spacing w:line="240" w:lineRule="auto"/>
              <w:jc w:val="center"/>
              <w:rPr>
                <w:sz w:val="24"/>
                <w:szCs w:val="24"/>
              </w:rPr>
            </w:pPr>
          </w:p>
        </w:tc>
        <w:tc>
          <w:tcPr>
            <w:tcW w:w="19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2D48E6D" w14:textId="77777777" w:rsidR="00E86361" w:rsidRPr="00154FB3" w:rsidRDefault="00E86361" w:rsidP="00564EF8">
            <w:pPr>
              <w:spacing w:line="240" w:lineRule="auto"/>
              <w:jc w:val="center"/>
              <w:rPr>
                <w:sz w:val="24"/>
                <w:szCs w:val="24"/>
              </w:rPr>
            </w:pPr>
            <w:r w:rsidRPr="00154FB3">
              <w:rPr>
                <w:sz w:val="24"/>
                <w:szCs w:val="24"/>
              </w:rPr>
              <w:t>(immobilised)</w:t>
            </w:r>
          </w:p>
        </w:tc>
        <w:tc>
          <w:tcPr>
            <w:tcW w:w="204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F68A2D2" w14:textId="77777777" w:rsidR="00E86361" w:rsidRPr="00154FB3" w:rsidRDefault="00E86361" w:rsidP="00564EF8">
            <w:pPr>
              <w:spacing w:line="240" w:lineRule="auto"/>
              <w:jc w:val="center"/>
              <w:rPr>
                <w:sz w:val="24"/>
                <w:szCs w:val="24"/>
              </w:rPr>
            </w:pPr>
            <w:r w:rsidRPr="00154FB3">
              <w:rPr>
                <w:sz w:val="24"/>
                <w:szCs w:val="24"/>
              </w:rPr>
              <w:t>18.430±1.499a</w:t>
            </w:r>
          </w:p>
        </w:tc>
        <w:tc>
          <w:tcPr>
            <w:tcW w:w="1803"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C3B271B" w14:textId="77777777" w:rsidR="00E86361" w:rsidRPr="00154FB3" w:rsidRDefault="00E86361" w:rsidP="00564EF8">
            <w:pPr>
              <w:spacing w:line="240" w:lineRule="auto"/>
              <w:jc w:val="center"/>
              <w:rPr>
                <w:sz w:val="24"/>
                <w:szCs w:val="24"/>
              </w:rPr>
            </w:pPr>
            <w:r w:rsidRPr="00154FB3">
              <w:rPr>
                <w:sz w:val="24"/>
                <w:szCs w:val="24"/>
              </w:rPr>
              <w:t>0.110±0.183a</w:t>
            </w:r>
          </w:p>
        </w:tc>
        <w:tc>
          <w:tcPr>
            <w:tcW w:w="107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4582854" w14:textId="77777777" w:rsidR="00E86361" w:rsidRPr="00154FB3" w:rsidRDefault="00E86361" w:rsidP="00564EF8">
            <w:pPr>
              <w:spacing w:line="240" w:lineRule="auto"/>
              <w:jc w:val="center"/>
              <w:rPr>
                <w:sz w:val="24"/>
                <w:szCs w:val="24"/>
              </w:rPr>
            </w:pPr>
            <w:r w:rsidRPr="00154FB3">
              <w:rPr>
                <w:sz w:val="24"/>
                <w:szCs w:val="24"/>
              </w:rPr>
              <w:t>0.219</w:t>
            </w:r>
          </w:p>
        </w:tc>
      </w:tr>
      <w:tr w:rsidR="00E86361" w:rsidRPr="00154FB3" w14:paraId="6DBAF907" w14:textId="77777777" w:rsidTr="00564EF8">
        <w:trPr>
          <w:trHeight w:val="105"/>
        </w:trPr>
        <w:tc>
          <w:tcPr>
            <w:tcW w:w="2434" w:type="dxa"/>
            <w:tcBorders>
              <w:top w:val="single" w:sz="4" w:space="0" w:color="auto"/>
              <w:left w:val="single" w:sz="4" w:space="0" w:color="FFFFFF" w:themeColor="background1"/>
              <w:bottom w:val="single" w:sz="4" w:space="0" w:color="auto"/>
              <w:right w:val="single" w:sz="4" w:space="0" w:color="FFFFFF" w:themeColor="background1"/>
            </w:tcBorders>
          </w:tcPr>
          <w:p w14:paraId="0C0BC289" w14:textId="77777777" w:rsidR="00E86361" w:rsidRPr="00154FB3" w:rsidRDefault="00E86361" w:rsidP="00564EF8">
            <w:pPr>
              <w:spacing w:line="240" w:lineRule="auto"/>
              <w:rPr>
                <w:sz w:val="24"/>
                <w:szCs w:val="24"/>
              </w:rPr>
            </w:pPr>
            <w:r w:rsidRPr="00154FB3">
              <w:rPr>
                <w:sz w:val="24"/>
                <w:szCs w:val="24"/>
              </w:rPr>
              <w:t>Nitrite uptake</w:t>
            </w:r>
          </w:p>
        </w:tc>
        <w:tc>
          <w:tcPr>
            <w:tcW w:w="1904" w:type="dxa"/>
            <w:tcBorders>
              <w:top w:val="single" w:sz="4" w:space="0" w:color="auto"/>
              <w:left w:val="single" w:sz="4" w:space="0" w:color="FFFFFF" w:themeColor="background1"/>
              <w:bottom w:val="single" w:sz="4" w:space="0" w:color="auto"/>
              <w:right w:val="single" w:sz="4" w:space="0" w:color="FFFFFF" w:themeColor="background1"/>
            </w:tcBorders>
          </w:tcPr>
          <w:p w14:paraId="3A32A8CF" w14:textId="77777777" w:rsidR="00E86361" w:rsidRPr="00154FB3" w:rsidRDefault="00E86361" w:rsidP="00564EF8">
            <w:pPr>
              <w:spacing w:line="240" w:lineRule="auto"/>
              <w:jc w:val="center"/>
              <w:rPr>
                <w:sz w:val="24"/>
                <w:szCs w:val="24"/>
              </w:rPr>
            </w:pPr>
          </w:p>
        </w:tc>
        <w:tc>
          <w:tcPr>
            <w:tcW w:w="2047" w:type="dxa"/>
            <w:tcBorders>
              <w:top w:val="single" w:sz="4" w:space="0" w:color="auto"/>
              <w:left w:val="single" w:sz="4" w:space="0" w:color="FFFFFF" w:themeColor="background1"/>
              <w:bottom w:val="single" w:sz="4" w:space="0" w:color="auto"/>
              <w:right w:val="single" w:sz="4" w:space="0" w:color="FFFFFF" w:themeColor="background1"/>
            </w:tcBorders>
          </w:tcPr>
          <w:p w14:paraId="4482D907" w14:textId="77777777" w:rsidR="00E86361" w:rsidRPr="00154FB3" w:rsidRDefault="00E86361" w:rsidP="00564EF8">
            <w:pPr>
              <w:spacing w:line="240" w:lineRule="auto"/>
              <w:jc w:val="center"/>
              <w:rPr>
                <w:sz w:val="24"/>
                <w:szCs w:val="24"/>
              </w:rPr>
            </w:pPr>
          </w:p>
        </w:tc>
        <w:tc>
          <w:tcPr>
            <w:tcW w:w="1803" w:type="dxa"/>
            <w:tcBorders>
              <w:top w:val="single" w:sz="4" w:space="0" w:color="auto"/>
              <w:left w:val="single" w:sz="4" w:space="0" w:color="FFFFFF" w:themeColor="background1"/>
              <w:bottom w:val="single" w:sz="4" w:space="0" w:color="auto"/>
              <w:right w:val="single" w:sz="4" w:space="0" w:color="FFFFFF" w:themeColor="background1"/>
            </w:tcBorders>
          </w:tcPr>
          <w:p w14:paraId="6ACCB47C" w14:textId="77777777" w:rsidR="00E86361" w:rsidRPr="00154FB3" w:rsidRDefault="00E86361" w:rsidP="00564EF8">
            <w:pPr>
              <w:spacing w:line="240" w:lineRule="auto"/>
              <w:jc w:val="center"/>
              <w:rPr>
                <w:sz w:val="24"/>
                <w:szCs w:val="24"/>
              </w:rPr>
            </w:pPr>
          </w:p>
        </w:tc>
        <w:tc>
          <w:tcPr>
            <w:tcW w:w="1070" w:type="dxa"/>
            <w:tcBorders>
              <w:top w:val="single" w:sz="4" w:space="0" w:color="auto"/>
              <w:left w:val="single" w:sz="4" w:space="0" w:color="FFFFFF" w:themeColor="background1"/>
              <w:bottom w:val="single" w:sz="4" w:space="0" w:color="auto"/>
              <w:right w:val="single" w:sz="4" w:space="0" w:color="FFFFFF" w:themeColor="background1"/>
            </w:tcBorders>
          </w:tcPr>
          <w:p w14:paraId="4A34FC2C" w14:textId="77777777" w:rsidR="00E86361" w:rsidRPr="00154FB3" w:rsidRDefault="00E86361" w:rsidP="00564EF8">
            <w:pPr>
              <w:spacing w:line="240" w:lineRule="auto"/>
              <w:jc w:val="center"/>
              <w:rPr>
                <w:sz w:val="24"/>
                <w:szCs w:val="24"/>
              </w:rPr>
            </w:pPr>
          </w:p>
        </w:tc>
      </w:tr>
      <w:tr w:rsidR="00E86361" w:rsidRPr="00154FB3" w14:paraId="788EBA7B" w14:textId="77777777" w:rsidTr="00564EF8">
        <w:trPr>
          <w:trHeight w:val="110"/>
        </w:trPr>
        <w:tc>
          <w:tcPr>
            <w:tcW w:w="243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8F0619A" w14:textId="77777777" w:rsidR="00E86361" w:rsidRPr="00154FB3" w:rsidRDefault="00E86361" w:rsidP="00564EF8">
            <w:pPr>
              <w:spacing w:line="240" w:lineRule="auto"/>
              <w:jc w:val="center"/>
              <w:rPr>
                <w:sz w:val="24"/>
                <w:szCs w:val="24"/>
              </w:rPr>
            </w:pPr>
            <w:r w:rsidRPr="00154FB3">
              <w:rPr>
                <w:sz w:val="24"/>
                <w:szCs w:val="24"/>
              </w:rPr>
              <w:t xml:space="preserve">low tide PRE </w:t>
            </w:r>
          </w:p>
        </w:tc>
        <w:tc>
          <w:tcPr>
            <w:tcW w:w="190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8DD25B0" w14:textId="77777777" w:rsidR="00E86361" w:rsidRPr="00154FB3" w:rsidRDefault="00E86361" w:rsidP="00564EF8">
            <w:pPr>
              <w:spacing w:line="240" w:lineRule="auto"/>
              <w:jc w:val="center"/>
              <w:rPr>
                <w:sz w:val="24"/>
                <w:szCs w:val="24"/>
              </w:rPr>
            </w:pPr>
            <w:r w:rsidRPr="00154FB3">
              <w:rPr>
                <w:sz w:val="24"/>
                <w:szCs w:val="24"/>
              </w:rPr>
              <w:t>(free)</w:t>
            </w:r>
          </w:p>
        </w:tc>
        <w:tc>
          <w:tcPr>
            <w:tcW w:w="2047"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6FBBB7C" w14:textId="77777777" w:rsidR="00E86361" w:rsidRPr="00154FB3" w:rsidRDefault="00E86361" w:rsidP="00564EF8">
            <w:pPr>
              <w:spacing w:line="240" w:lineRule="auto"/>
              <w:jc w:val="center"/>
              <w:rPr>
                <w:sz w:val="24"/>
                <w:szCs w:val="24"/>
              </w:rPr>
            </w:pPr>
            <w:r w:rsidRPr="00154FB3">
              <w:rPr>
                <w:sz w:val="24"/>
                <w:szCs w:val="24"/>
              </w:rPr>
              <w:t>0.012±0.004a</w:t>
            </w:r>
          </w:p>
        </w:tc>
        <w:tc>
          <w:tcPr>
            <w:tcW w:w="1803"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2546947" w14:textId="77777777" w:rsidR="00E86361" w:rsidRPr="00154FB3" w:rsidRDefault="00E86361" w:rsidP="00564EF8">
            <w:pPr>
              <w:spacing w:line="240" w:lineRule="auto"/>
              <w:rPr>
                <w:sz w:val="24"/>
                <w:szCs w:val="24"/>
              </w:rPr>
            </w:pPr>
            <w:r w:rsidRPr="00154FB3">
              <w:rPr>
                <w:sz w:val="24"/>
                <w:szCs w:val="24"/>
              </w:rPr>
              <w:t>-0.126 ±0.106a</w:t>
            </w:r>
          </w:p>
        </w:tc>
        <w:tc>
          <w:tcPr>
            <w:tcW w:w="107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B578B7B" w14:textId="77777777" w:rsidR="00E86361" w:rsidRPr="00154FB3" w:rsidRDefault="00E86361" w:rsidP="00564EF8">
            <w:pPr>
              <w:spacing w:line="240" w:lineRule="auto"/>
              <w:jc w:val="center"/>
              <w:rPr>
                <w:sz w:val="24"/>
                <w:szCs w:val="24"/>
              </w:rPr>
            </w:pPr>
            <w:r w:rsidRPr="00154FB3">
              <w:rPr>
                <w:sz w:val="24"/>
                <w:szCs w:val="24"/>
              </w:rPr>
              <w:t>0.709</w:t>
            </w:r>
          </w:p>
        </w:tc>
      </w:tr>
      <w:tr w:rsidR="00E86361" w:rsidRPr="00154FB3" w14:paraId="18F19D3D" w14:textId="77777777" w:rsidTr="00564EF8">
        <w:trPr>
          <w:trHeight w:val="120"/>
        </w:trPr>
        <w:tc>
          <w:tcPr>
            <w:tcW w:w="24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9507DB" w14:textId="77777777" w:rsidR="00E86361" w:rsidRPr="00154FB3" w:rsidRDefault="00E86361" w:rsidP="00564EF8">
            <w:pPr>
              <w:spacing w:line="240" w:lineRule="auto"/>
              <w:jc w:val="center"/>
              <w:rPr>
                <w:sz w:val="24"/>
                <w:szCs w:val="24"/>
              </w:rPr>
            </w:pPr>
          </w:p>
        </w:tc>
        <w:tc>
          <w:tcPr>
            <w:tcW w:w="19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5B2A1B" w14:textId="77777777" w:rsidR="00E86361" w:rsidRPr="00154FB3" w:rsidRDefault="00E86361" w:rsidP="00564EF8">
            <w:pPr>
              <w:spacing w:line="240" w:lineRule="auto"/>
              <w:jc w:val="center"/>
              <w:rPr>
                <w:sz w:val="24"/>
                <w:szCs w:val="24"/>
              </w:rPr>
            </w:pPr>
            <w:r w:rsidRPr="00154FB3">
              <w:rPr>
                <w:sz w:val="24"/>
                <w:szCs w:val="24"/>
              </w:rPr>
              <w:t>(immobilised)</w:t>
            </w:r>
          </w:p>
        </w:tc>
        <w:tc>
          <w:tcPr>
            <w:tcW w:w="2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6B4DF0" w14:textId="77777777" w:rsidR="00E86361" w:rsidRPr="00154FB3" w:rsidRDefault="00E86361" w:rsidP="00564EF8">
            <w:pPr>
              <w:spacing w:line="240" w:lineRule="auto"/>
              <w:jc w:val="center"/>
              <w:rPr>
                <w:sz w:val="24"/>
                <w:szCs w:val="24"/>
              </w:rPr>
            </w:pPr>
            <w:r w:rsidRPr="00154FB3">
              <w:rPr>
                <w:sz w:val="24"/>
                <w:szCs w:val="24"/>
              </w:rPr>
              <w:t>0.012±0.004a</w:t>
            </w: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99BB0B" w14:textId="77777777" w:rsidR="00E86361" w:rsidRPr="00154FB3" w:rsidRDefault="00E86361" w:rsidP="00564EF8">
            <w:pPr>
              <w:spacing w:line="240" w:lineRule="auto"/>
              <w:rPr>
                <w:sz w:val="24"/>
                <w:szCs w:val="24"/>
              </w:rPr>
            </w:pPr>
            <w:r w:rsidRPr="00154FB3">
              <w:rPr>
                <w:sz w:val="24"/>
                <w:szCs w:val="24"/>
              </w:rPr>
              <w:t>-0.133±0.098a</w:t>
            </w:r>
          </w:p>
        </w:tc>
        <w:tc>
          <w:tcPr>
            <w:tcW w:w="1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A95A15" w14:textId="77777777" w:rsidR="00E86361" w:rsidRPr="00154FB3" w:rsidRDefault="00E86361" w:rsidP="00564EF8">
            <w:pPr>
              <w:spacing w:line="240" w:lineRule="auto"/>
              <w:jc w:val="center"/>
              <w:rPr>
                <w:sz w:val="24"/>
                <w:szCs w:val="24"/>
              </w:rPr>
            </w:pPr>
            <w:r w:rsidRPr="00154FB3">
              <w:rPr>
                <w:sz w:val="24"/>
                <w:szCs w:val="24"/>
              </w:rPr>
              <w:t>0.418</w:t>
            </w:r>
          </w:p>
        </w:tc>
      </w:tr>
      <w:tr w:rsidR="00E86361" w:rsidRPr="00154FB3" w14:paraId="7F143342" w14:textId="77777777" w:rsidTr="00564EF8">
        <w:trPr>
          <w:trHeight w:val="95"/>
        </w:trPr>
        <w:tc>
          <w:tcPr>
            <w:tcW w:w="24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29FD30" w14:textId="77777777" w:rsidR="00E86361" w:rsidRPr="00154FB3" w:rsidRDefault="00E86361" w:rsidP="00564EF8">
            <w:pPr>
              <w:spacing w:line="240" w:lineRule="auto"/>
              <w:jc w:val="center"/>
              <w:rPr>
                <w:sz w:val="24"/>
                <w:szCs w:val="24"/>
              </w:rPr>
            </w:pPr>
            <w:r w:rsidRPr="00154FB3">
              <w:rPr>
                <w:sz w:val="24"/>
                <w:szCs w:val="24"/>
              </w:rPr>
              <w:t xml:space="preserve">high tide PRE </w:t>
            </w:r>
          </w:p>
        </w:tc>
        <w:tc>
          <w:tcPr>
            <w:tcW w:w="19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E2CD9D" w14:textId="77777777" w:rsidR="00E86361" w:rsidRPr="00154FB3" w:rsidRDefault="00E86361" w:rsidP="00564EF8">
            <w:pPr>
              <w:spacing w:line="240" w:lineRule="auto"/>
              <w:jc w:val="center"/>
              <w:rPr>
                <w:sz w:val="24"/>
                <w:szCs w:val="24"/>
              </w:rPr>
            </w:pPr>
            <w:r w:rsidRPr="00154FB3">
              <w:rPr>
                <w:sz w:val="24"/>
                <w:szCs w:val="24"/>
              </w:rPr>
              <w:t>(free)</w:t>
            </w:r>
          </w:p>
        </w:tc>
        <w:tc>
          <w:tcPr>
            <w:tcW w:w="2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F6DC33" w14:textId="77777777" w:rsidR="00E86361" w:rsidRPr="00154FB3" w:rsidRDefault="00E86361" w:rsidP="00564EF8">
            <w:pPr>
              <w:spacing w:line="240" w:lineRule="auto"/>
              <w:jc w:val="center"/>
              <w:rPr>
                <w:sz w:val="24"/>
                <w:szCs w:val="24"/>
              </w:rPr>
            </w:pPr>
            <w:r w:rsidRPr="00154FB3">
              <w:rPr>
                <w:sz w:val="24"/>
                <w:szCs w:val="24"/>
              </w:rPr>
              <w:t>0.014±0.004a</w:t>
            </w: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6A5409" w14:textId="77777777" w:rsidR="00E86361" w:rsidRPr="00154FB3" w:rsidRDefault="00E86361" w:rsidP="00564EF8">
            <w:pPr>
              <w:spacing w:line="240" w:lineRule="auto"/>
              <w:jc w:val="center"/>
              <w:rPr>
                <w:sz w:val="24"/>
                <w:szCs w:val="24"/>
              </w:rPr>
            </w:pPr>
            <w:r w:rsidRPr="00154FB3">
              <w:rPr>
                <w:sz w:val="24"/>
                <w:szCs w:val="24"/>
              </w:rPr>
              <w:t>-</w:t>
            </w:r>
          </w:p>
        </w:tc>
        <w:tc>
          <w:tcPr>
            <w:tcW w:w="1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26D05C" w14:textId="77777777" w:rsidR="00E86361" w:rsidRPr="00154FB3" w:rsidRDefault="00E86361" w:rsidP="00564EF8">
            <w:pPr>
              <w:spacing w:line="240" w:lineRule="auto"/>
              <w:jc w:val="center"/>
              <w:rPr>
                <w:sz w:val="24"/>
                <w:szCs w:val="24"/>
              </w:rPr>
            </w:pPr>
            <w:r w:rsidRPr="00154FB3">
              <w:rPr>
                <w:sz w:val="24"/>
                <w:szCs w:val="24"/>
              </w:rPr>
              <w:t>-</w:t>
            </w:r>
          </w:p>
        </w:tc>
      </w:tr>
      <w:tr w:rsidR="00E86361" w:rsidRPr="00154FB3" w14:paraId="5DFCFE9B" w14:textId="77777777" w:rsidTr="00564EF8">
        <w:trPr>
          <w:trHeight w:val="105"/>
        </w:trPr>
        <w:tc>
          <w:tcPr>
            <w:tcW w:w="243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4FF6303" w14:textId="77777777" w:rsidR="00E86361" w:rsidRPr="00154FB3" w:rsidRDefault="00E86361" w:rsidP="00564EF8">
            <w:pPr>
              <w:spacing w:line="240" w:lineRule="auto"/>
              <w:jc w:val="center"/>
              <w:rPr>
                <w:sz w:val="24"/>
                <w:szCs w:val="24"/>
              </w:rPr>
            </w:pPr>
          </w:p>
        </w:tc>
        <w:tc>
          <w:tcPr>
            <w:tcW w:w="19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48643A2" w14:textId="77777777" w:rsidR="00E86361" w:rsidRPr="00154FB3" w:rsidRDefault="00E86361" w:rsidP="00564EF8">
            <w:pPr>
              <w:spacing w:line="240" w:lineRule="auto"/>
              <w:jc w:val="center"/>
              <w:rPr>
                <w:sz w:val="24"/>
                <w:szCs w:val="24"/>
              </w:rPr>
            </w:pPr>
            <w:r w:rsidRPr="00154FB3">
              <w:rPr>
                <w:sz w:val="24"/>
                <w:szCs w:val="24"/>
              </w:rPr>
              <w:t>(immobilised)</w:t>
            </w:r>
          </w:p>
        </w:tc>
        <w:tc>
          <w:tcPr>
            <w:tcW w:w="204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DDD53A6" w14:textId="77777777" w:rsidR="00E86361" w:rsidRPr="00154FB3" w:rsidRDefault="00E86361" w:rsidP="00564EF8">
            <w:pPr>
              <w:spacing w:line="240" w:lineRule="auto"/>
              <w:jc w:val="center"/>
              <w:rPr>
                <w:sz w:val="24"/>
                <w:szCs w:val="24"/>
              </w:rPr>
            </w:pPr>
            <w:r w:rsidRPr="00154FB3">
              <w:rPr>
                <w:sz w:val="24"/>
                <w:szCs w:val="24"/>
              </w:rPr>
              <w:t>0.014±0.004a</w:t>
            </w:r>
          </w:p>
        </w:tc>
        <w:tc>
          <w:tcPr>
            <w:tcW w:w="1803"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EDEF12E" w14:textId="77777777" w:rsidR="00E86361" w:rsidRPr="00154FB3" w:rsidRDefault="00E86361" w:rsidP="00564EF8">
            <w:pPr>
              <w:spacing w:line="240" w:lineRule="auto"/>
              <w:jc w:val="center"/>
              <w:rPr>
                <w:sz w:val="24"/>
                <w:szCs w:val="24"/>
              </w:rPr>
            </w:pPr>
            <w:r w:rsidRPr="00154FB3">
              <w:rPr>
                <w:sz w:val="24"/>
                <w:szCs w:val="24"/>
              </w:rPr>
              <w:t>-0.178±0.067</w:t>
            </w:r>
          </w:p>
        </w:tc>
        <w:tc>
          <w:tcPr>
            <w:tcW w:w="107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9D73E83" w14:textId="77777777" w:rsidR="00E86361" w:rsidRPr="00154FB3" w:rsidRDefault="00E86361" w:rsidP="00564EF8">
            <w:pPr>
              <w:spacing w:line="240" w:lineRule="auto"/>
              <w:jc w:val="center"/>
              <w:rPr>
                <w:sz w:val="24"/>
                <w:szCs w:val="24"/>
              </w:rPr>
            </w:pPr>
            <w:r w:rsidRPr="00154FB3">
              <w:rPr>
                <w:sz w:val="24"/>
                <w:szCs w:val="24"/>
              </w:rPr>
              <w:t>0.869</w:t>
            </w:r>
          </w:p>
          <w:p w14:paraId="11860866" w14:textId="77777777" w:rsidR="00E86361" w:rsidRPr="00154FB3" w:rsidRDefault="00E86361" w:rsidP="00564EF8">
            <w:pPr>
              <w:spacing w:line="240" w:lineRule="auto"/>
              <w:jc w:val="center"/>
              <w:rPr>
                <w:sz w:val="24"/>
                <w:szCs w:val="24"/>
              </w:rPr>
            </w:pPr>
          </w:p>
        </w:tc>
      </w:tr>
      <w:tr w:rsidR="00E86361" w:rsidRPr="00154FB3" w14:paraId="3E13EF26" w14:textId="77777777" w:rsidTr="00564EF8">
        <w:trPr>
          <w:trHeight w:val="120"/>
        </w:trPr>
        <w:tc>
          <w:tcPr>
            <w:tcW w:w="2434" w:type="dxa"/>
            <w:tcBorders>
              <w:top w:val="single" w:sz="4" w:space="0" w:color="auto"/>
              <w:left w:val="single" w:sz="4" w:space="0" w:color="FFFFFF" w:themeColor="background1"/>
              <w:bottom w:val="single" w:sz="4" w:space="0" w:color="auto"/>
              <w:right w:val="single" w:sz="4" w:space="0" w:color="FFFFFF" w:themeColor="background1"/>
            </w:tcBorders>
          </w:tcPr>
          <w:p w14:paraId="4DC05A12" w14:textId="77777777" w:rsidR="00E86361" w:rsidRPr="00154FB3" w:rsidRDefault="00E86361" w:rsidP="00564EF8">
            <w:pPr>
              <w:spacing w:line="240" w:lineRule="auto"/>
              <w:rPr>
                <w:sz w:val="24"/>
                <w:szCs w:val="24"/>
              </w:rPr>
            </w:pPr>
            <w:r w:rsidRPr="00154FB3">
              <w:rPr>
                <w:sz w:val="24"/>
                <w:szCs w:val="24"/>
              </w:rPr>
              <w:t>Nitrate uptake</w:t>
            </w:r>
          </w:p>
        </w:tc>
        <w:tc>
          <w:tcPr>
            <w:tcW w:w="1904" w:type="dxa"/>
            <w:tcBorders>
              <w:top w:val="single" w:sz="4" w:space="0" w:color="auto"/>
              <w:left w:val="single" w:sz="4" w:space="0" w:color="FFFFFF" w:themeColor="background1"/>
              <w:bottom w:val="single" w:sz="4" w:space="0" w:color="auto"/>
              <w:right w:val="single" w:sz="4" w:space="0" w:color="FFFFFF" w:themeColor="background1"/>
            </w:tcBorders>
          </w:tcPr>
          <w:p w14:paraId="674C559B" w14:textId="77777777" w:rsidR="00E86361" w:rsidRPr="00154FB3" w:rsidRDefault="00E86361" w:rsidP="00564EF8">
            <w:pPr>
              <w:spacing w:line="240" w:lineRule="auto"/>
              <w:jc w:val="center"/>
              <w:rPr>
                <w:sz w:val="24"/>
                <w:szCs w:val="24"/>
              </w:rPr>
            </w:pPr>
          </w:p>
        </w:tc>
        <w:tc>
          <w:tcPr>
            <w:tcW w:w="2047" w:type="dxa"/>
            <w:tcBorders>
              <w:top w:val="single" w:sz="4" w:space="0" w:color="auto"/>
              <w:left w:val="single" w:sz="4" w:space="0" w:color="FFFFFF" w:themeColor="background1"/>
              <w:bottom w:val="single" w:sz="4" w:space="0" w:color="auto"/>
              <w:right w:val="single" w:sz="4" w:space="0" w:color="FFFFFF" w:themeColor="background1"/>
            </w:tcBorders>
          </w:tcPr>
          <w:p w14:paraId="767CF8D1" w14:textId="77777777" w:rsidR="00E86361" w:rsidRPr="00154FB3" w:rsidRDefault="00E86361" w:rsidP="00564EF8">
            <w:pPr>
              <w:spacing w:line="240" w:lineRule="auto"/>
              <w:jc w:val="center"/>
              <w:rPr>
                <w:sz w:val="24"/>
                <w:szCs w:val="24"/>
              </w:rPr>
            </w:pPr>
          </w:p>
        </w:tc>
        <w:tc>
          <w:tcPr>
            <w:tcW w:w="1803" w:type="dxa"/>
            <w:tcBorders>
              <w:top w:val="single" w:sz="4" w:space="0" w:color="auto"/>
              <w:left w:val="single" w:sz="4" w:space="0" w:color="FFFFFF" w:themeColor="background1"/>
              <w:bottom w:val="single" w:sz="4" w:space="0" w:color="auto"/>
              <w:right w:val="single" w:sz="4" w:space="0" w:color="FFFFFF" w:themeColor="background1"/>
            </w:tcBorders>
          </w:tcPr>
          <w:p w14:paraId="33625E24" w14:textId="77777777" w:rsidR="00E86361" w:rsidRPr="00154FB3" w:rsidRDefault="00E86361" w:rsidP="00564EF8">
            <w:pPr>
              <w:spacing w:line="240" w:lineRule="auto"/>
              <w:jc w:val="center"/>
              <w:rPr>
                <w:sz w:val="24"/>
                <w:szCs w:val="24"/>
              </w:rPr>
            </w:pPr>
          </w:p>
        </w:tc>
        <w:tc>
          <w:tcPr>
            <w:tcW w:w="1070" w:type="dxa"/>
            <w:tcBorders>
              <w:top w:val="single" w:sz="4" w:space="0" w:color="auto"/>
              <w:left w:val="single" w:sz="4" w:space="0" w:color="FFFFFF" w:themeColor="background1"/>
              <w:bottom w:val="single" w:sz="4" w:space="0" w:color="auto"/>
              <w:right w:val="single" w:sz="4" w:space="0" w:color="FFFFFF" w:themeColor="background1"/>
            </w:tcBorders>
          </w:tcPr>
          <w:p w14:paraId="5FC25A6D" w14:textId="77777777" w:rsidR="00E86361" w:rsidRPr="00154FB3" w:rsidRDefault="00E86361" w:rsidP="00564EF8">
            <w:pPr>
              <w:spacing w:line="240" w:lineRule="auto"/>
              <w:jc w:val="center"/>
              <w:rPr>
                <w:sz w:val="24"/>
                <w:szCs w:val="24"/>
              </w:rPr>
            </w:pPr>
          </w:p>
        </w:tc>
      </w:tr>
      <w:tr w:rsidR="00E86361" w:rsidRPr="00154FB3" w14:paraId="2C3DB249" w14:textId="77777777" w:rsidTr="00564EF8">
        <w:trPr>
          <w:trHeight w:val="95"/>
        </w:trPr>
        <w:tc>
          <w:tcPr>
            <w:tcW w:w="243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DCA5FB2" w14:textId="77777777" w:rsidR="00E86361" w:rsidRPr="00154FB3" w:rsidRDefault="00E86361" w:rsidP="00564EF8">
            <w:pPr>
              <w:spacing w:line="240" w:lineRule="auto"/>
              <w:jc w:val="center"/>
              <w:rPr>
                <w:sz w:val="24"/>
                <w:szCs w:val="24"/>
              </w:rPr>
            </w:pPr>
            <w:r w:rsidRPr="00154FB3">
              <w:rPr>
                <w:sz w:val="24"/>
                <w:szCs w:val="24"/>
              </w:rPr>
              <w:t xml:space="preserve">low tide PRE </w:t>
            </w:r>
          </w:p>
        </w:tc>
        <w:tc>
          <w:tcPr>
            <w:tcW w:w="190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7C5EFCD" w14:textId="77777777" w:rsidR="00E86361" w:rsidRPr="00154FB3" w:rsidRDefault="00E86361" w:rsidP="00564EF8">
            <w:pPr>
              <w:spacing w:line="240" w:lineRule="auto"/>
              <w:jc w:val="center"/>
              <w:rPr>
                <w:sz w:val="24"/>
                <w:szCs w:val="24"/>
              </w:rPr>
            </w:pPr>
            <w:r w:rsidRPr="00154FB3">
              <w:rPr>
                <w:sz w:val="24"/>
                <w:szCs w:val="24"/>
              </w:rPr>
              <w:t>(free)</w:t>
            </w:r>
          </w:p>
        </w:tc>
        <w:tc>
          <w:tcPr>
            <w:tcW w:w="2047"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F8D77E4" w14:textId="77777777" w:rsidR="00E86361" w:rsidRPr="00154FB3" w:rsidRDefault="00E86361" w:rsidP="00564EF8">
            <w:pPr>
              <w:spacing w:line="240" w:lineRule="auto"/>
              <w:jc w:val="center"/>
              <w:rPr>
                <w:sz w:val="24"/>
                <w:szCs w:val="24"/>
              </w:rPr>
            </w:pPr>
            <w:r w:rsidRPr="00154FB3">
              <w:rPr>
                <w:sz w:val="24"/>
                <w:szCs w:val="24"/>
              </w:rPr>
              <w:t>0.007±0.004a</w:t>
            </w:r>
          </w:p>
        </w:tc>
        <w:tc>
          <w:tcPr>
            <w:tcW w:w="1803"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13D5FBC" w14:textId="77777777" w:rsidR="00E86361" w:rsidRPr="00154FB3" w:rsidRDefault="00E86361" w:rsidP="00564EF8">
            <w:pPr>
              <w:spacing w:line="240" w:lineRule="auto"/>
              <w:jc w:val="center"/>
              <w:rPr>
                <w:sz w:val="24"/>
                <w:szCs w:val="24"/>
              </w:rPr>
            </w:pPr>
            <w:r w:rsidRPr="00154FB3">
              <w:rPr>
                <w:sz w:val="24"/>
                <w:szCs w:val="24"/>
              </w:rPr>
              <w:t>-</w:t>
            </w:r>
          </w:p>
        </w:tc>
        <w:tc>
          <w:tcPr>
            <w:tcW w:w="107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A8E9D84" w14:textId="77777777" w:rsidR="00E86361" w:rsidRPr="00154FB3" w:rsidRDefault="00E86361" w:rsidP="00564EF8">
            <w:pPr>
              <w:spacing w:line="240" w:lineRule="auto"/>
              <w:jc w:val="center"/>
              <w:rPr>
                <w:sz w:val="24"/>
                <w:szCs w:val="24"/>
              </w:rPr>
            </w:pPr>
            <w:r w:rsidRPr="00154FB3">
              <w:rPr>
                <w:sz w:val="24"/>
                <w:szCs w:val="24"/>
              </w:rPr>
              <w:t>-</w:t>
            </w:r>
          </w:p>
        </w:tc>
      </w:tr>
      <w:tr w:rsidR="00E86361" w:rsidRPr="00154FB3" w14:paraId="2C329576" w14:textId="77777777" w:rsidTr="00564EF8">
        <w:trPr>
          <w:trHeight w:val="110"/>
        </w:trPr>
        <w:tc>
          <w:tcPr>
            <w:tcW w:w="24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ED727C" w14:textId="77777777" w:rsidR="00E86361" w:rsidRPr="00154FB3" w:rsidRDefault="00E86361" w:rsidP="00564EF8">
            <w:pPr>
              <w:spacing w:line="240" w:lineRule="auto"/>
              <w:jc w:val="center"/>
              <w:rPr>
                <w:sz w:val="24"/>
                <w:szCs w:val="24"/>
              </w:rPr>
            </w:pPr>
          </w:p>
        </w:tc>
        <w:tc>
          <w:tcPr>
            <w:tcW w:w="19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4DE254" w14:textId="77777777" w:rsidR="00E86361" w:rsidRPr="00154FB3" w:rsidRDefault="00E86361" w:rsidP="00564EF8">
            <w:pPr>
              <w:spacing w:line="240" w:lineRule="auto"/>
              <w:jc w:val="center"/>
              <w:rPr>
                <w:sz w:val="24"/>
                <w:szCs w:val="24"/>
              </w:rPr>
            </w:pPr>
            <w:r w:rsidRPr="00154FB3">
              <w:rPr>
                <w:sz w:val="24"/>
                <w:szCs w:val="24"/>
              </w:rPr>
              <w:t>(immobilised)</w:t>
            </w:r>
          </w:p>
        </w:tc>
        <w:tc>
          <w:tcPr>
            <w:tcW w:w="2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F07DD7" w14:textId="77777777" w:rsidR="00E86361" w:rsidRPr="00154FB3" w:rsidRDefault="00E86361" w:rsidP="00564EF8">
            <w:pPr>
              <w:spacing w:line="240" w:lineRule="auto"/>
              <w:jc w:val="center"/>
              <w:rPr>
                <w:sz w:val="24"/>
                <w:szCs w:val="24"/>
              </w:rPr>
            </w:pPr>
            <w:r w:rsidRPr="00154FB3">
              <w:rPr>
                <w:sz w:val="24"/>
                <w:szCs w:val="24"/>
              </w:rPr>
              <w:t>0.007±0.004a</w:t>
            </w: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188C53" w14:textId="77777777" w:rsidR="00E86361" w:rsidRPr="00154FB3" w:rsidRDefault="00E86361" w:rsidP="00564EF8">
            <w:pPr>
              <w:spacing w:line="240" w:lineRule="auto"/>
              <w:rPr>
                <w:sz w:val="24"/>
                <w:szCs w:val="24"/>
              </w:rPr>
            </w:pPr>
            <w:r w:rsidRPr="00154FB3">
              <w:rPr>
                <w:sz w:val="24"/>
                <w:szCs w:val="24"/>
              </w:rPr>
              <w:t>0.134±0.167</w:t>
            </w:r>
          </w:p>
        </w:tc>
        <w:tc>
          <w:tcPr>
            <w:tcW w:w="1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CC49A9" w14:textId="77777777" w:rsidR="00E86361" w:rsidRPr="00154FB3" w:rsidRDefault="00E86361" w:rsidP="00564EF8">
            <w:pPr>
              <w:spacing w:line="240" w:lineRule="auto"/>
              <w:jc w:val="center"/>
              <w:rPr>
                <w:sz w:val="24"/>
                <w:szCs w:val="24"/>
              </w:rPr>
            </w:pPr>
            <w:r w:rsidRPr="00154FB3">
              <w:rPr>
                <w:sz w:val="24"/>
                <w:szCs w:val="24"/>
              </w:rPr>
              <w:t>0.883</w:t>
            </w:r>
          </w:p>
        </w:tc>
      </w:tr>
      <w:tr w:rsidR="00E86361" w:rsidRPr="00154FB3" w14:paraId="77A2F4CA" w14:textId="77777777" w:rsidTr="00564EF8">
        <w:trPr>
          <w:trHeight w:val="110"/>
        </w:trPr>
        <w:tc>
          <w:tcPr>
            <w:tcW w:w="24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9CAB22" w14:textId="77777777" w:rsidR="00E86361" w:rsidRPr="00154FB3" w:rsidRDefault="00E86361" w:rsidP="00564EF8">
            <w:pPr>
              <w:spacing w:line="240" w:lineRule="auto"/>
              <w:jc w:val="center"/>
              <w:rPr>
                <w:sz w:val="24"/>
                <w:szCs w:val="24"/>
              </w:rPr>
            </w:pPr>
            <w:r w:rsidRPr="00154FB3">
              <w:rPr>
                <w:sz w:val="24"/>
                <w:szCs w:val="24"/>
              </w:rPr>
              <w:t xml:space="preserve">high tide PRE </w:t>
            </w:r>
          </w:p>
        </w:tc>
        <w:tc>
          <w:tcPr>
            <w:tcW w:w="19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5DF3F8" w14:textId="77777777" w:rsidR="00E86361" w:rsidRPr="00154FB3" w:rsidRDefault="00E86361" w:rsidP="00564EF8">
            <w:pPr>
              <w:spacing w:line="240" w:lineRule="auto"/>
              <w:jc w:val="center"/>
              <w:rPr>
                <w:sz w:val="24"/>
                <w:szCs w:val="24"/>
              </w:rPr>
            </w:pPr>
            <w:r w:rsidRPr="00154FB3">
              <w:rPr>
                <w:sz w:val="24"/>
                <w:szCs w:val="24"/>
              </w:rPr>
              <w:t>(free)</w:t>
            </w:r>
          </w:p>
        </w:tc>
        <w:tc>
          <w:tcPr>
            <w:tcW w:w="2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6548EA" w14:textId="77777777" w:rsidR="00E86361" w:rsidRPr="00154FB3" w:rsidRDefault="00E86361" w:rsidP="00564EF8">
            <w:pPr>
              <w:spacing w:line="240" w:lineRule="auto"/>
              <w:jc w:val="center"/>
              <w:rPr>
                <w:sz w:val="24"/>
                <w:szCs w:val="24"/>
              </w:rPr>
            </w:pPr>
            <w:r w:rsidRPr="00154FB3">
              <w:rPr>
                <w:sz w:val="24"/>
                <w:szCs w:val="24"/>
              </w:rPr>
              <w:t>0.008±0.001a</w:t>
            </w: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AAE7FD" w14:textId="77777777" w:rsidR="00E86361" w:rsidRPr="00154FB3" w:rsidRDefault="00E86361" w:rsidP="00564EF8">
            <w:pPr>
              <w:spacing w:line="240" w:lineRule="auto"/>
              <w:rPr>
                <w:sz w:val="24"/>
                <w:szCs w:val="24"/>
              </w:rPr>
            </w:pPr>
            <w:r w:rsidRPr="00154FB3">
              <w:rPr>
                <w:sz w:val="24"/>
                <w:szCs w:val="24"/>
              </w:rPr>
              <w:t>-0.053±0.167a</w:t>
            </w:r>
          </w:p>
        </w:tc>
        <w:tc>
          <w:tcPr>
            <w:tcW w:w="1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92AA7A" w14:textId="77777777" w:rsidR="00E86361" w:rsidRPr="00154FB3" w:rsidRDefault="00E86361" w:rsidP="00564EF8">
            <w:pPr>
              <w:spacing w:line="240" w:lineRule="auto"/>
              <w:jc w:val="center"/>
              <w:rPr>
                <w:sz w:val="24"/>
                <w:szCs w:val="24"/>
              </w:rPr>
            </w:pPr>
            <w:r w:rsidRPr="00154FB3">
              <w:rPr>
                <w:sz w:val="24"/>
                <w:szCs w:val="24"/>
              </w:rPr>
              <w:t>0.335</w:t>
            </w:r>
          </w:p>
        </w:tc>
      </w:tr>
      <w:tr w:rsidR="00E86361" w:rsidRPr="00154FB3" w14:paraId="2568428A" w14:textId="77777777" w:rsidTr="00564EF8">
        <w:trPr>
          <w:trHeight w:val="110"/>
        </w:trPr>
        <w:tc>
          <w:tcPr>
            <w:tcW w:w="243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195EDDB" w14:textId="77777777" w:rsidR="00E86361" w:rsidRPr="00154FB3" w:rsidRDefault="00E86361" w:rsidP="00564EF8">
            <w:pPr>
              <w:spacing w:line="240" w:lineRule="auto"/>
              <w:jc w:val="center"/>
              <w:rPr>
                <w:sz w:val="24"/>
                <w:szCs w:val="24"/>
              </w:rPr>
            </w:pPr>
          </w:p>
        </w:tc>
        <w:tc>
          <w:tcPr>
            <w:tcW w:w="19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FD2C9CB" w14:textId="77777777" w:rsidR="00E86361" w:rsidRPr="00154FB3" w:rsidRDefault="00E86361" w:rsidP="00564EF8">
            <w:pPr>
              <w:spacing w:line="240" w:lineRule="auto"/>
              <w:jc w:val="center"/>
              <w:rPr>
                <w:sz w:val="24"/>
                <w:szCs w:val="24"/>
              </w:rPr>
            </w:pPr>
            <w:r w:rsidRPr="00154FB3">
              <w:rPr>
                <w:sz w:val="24"/>
                <w:szCs w:val="24"/>
              </w:rPr>
              <w:t>(immobilised)</w:t>
            </w:r>
          </w:p>
        </w:tc>
        <w:tc>
          <w:tcPr>
            <w:tcW w:w="204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494456A" w14:textId="77777777" w:rsidR="00E86361" w:rsidRPr="00154FB3" w:rsidRDefault="00E86361" w:rsidP="00564EF8">
            <w:pPr>
              <w:spacing w:line="240" w:lineRule="auto"/>
              <w:jc w:val="center"/>
              <w:rPr>
                <w:sz w:val="24"/>
                <w:szCs w:val="24"/>
              </w:rPr>
            </w:pPr>
            <w:r w:rsidRPr="00154FB3">
              <w:rPr>
                <w:sz w:val="24"/>
                <w:szCs w:val="24"/>
              </w:rPr>
              <w:t>0.008±0.001a</w:t>
            </w:r>
          </w:p>
        </w:tc>
        <w:tc>
          <w:tcPr>
            <w:tcW w:w="1803"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737D717" w14:textId="77777777" w:rsidR="00E86361" w:rsidRPr="00154FB3" w:rsidRDefault="00E86361" w:rsidP="00564EF8">
            <w:pPr>
              <w:spacing w:line="240" w:lineRule="auto"/>
              <w:rPr>
                <w:sz w:val="24"/>
                <w:szCs w:val="24"/>
              </w:rPr>
            </w:pPr>
            <w:r w:rsidRPr="00154FB3">
              <w:rPr>
                <w:sz w:val="24"/>
                <w:szCs w:val="24"/>
              </w:rPr>
              <w:t>-0.340±0.056a</w:t>
            </w:r>
          </w:p>
        </w:tc>
        <w:tc>
          <w:tcPr>
            <w:tcW w:w="107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4435032" w14:textId="77777777" w:rsidR="00E86361" w:rsidRPr="00154FB3" w:rsidRDefault="00E86361" w:rsidP="00564EF8">
            <w:pPr>
              <w:spacing w:line="240" w:lineRule="auto"/>
              <w:jc w:val="center"/>
              <w:rPr>
                <w:sz w:val="24"/>
                <w:szCs w:val="24"/>
              </w:rPr>
            </w:pPr>
            <w:r w:rsidRPr="00154FB3">
              <w:rPr>
                <w:sz w:val="24"/>
                <w:szCs w:val="24"/>
              </w:rPr>
              <w:t>0.685</w:t>
            </w:r>
          </w:p>
        </w:tc>
      </w:tr>
    </w:tbl>
    <w:p w14:paraId="2BCD80B3" w14:textId="77777777" w:rsidR="00000766" w:rsidRPr="00154FB3" w:rsidRDefault="00E86361" w:rsidP="00000766">
      <w:pPr>
        <w:spacing w:line="240" w:lineRule="auto"/>
        <w:jc w:val="both"/>
        <w:rPr>
          <w:sz w:val="20"/>
          <w:szCs w:val="20"/>
        </w:rPr>
      </w:pPr>
      <w:r w:rsidRPr="00154FB3">
        <w:rPr>
          <w:sz w:val="20"/>
          <w:szCs w:val="20"/>
        </w:rPr>
        <w:t>-</w:t>
      </w:r>
      <w:r w:rsidRPr="00154FB3">
        <w:rPr>
          <w:i/>
          <w:sz w:val="20"/>
          <w:szCs w:val="20"/>
        </w:rPr>
        <w:t>K</w:t>
      </w:r>
      <w:r w:rsidRPr="00154FB3">
        <w:rPr>
          <w:sz w:val="20"/>
          <w:szCs w:val="20"/>
        </w:rPr>
        <w:t xml:space="preserve">: the maximum biomass achieved for </w:t>
      </w:r>
      <w:r w:rsidRPr="00154FB3">
        <w:rPr>
          <w:i/>
          <w:sz w:val="20"/>
          <w:szCs w:val="20"/>
        </w:rPr>
        <w:t>S. bijugatus</w:t>
      </w:r>
      <w:r w:rsidRPr="00154FB3">
        <w:rPr>
          <w:sz w:val="20"/>
          <w:szCs w:val="20"/>
        </w:rPr>
        <w:t xml:space="preserve">(µg/mL); initial phosphate/ ammonium/ nitrite / nitrate concentration in the water sample (mg/ L); </w:t>
      </w:r>
      <w:r w:rsidRPr="00154FB3">
        <w:rPr>
          <w:i/>
          <w:sz w:val="20"/>
          <w:szCs w:val="20"/>
        </w:rPr>
        <w:t>r</w:t>
      </w:r>
      <w:r w:rsidRPr="00154FB3">
        <w:rPr>
          <w:sz w:val="20"/>
          <w:szCs w:val="20"/>
        </w:rPr>
        <w:t>: the</w:t>
      </w:r>
      <w:r w:rsidRPr="00154FB3">
        <w:rPr>
          <w:i/>
          <w:sz w:val="20"/>
          <w:szCs w:val="20"/>
        </w:rPr>
        <w:t xml:space="preserve"> S. bijugatus</w:t>
      </w:r>
      <w:r w:rsidRPr="00154FB3">
        <w:rPr>
          <w:sz w:val="20"/>
          <w:szCs w:val="20"/>
        </w:rPr>
        <w:t xml:space="preserve"> growth rate (µg/mL/d); phosphate/ ammonium / nitrite / nitrate uptake rate (mg / L /d); R</w:t>
      </w:r>
      <w:r w:rsidRPr="00154FB3">
        <w:rPr>
          <w:sz w:val="20"/>
          <w:szCs w:val="20"/>
          <w:vertAlign w:val="superscript"/>
        </w:rPr>
        <w:t>2</w:t>
      </w:r>
      <w:r w:rsidRPr="00154FB3">
        <w:rPr>
          <w:sz w:val="20"/>
          <w:szCs w:val="20"/>
        </w:rPr>
        <w:t xml:space="preserve"> is the graph coefficient; - : data cannot be determined; PRE: Pinang River estuary; The values presented are means of three replicates; Means were compared using the Mann-Whitney U test; differences were not significant for groups with the same letter </w:t>
      </w:r>
      <w:r w:rsidR="00000766" w:rsidRPr="00154FB3">
        <w:rPr>
          <w:sz w:val="20"/>
          <w:szCs w:val="20"/>
        </w:rPr>
        <w:br w:type="page"/>
      </w:r>
    </w:p>
    <w:p w14:paraId="05CF2155" w14:textId="2B869F6D" w:rsidR="00000766" w:rsidRPr="00154FB3" w:rsidRDefault="00000766" w:rsidP="00000766">
      <w:pPr>
        <w:spacing w:line="240" w:lineRule="auto"/>
      </w:pPr>
      <w:r w:rsidRPr="00154FB3">
        <w:lastRenderedPageBreak/>
        <w:t>Table 3</w:t>
      </w:r>
      <w:r w:rsidR="004C103B" w:rsidRPr="00154FB3">
        <w:t>:</w:t>
      </w:r>
      <w:r w:rsidRPr="00154FB3">
        <w:t xml:space="preserve"> Phosphate, ammonium, nitrite and nitrate removal percentage</w:t>
      </w:r>
      <w:r w:rsidR="00292741" w:rsidRPr="00154FB3">
        <w:t>s</w:t>
      </w:r>
      <w:r w:rsidRPr="00154FB3">
        <w:t xml:space="preserve"> </w:t>
      </w:r>
      <w:r w:rsidR="00292741" w:rsidRPr="00154FB3">
        <w:t>under the</w:t>
      </w:r>
      <w:r w:rsidRPr="00154FB3">
        <w:t xml:space="preserve"> four</w:t>
      </w:r>
      <w:r w:rsidR="00292741" w:rsidRPr="00154FB3">
        <w:t xml:space="preserve"> experimental</w:t>
      </w:r>
      <w:r w:rsidRPr="00154FB3">
        <w:t xml:space="preserve"> treatments</w:t>
      </w:r>
      <w:r w:rsidR="00292741" w:rsidRPr="00154FB3">
        <w:t>.</w:t>
      </w:r>
      <w:r w:rsidRPr="00154FB3">
        <w:t xml:space="preserve"> </w:t>
      </w:r>
    </w:p>
    <w:tbl>
      <w:tblPr>
        <w:tblStyle w:val="TableGrid"/>
        <w:tblW w:w="9271" w:type="dxa"/>
        <w:tblLayout w:type="fixed"/>
        <w:tblLook w:val="04A0" w:firstRow="1" w:lastRow="0" w:firstColumn="1" w:lastColumn="0" w:noHBand="0" w:noVBand="1"/>
      </w:tblPr>
      <w:tblGrid>
        <w:gridCol w:w="2721"/>
        <w:gridCol w:w="1629"/>
        <w:gridCol w:w="1444"/>
        <w:gridCol w:w="1636"/>
        <w:gridCol w:w="1841"/>
      </w:tblGrid>
      <w:tr w:rsidR="00E86361" w:rsidRPr="00154FB3" w14:paraId="35584CC9" w14:textId="77777777" w:rsidTr="00564EF8">
        <w:trPr>
          <w:trHeight w:val="312"/>
        </w:trPr>
        <w:tc>
          <w:tcPr>
            <w:tcW w:w="2721" w:type="dxa"/>
            <w:vMerge w:val="restart"/>
            <w:tcBorders>
              <w:left w:val="single" w:sz="4" w:space="0" w:color="FFFFFF" w:themeColor="background1"/>
              <w:right w:val="single" w:sz="4" w:space="0" w:color="FFFFFF" w:themeColor="background1"/>
            </w:tcBorders>
          </w:tcPr>
          <w:p w14:paraId="763E663C" w14:textId="77777777" w:rsidR="00E86361" w:rsidRPr="00154FB3" w:rsidRDefault="00E86361" w:rsidP="00564EF8">
            <w:pPr>
              <w:spacing w:line="240" w:lineRule="auto"/>
            </w:pPr>
            <w:r w:rsidRPr="00154FB3">
              <w:t>Stations</w:t>
            </w:r>
          </w:p>
        </w:tc>
        <w:tc>
          <w:tcPr>
            <w:tcW w:w="6550" w:type="dxa"/>
            <w:gridSpan w:val="4"/>
            <w:tcBorders>
              <w:left w:val="single" w:sz="4" w:space="0" w:color="FFFFFF" w:themeColor="background1"/>
              <w:right w:val="single" w:sz="4" w:space="0" w:color="FFFFFF" w:themeColor="background1"/>
            </w:tcBorders>
          </w:tcPr>
          <w:p w14:paraId="52E4FA04" w14:textId="77777777" w:rsidR="00E86361" w:rsidRPr="00154FB3" w:rsidRDefault="00E86361" w:rsidP="00564EF8">
            <w:pPr>
              <w:spacing w:line="240" w:lineRule="auto"/>
              <w:jc w:val="center"/>
            </w:pPr>
            <w:r w:rsidRPr="00154FB3">
              <w:t>Removal percentage</w:t>
            </w:r>
          </w:p>
        </w:tc>
      </w:tr>
      <w:tr w:rsidR="00E86361" w:rsidRPr="00154FB3" w14:paraId="25654453" w14:textId="77777777" w:rsidTr="00564EF8">
        <w:trPr>
          <w:trHeight w:val="610"/>
        </w:trPr>
        <w:tc>
          <w:tcPr>
            <w:tcW w:w="2721" w:type="dxa"/>
            <w:vMerge/>
            <w:tcBorders>
              <w:left w:val="single" w:sz="4" w:space="0" w:color="FFFFFF" w:themeColor="background1"/>
              <w:right w:val="single" w:sz="4" w:space="0" w:color="FFFFFF" w:themeColor="background1"/>
            </w:tcBorders>
          </w:tcPr>
          <w:p w14:paraId="178692FD" w14:textId="77777777" w:rsidR="00E86361" w:rsidRPr="00154FB3" w:rsidRDefault="00E86361" w:rsidP="00564EF8">
            <w:pPr>
              <w:spacing w:line="240" w:lineRule="auto"/>
            </w:pPr>
          </w:p>
        </w:tc>
        <w:tc>
          <w:tcPr>
            <w:tcW w:w="1629" w:type="dxa"/>
            <w:tcBorders>
              <w:left w:val="single" w:sz="4" w:space="0" w:color="FFFFFF" w:themeColor="background1"/>
              <w:right w:val="single" w:sz="4" w:space="0" w:color="FFFFFF" w:themeColor="background1"/>
            </w:tcBorders>
          </w:tcPr>
          <w:p w14:paraId="20C1B0D4" w14:textId="77777777" w:rsidR="00E86361" w:rsidRPr="00154FB3" w:rsidRDefault="00E86361" w:rsidP="00564EF8">
            <w:pPr>
              <w:spacing w:line="240" w:lineRule="auto"/>
              <w:jc w:val="center"/>
            </w:pPr>
            <w:r w:rsidRPr="00154FB3">
              <w:t>Free cells</w:t>
            </w:r>
          </w:p>
        </w:tc>
        <w:tc>
          <w:tcPr>
            <w:tcW w:w="1444" w:type="dxa"/>
            <w:tcBorders>
              <w:left w:val="single" w:sz="4" w:space="0" w:color="FFFFFF" w:themeColor="background1"/>
              <w:right w:val="single" w:sz="4" w:space="0" w:color="FFFFFF" w:themeColor="background1"/>
            </w:tcBorders>
          </w:tcPr>
          <w:p w14:paraId="41A98258" w14:textId="77777777" w:rsidR="00E86361" w:rsidRPr="00154FB3" w:rsidRDefault="00E86361" w:rsidP="00564EF8">
            <w:pPr>
              <w:spacing w:line="240" w:lineRule="auto"/>
              <w:jc w:val="center"/>
            </w:pPr>
            <w:r w:rsidRPr="00154FB3">
              <w:t>Control</w:t>
            </w:r>
          </w:p>
          <w:p w14:paraId="1EFA2ED5" w14:textId="77777777" w:rsidR="00E86361" w:rsidRPr="00154FB3" w:rsidRDefault="00E86361" w:rsidP="00564EF8">
            <w:pPr>
              <w:spacing w:line="240" w:lineRule="auto"/>
              <w:jc w:val="center"/>
            </w:pPr>
            <w:r w:rsidRPr="00154FB3">
              <w:t>(without algae)</w:t>
            </w:r>
          </w:p>
        </w:tc>
        <w:tc>
          <w:tcPr>
            <w:tcW w:w="1636" w:type="dxa"/>
            <w:tcBorders>
              <w:left w:val="single" w:sz="4" w:space="0" w:color="FFFFFF" w:themeColor="background1"/>
              <w:right w:val="single" w:sz="4" w:space="0" w:color="FFFFFF" w:themeColor="background1"/>
            </w:tcBorders>
          </w:tcPr>
          <w:p w14:paraId="7EE35214" w14:textId="77777777" w:rsidR="00E86361" w:rsidRPr="00154FB3" w:rsidRDefault="00E86361" w:rsidP="00564EF8">
            <w:pPr>
              <w:spacing w:line="240" w:lineRule="auto"/>
              <w:jc w:val="center"/>
            </w:pPr>
            <w:r w:rsidRPr="00154FB3">
              <w:t>Immobilised algal cells</w:t>
            </w:r>
          </w:p>
        </w:tc>
        <w:tc>
          <w:tcPr>
            <w:tcW w:w="1841" w:type="dxa"/>
            <w:tcBorders>
              <w:left w:val="single" w:sz="4" w:space="0" w:color="FFFFFF" w:themeColor="background1"/>
              <w:right w:val="single" w:sz="4" w:space="0" w:color="FFFFFF" w:themeColor="background1"/>
            </w:tcBorders>
          </w:tcPr>
          <w:p w14:paraId="71D0CC03" w14:textId="77777777" w:rsidR="00E86361" w:rsidRPr="00154FB3" w:rsidRDefault="00E86361" w:rsidP="00564EF8">
            <w:pPr>
              <w:spacing w:line="240" w:lineRule="auto"/>
              <w:jc w:val="center"/>
            </w:pPr>
            <w:r w:rsidRPr="00154FB3">
              <w:t>Immobilised</w:t>
            </w:r>
          </w:p>
          <w:p w14:paraId="722F8DF1" w14:textId="77777777" w:rsidR="00E86361" w:rsidRPr="00154FB3" w:rsidRDefault="00E86361" w:rsidP="00564EF8">
            <w:pPr>
              <w:spacing w:line="240" w:lineRule="auto"/>
              <w:jc w:val="center"/>
            </w:pPr>
            <w:r w:rsidRPr="00154FB3">
              <w:t>blank beads (without algae)</w:t>
            </w:r>
          </w:p>
        </w:tc>
      </w:tr>
      <w:tr w:rsidR="00E86361" w:rsidRPr="00154FB3" w14:paraId="09EFEE02" w14:textId="77777777" w:rsidTr="00564EF8">
        <w:trPr>
          <w:trHeight w:val="105"/>
        </w:trPr>
        <w:tc>
          <w:tcPr>
            <w:tcW w:w="272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8FADBAD" w14:textId="77777777" w:rsidR="00E86361" w:rsidRPr="00154FB3" w:rsidRDefault="00E86361" w:rsidP="00564EF8">
            <w:pPr>
              <w:spacing w:line="240" w:lineRule="auto"/>
            </w:pPr>
            <w:r w:rsidRPr="00154FB3">
              <w:t>Phosphate</w:t>
            </w:r>
          </w:p>
        </w:tc>
        <w:tc>
          <w:tcPr>
            <w:tcW w:w="162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ACA462E" w14:textId="77777777" w:rsidR="00E86361" w:rsidRPr="00154FB3" w:rsidRDefault="00E86361" w:rsidP="00564EF8">
            <w:pPr>
              <w:spacing w:line="240" w:lineRule="auto"/>
              <w:jc w:val="center"/>
            </w:pPr>
          </w:p>
        </w:tc>
        <w:tc>
          <w:tcPr>
            <w:tcW w:w="144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CF30D62" w14:textId="77777777" w:rsidR="00E86361" w:rsidRPr="00154FB3" w:rsidRDefault="00E86361" w:rsidP="00564EF8">
            <w:pPr>
              <w:spacing w:line="240" w:lineRule="auto"/>
              <w:jc w:val="center"/>
            </w:pPr>
          </w:p>
        </w:tc>
        <w:tc>
          <w:tcPr>
            <w:tcW w:w="1636"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35524B1" w14:textId="77777777" w:rsidR="00E86361" w:rsidRPr="00154FB3" w:rsidRDefault="00E86361" w:rsidP="00564EF8">
            <w:pPr>
              <w:spacing w:line="240" w:lineRule="auto"/>
              <w:jc w:val="center"/>
            </w:pPr>
          </w:p>
        </w:tc>
        <w:tc>
          <w:tcPr>
            <w:tcW w:w="184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46D8E10" w14:textId="77777777" w:rsidR="00E86361" w:rsidRPr="00154FB3" w:rsidRDefault="00E86361" w:rsidP="00564EF8">
            <w:pPr>
              <w:spacing w:line="240" w:lineRule="auto"/>
              <w:jc w:val="center"/>
            </w:pPr>
          </w:p>
        </w:tc>
      </w:tr>
      <w:tr w:rsidR="00E86361" w:rsidRPr="00154FB3" w14:paraId="56F19EC1" w14:textId="77777777" w:rsidTr="00564EF8">
        <w:trPr>
          <w:trHeight w:val="188"/>
        </w:trPr>
        <w:tc>
          <w:tcPr>
            <w:tcW w:w="27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8A6F4F" w14:textId="77777777" w:rsidR="00E86361" w:rsidRPr="00154FB3" w:rsidRDefault="00E86361" w:rsidP="00564EF8">
            <w:pPr>
              <w:spacing w:line="240" w:lineRule="auto"/>
            </w:pPr>
            <w:r w:rsidRPr="00154FB3">
              <w:t xml:space="preserve">low tide PRE </w:t>
            </w:r>
          </w:p>
        </w:tc>
        <w:tc>
          <w:tcPr>
            <w:tcW w:w="16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DD0675" w14:textId="77777777" w:rsidR="00E86361" w:rsidRPr="00154FB3" w:rsidRDefault="00E86361" w:rsidP="00564EF8">
            <w:pPr>
              <w:spacing w:line="240" w:lineRule="auto"/>
              <w:jc w:val="center"/>
            </w:pPr>
            <w:r w:rsidRPr="00154FB3">
              <w:t>87.75a</w:t>
            </w:r>
          </w:p>
        </w:tc>
        <w:tc>
          <w:tcPr>
            <w:tcW w:w="1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4DB1C4" w14:textId="77777777" w:rsidR="00E86361" w:rsidRPr="00154FB3" w:rsidRDefault="00E86361" w:rsidP="00564EF8">
            <w:pPr>
              <w:spacing w:line="240" w:lineRule="auto"/>
              <w:jc w:val="center"/>
            </w:pPr>
            <w:r w:rsidRPr="00154FB3">
              <w:t>56.37</w:t>
            </w:r>
          </w:p>
        </w:tc>
        <w:tc>
          <w:tcPr>
            <w:tcW w:w="1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A957F6" w14:textId="77777777" w:rsidR="00E86361" w:rsidRPr="00154FB3" w:rsidRDefault="00E86361" w:rsidP="00564EF8">
            <w:pPr>
              <w:spacing w:line="240" w:lineRule="auto"/>
              <w:jc w:val="center"/>
            </w:pPr>
            <w:r w:rsidRPr="00154FB3">
              <w:t>62.80a</w:t>
            </w:r>
          </w:p>
        </w:tc>
        <w:tc>
          <w:tcPr>
            <w:tcW w:w="1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A05535" w14:textId="77777777" w:rsidR="00E86361" w:rsidRPr="00154FB3" w:rsidRDefault="00E86361" w:rsidP="00564EF8">
            <w:pPr>
              <w:spacing w:line="240" w:lineRule="auto"/>
              <w:jc w:val="center"/>
            </w:pPr>
            <w:r w:rsidRPr="00154FB3">
              <w:t>81.87</w:t>
            </w:r>
          </w:p>
        </w:tc>
      </w:tr>
      <w:tr w:rsidR="00E86361" w:rsidRPr="00154FB3" w14:paraId="794ABB18" w14:textId="77777777" w:rsidTr="00564EF8">
        <w:trPr>
          <w:trHeight w:val="120"/>
        </w:trPr>
        <w:tc>
          <w:tcPr>
            <w:tcW w:w="272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E643D6A" w14:textId="77777777" w:rsidR="00E86361" w:rsidRPr="00154FB3" w:rsidRDefault="00E86361" w:rsidP="00564EF8">
            <w:pPr>
              <w:spacing w:line="240" w:lineRule="auto"/>
            </w:pPr>
            <w:r w:rsidRPr="00154FB3">
              <w:t xml:space="preserve">high tide PRE </w:t>
            </w:r>
          </w:p>
        </w:tc>
        <w:tc>
          <w:tcPr>
            <w:tcW w:w="16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694C32E" w14:textId="77777777" w:rsidR="00E86361" w:rsidRPr="00154FB3" w:rsidRDefault="00E86361" w:rsidP="00564EF8">
            <w:pPr>
              <w:spacing w:line="240" w:lineRule="auto"/>
              <w:jc w:val="center"/>
            </w:pPr>
            <w:r w:rsidRPr="00154FB3">
              <w:t>64.27a</w:t>
            </w:r>
          </w:p>
        </w:tc>
        <w:tc>
          <w:tcPr>
            <w:tcW w:w="144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41093FB" w14:textId="77777777" w:rsidR="00E86361" w:rsidRPr="00154FB3" w:rsidRDefault="00E86361" w:rsidP="00564EF8">
            <w:pPr>
              <w:spacing w:line="240" w:lineRule="auto"/>
              <w:jc w:val="center"/>
            </w:pPr>
            <w:r w:rsidRPr="00154FB3">
              <w:t>62.43</w:t>
            </w:r>
          </w:p>
        </w:tc>
        <w:tc>
          <w:tcPr>
            <w:tcW w:w="163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B09B69D" w14:textId="77777777" w:rsidR="00E86361" w:rsidRPr="00154FB3" w:rsidRDefault="00E86361" w:rsidP="00564EF8">
            <w:pPr>
              <w:spacing w:line="240" w:lineRule="auto"/>
              <w:jc w:val="center"/>
            </w:pPr>
            <w:r w:rsidRPr="00154FB3">
              <w:t>82.87a</w:t>
            </w:r>
          </w:p>
        </w:tc>
        <w:tc>
          <w:tcPr>
            <w:tcW w:w="184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EAF61E1" w14:textId="77777777" w:rsidR="00E86361" w:rsidRPr="00154FB3" w:rsidRDefault="00E86361" w:rsidP="00564EF8">
            <w:pPr>
              <w:spacing w:line="240" w:lineRule="auto"/>
              <w:jc w:val="center"/>
            </w:pPr>
            <w:r w:rsidRPr="00154FB3">
              <w:t>81.08</w:t>
            </w:r>
          </w:p>
        </w:tc>
      </w:tr>
      <w:tr w:rsidR="00E86361" w:rsidRPr="00154FB3" w14:paraId="1B0C06BF" w14:textId="77777777" w:rsidTr="00564EF8">
        <w:trPr>
          <w:trHeight w:val="220"/>
        </w:trPr>
        <w:tc>
          <w:tcPr>
            <w:tcW w:w="272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2F87710" w14:textId="77777777" w:rsidR="00E86361" w:rsidRPr="00154FB3" w:rsidRDefault="00E86361" w:rsidP="00564EF8">
            <w:pPr>
              <w:spacing w:line="240" w:lineRule="auto"/>
            </w:pPr>
            <w:r w:rsidRPr="00154FB3">
              <w:t>Ammonium</w:t>
            </w:r>
          </w:p>
        </w:tc>
        <w:tc>
          <w:tcPr>
            <w:tcW w:w="162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0FC77A7" w14:textId="77777777" w:rsidR="00E86361" w:rsidRPr="00154FB3" w:rsidRDefault="00E86361" w:rsidP="00564EF8">
            <w:pPr>
              <w:spacing w:line="240" w:lineRule="auto"/>
              <w:jc w:val="center"/>
            </w:pPr>
          </w:p>
        </w:tc>
        <w:tc>
          <w:tcPr>
            <w:tcW w:w="144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0872F84" w14:textId="77777777" w:rsidR="00E86361" w:rsidRPr="00154FB3" w:rsidRDefault="00E86361" w:rsidP="00564EF8">
            <w:pPr>
              <w:spacing w:line="240" w:lineRule="auto"/>
              <w:jc w:val="center"/>
            </w:pPr>
          </w:p>
        </w:tc>
        <w:tc>
          <w:tcPr>
            <w:tcW w:w="1636"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D36995E" w14:textId="77777777" w:rsidR="00E86361" w:rsidRPr="00154FB3" w:rsidRDefault="00E86361" w:rsidP="00564EF8">
            <w:pPr>
              <w:spacing w:line="240" w:lineRule="auto"/>
              <w:jc w:val="center"/>
            </w:pPr>
          </w:p>
        </w:tc>
        <w:tc>
          <w:tcPr>
            <w:tcW w:w="184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2A690C1" w14:textId="77777777" w:rsidR="00E86361" w:rsidRPr="00154FB3" w:rsidRDefault="00E86361" w:rsidP="00564EF8">
            <w:pPr>
              <w:spacing w:line="240" w:lineRule="auto"/>
              <w:jc w:val="center"/>
            </w:pPr>
          </w:p>
        </w:tc>
      </w:tr>
      <w:tr w:rsidR="00E86361" w:rsidRPr="00154FB3" w14:paraId="60270DB8" w14:textId="77777777" w:rsidTr="00564EF8">
        <w:trPr>
          <w:trHeight w:val="98"/>
        </w:trPr>
        <w:tc>
          <w:tcPr>
            <w:tcW w:w="27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B7D91" w14:textId="77777777" w:rsidR="00E86361" w:rsidRPr="00154FB3" w:rsidRDefault="00E86361" w:rsidP="00564EF8">
            <w:pPr>
              <w:spacing w:line="240" w:lineRule="auto"/>
            </w:pPr>
            <w:r w:rsidRPr="00154FB3">
              <w:t xml:space="preserve">low tide PRE </w:t>
            </w:r>
          </w:p>
        </w:tc>
        <w:tc>
          <w:tcPr>
            <w:tcW w:w="16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BCF5A6" w14:textId="77777777" w:rsidR="00E86361" w:rsidRPr="00154FB3" w:rsidRDefault="00E86361" w:rsidP="00564EF8">
            <w:pPr>
              <w:spacing w:line="240" w:lineRule="auto"/>
              <w:jc w:val="center"/>
            </w:pPr>
            <w:r w:rsidRPr="00154FB3">
              <w:t>91.09a</w:t>
            </w:r>
          </w:p>
        </w:tc>
        <w:tc>
          <w:tcPr>
            <w:tcW w:w="1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28B034" w14:textId="77777777" w:rsidR="00E86361" w:rsidRPr="00154FB3" w:rsidRDefault="00E86361" w:rsidP="00564EF8">
            <w:pPr>
              <w:spacing w:line="240" w:lineRule="auto"/>
              <w:jc w:val="center"/>
            </w:pPr>
            <w:r w:rsidRPr="00154FB3">
              <w:t>47.86</w:t>
            </w:r>
          </w:p>
        </w:tc>
        <w:tc>
          <w:tcPr>
            <w:tcW w:w="1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FC9EFE" w14:textId="77777777" w:rsidR="00E86361" w:rsidRPr="00154FB3" w:rsidRDefault="00E86361" w:rsidP="00564EF8">
            <w:pPr>
              <w:spacing w:line="240" w:lineRule="auto"/>
              <w:jc w:val="center"/>
            </w:pPr>
            <w:r w:rsidRPr="00154FB3">
              <w:t>94.42a</w:t>
            </w:r>
          </w:p>
        </w:tc>
        <w:tc>
          <w:tcPr>
            <w:tcW w:w="1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6C69E3" w14:textId="77777777" w:rsidR="00E86361" w:rsidRPr="00154FB3" w:rsidRDefault="00E86361" w:rsidP="00564EF8">
            <w:pPr>
              <w:spacing w:line="240" w:lineRule="auto"/>
              <w:jc w:val="center"/>
            </w:pPr>
            <w:r w:rsidRPr="00154FB3">
              <w:t>96.38</w:t>
            </w:r>
          </w:p>
        </w:tc>
      </w:tr>
      <w:tr w:rsidR="00E86361" w:rsidRPr="00154FB3" w14:paraId="64627A39" w14:textId="77777777" w:rsidTr="00564EF8">
        <w:trPr>
          <w:trHeight w:val="215"/>
        </w:trPr>
        <w:tc>
          <w:tcPr>
            <w:tcW w:w="272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5462708" w14:textId="77777777" w:rsidR="00E86361" w:rsidRPr="00154FB3" w:rsidRDefault="00E86361" w:rsidP="00564EF8">
            <w:pPr>
              <w:spacing w:line="240" w:lineRule="auto"/>
            </w:pPr>
            <w:r w:rsidRPr="00154FB3">
              <w:t xml:space="preserve">high tide PRE </w:t>
            </w:r>
          </w:p>
        </w:tc>
        <w:tc>
          <w:tcPr>
            <w:tcW w:w="16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F5439EA" w14:textId="77777777" w:rsidR="00E86361" w:rsidRPr="00154FB3" w:rsidRDefault="00E86361" w:rsidP="00564EF8">
            <w:pPr>
              <w:spacing w:line="240" w:lineRule="auto"/>
              <w:jc w:val="center"/>
            </w:pPr>
            <w:r w:rsidRPr="00154FB3">
              <w:t>88.18a</w:t>
            </w:r>
          </w:p>
        </w:tc>
        <w:tc>
          <w:tcPr>
            <w:tcW w:w="144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D3EC84F" w14:textId="77777777" w:rsidR="00E86361" w:rsidRPr="00154FB3" w:rsidRDefault="00E86361" w:rsidP="00564EF8">
            <w:pPr>
              <w:spacing w:line="240" w:lineRule="auto"/>
              <w:jc w:val="center"/>
            </w:pPr>
            <w:r w:rsidRPr="00154FB3">
              <w:t>44.69</w:t>
            </w:r>
          </w:p>
        </w:tc>
        <w:tc>
          <w:tcPr>
            <w:tcW w:w="163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C9753BE" w14:textId="77777777" w:rsidR="00E86361" w:rsidRPr="00154FB3" w:rsidRDefault="00E86361" w:rsidP="00564EF8">
            <w:pPr>
              <w:spacing w:line="240" w:lineRule="auto"/>
              <w:jc w:val="center"/>
            </w:pPr>
            <w:r w:rsidRPr="00154FB3">
              <w:t>81.45a</w:t>
            </w:r>
          </w:p>
        </w:tc>
        <w:tc>
          <w:tcPr>
            <w:tcW w:w="184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4748014" w14:textId="77777777" w:rsidR="00E86361" w:rsidRPr="00154FB3" w:rsidRDefault="00E86361" w:rsidP="00564EF8">
            <w:pPr>
              <w:spacing w:line="240" w:lineRule="auto"/>
              <w:jc w:val="center"/>
            </w:pPr>
            <w:r w:rsidRPr="00154FB3">
              <w:t>89.45</w:t>
            </w:r>
          </w:p>
        </w:tc>
      </w:tr>
      <w:tr w:rsidR="00E86361" w:rsidRPr="00154FB3" w14:paraId="32AE7027" w14:textId="77777777" w:rsidTr="00564EF8">
        <w:trPr>
          <w:trHeight w:val="150"/>
        </w:trPr>
        <w:tc>
          <w:tcPr>
            <w:tcW w:w="272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0F7B952" w14:textId="77777777" w:rsidR="00E86361" w:rsidRPr="00154FB3" w:rsidRDefault="00E86361" w:rsidP="00564EF8">
            <w:pPr>
              <w:spacing w:line="240" w:lineRule="auto"/>
            </w:pPr>
            <w:r w:rsidRPr="00154FB3">
              <w:t>Nitrite</w:t>
            </w:r>
          </w:p>
        </w:tc>
        <w:tc>
          <w:tcPr>
            <w:tcW w:w="162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A8D45BF" w14:textId="77777777" w:rsidR="00E86361" w:rsidRPr="00154FB3" w:rsidRDefault="00E86361" w:rsidP="00564EF8">
            <w:pPr>
              <w:spacing w:line="240" w:lineRule="auto"/>
              <w:jc w:val="center"/>
            </w:pPr>
          </w:p>
        </w:tc>
        <w:tc>
          <w:tcPr>
            <w:tcW w:w="144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8B98AC1" w14:textId="77777777" w:rsidR="00E86361" w:rsidRPr="00154FB3" w:rsidRDefault="00E86361" w:rsidP="00564EF8">
            <w:pPr>
              <w:spacing w:line="240" w:lineRule="auto"/>
              <w:jc w:val="center"/>
            </w:pPr>
          </w:p>
        </w:tc>
        <w:tc>
          <w:tcPr>
            <w:tcW w:w="1636"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10CC3D6" w14:textId="77777777" w:rsidR="00E86361" w:rsidRPr="00154FB3" w:rsidRDefault="00E86361" w:rsidP="00564EF8">
            <w:pPr>
              <w:spacing w:line="240" w:lineRule="auto"/>
              <w:jc w:val="center"/>
            </w:pPr>
          </w:p>
        </w:tc>
        <w:tc>
          <w:tcPr>
            <w:tcW w:w="184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1C1CBA5" w14:textId="77777777" w:rsidR="00E86361" w:rsidRPr="00154FB3" w:rsidRDefault="00E86361" w:rsidP="00564EF8">
            <w:pPr>
              <w:spacing w:line="240" w:lineRule="auto"/>
              <w:jc w:val="center"/>
            </w:pPr>
          </w:p>
        </w:tc>
      </w:tr>
      <w:tr w:rsidR="00E86361" w:rsidRPr="00154FB3" w14:paraId="64301D3B" w14:textId="77777777" w:rsidTr="00564EF8">
        <w:trPr>
          <w:trHeight w:val="65"/>
        </w:trPr>
        <w:tc>
          <w:tcPr>
            <w:tcW w:w="27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1161B5" w14:textId="77777777" w:rsidR="00E86361" w:rsidRPr="00154FB3" w:rsidRDefault="00E86361" w:rsidP="00564EF8">
            <w:pPr>
              <w:spacing w:line="240" w:lineRule="auto"/>
            </w:pPr>
            <w:r w:rsidRPr="00154FB3">
              <w:t xml:space="preserve">low tide PRE </w:t>
            </w:r>
          </w:p>
        </w:tc>
        <w:tc>
          <w:tcPr>
            <w:tcW w:w="16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E38EA" w14:textId="77777777" w:rsidR="00E86361" w:rsidRPr="00154FB3" w:rsidRDefault="00E86361" w:rsidP="00564EF8">
            <w:pPr>
              <w:spacing w:line="240" w:lineRule="auto"/>
              <w:jc w:val="center"/>
            </w:pPr>
            <w:r w:rsidRPr="00154FB3">
              <w:t>20.55a</w:t>
            </w:r>
          </w:p>
        </w:tc>
        <w:tc>
          <w:tcPr>
            <w:tcW w:w="1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3A52E2" w14:textId="77777777" w:rsidR="00E86361" w:rsidRPr="00154FB3" w:rsidRDefault="00E86361" w:rsidP="00564EF8">
            <w:pPr>
              <w:spacing w:line="240" w:lineRule="auto"/>
              <w:jc w:val="center"/>
            </w:pPr>
            <w:r w:rsidRPr="00154FB3">
              <w:t>-</w:t>
            </w:r>
          </w:p>
        </w:tc>
        <w:tc>
          <w:tcPr>
            <w:tcW w:w="1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8A74D4" w14:textId="77777777" w:rsidR="00E86361" w:rsidRPr="00154FB3" w:rsidRDefault="00E86361" w:rsidP="00564EF8">
            <w:pPr>
              <w:spacing w:line="240" w:lineRule="auto"/>
              <w:jc w:val="center"/>
            </w:pPr>
            <w:r w:rsidRPr="00154FB3">
              <w:t>52.51a</w:t>
            </w:r>
          </w:p>
        </w:tc>
        <w:tc>
          <w:tcPr>
            <w:tcW w:w="1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B0C2DB" w14:textId="77777777" w:rsidR="00E86361" w:rsidRPr="00154FB3" w:rsidRDefault="00E86361" w:rsidP="00564EF8">
            <w:pPr>
              <w:spacing w:line="240" w:lineRule="auto"/>
              <w:jc w:val="center"/>
            </w:pPr>
            <w:r w:rsidRPr="00154FB3">
              <w:t>-</w:t>
            </w:r>
          </w:p>
        </w:tc>
      </w:tr>
      <w:tr w:rsidR="00E86361" w:rsidRPr="00154FB3" w14:paraId="4F582843" w14:textId="77777777" w:rsidTr="00564EF8">
        <w:trPr>
          <w:trHeight w:val="80"/>
        </w:trPr>
        <w:tc>
          <w:tcPr>
            <w:tcW w:w="272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4DE39D3" w14:textId="77777777" w:rsidR="00E86361" w:rsidRPr="00154FB3" w:rsidRDefault="00E86361" w:rsidP="00564EF8">
            <w:pPr>
              <w:spacing w:line="240" w:lineRule="auto"/>
            </w:pPr>
            <w:r w:rsidRPr="00154FB3">
              <w:t xml:space="preserve">high tide PRE </w:t>
            </w:r>
          </w:p>
        </w:tc>
        <w:tc>
          <w:tcPr>
            <w:tcW w:w="16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C5D21E0" w14:textId="77777777" w:rsidR="00E86361" w:rsidRPr="00154FB3" w:rsidRDefault="00E86361" w:rsidP="00564EF8">
            <w:pPr>
              <w:spacing w:line="240" w:lineRule="auto"/>
              <w:jc w:val="center"/>
            </w:pPr>
            <w:r w:rsidRPr="00154FB3">
              <w:t>40.31a</w:t>
            </w:r>
          </w:p>
        </w:tc>
        <w:tc>
          <w:tcPr>
            <w:tcW w:w="144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BE9807E" w14:textId="77777777" w:rsidR="00E86361" w:rsidRPr="00154FB3" w:rsidRDefault="00E86361" w:rsidP="00564EF8">
            <w:pPr>
              <w:spacing w:line="240" w:lineRule="auto"/>
              <w:jc w:val="center"/>
            </w:pPr>
            <w:r w:rsidRPr="00154FB3">
              <w:t>-</w:t>
            </w:r>
          </w:p>
        </w:tc>
        <w:tc>
          <w:tcPr>
            <w:tcW w:w="163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7F32DD3" w14:textId="77777777" w:rsidR="00E86361" w:rsidRPr="00154FB3" w:rsidRDefault="00E86361" w:rsidP="00564EF8">
            <w:pPr>
              <w:spacing w:line="240" w:lineRule="auto"/>
              <w:jc w:val="center"/>
            </w:pPr>
            <w:r w:rsidRPr="00154FB3">
              <w:t>42.63a</w:t>
            </w:r>
          </w:p>
        </w:tc>
        <w:tc>
          <w:tcPr>
            <w:tcW w:w="184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731DF80" w14:textId="77777777" w:rsidR="00E86361" w:rsidRPr="00154FB3" w:rsidRDefault="00E86361" w:rsidP="00564EF8">
            <w:pPr>
              <w:spacing w:line="240" w:lineRule="auto"/>
              <w:jc w:val="center"/>
            </w:pPr>
            <w:r w:rsidRPr="00154FB3">
              <w:t>1.167</w:t>
            </w:r>
          </w:p>
        </w:tc>
      </w:tr>
      <w:tr w:rsidR="00E86361" w:rsidRPr="00154FB3" w14:paraId="0A8B9203" w14:textId="77777777" w:rsidTr="00564EF8">
        <w:trPr>
          <w:trHeight w:val="120"/>
        </w:trPr>
        <w:tc>
          <w:tcPr>
            <w:tcW w:w="272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40D6870" w14:textId="77777777" w:rsidR="00E86361" w:rsidRPr="00154FB3" w:rsidRDefault="00E86361" w:rsidP="00564EF8">
            <w:pPr>
              <w:spacing w:line="240" w:lineRule="auto"/>
            </w:pPr>
            <w:r w:rsidRPr="00154FB3">
              <w:t>Nitrate</w:t>
            </w:r>
          </w:p>
        </w:tc>
        <w:tc>
          <w:tcPr>
            <w:tcW w:w="162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16C38DA" w14:textId="77777777" w:rsidR="00E86361" w:rsidRPr="00154FB3" w:rsidRDefault="00E86361" w:rsidP="00564EF8">
            <w:pPr>
              <w:spacing w:line="240" w:lineRule="auto"/>
              <w:jc w:val="center"/>
            </w:pPr>
          </w:p>
        </w:tc>
        <w:tc>
          <w:tcPr>
            <w:tcW w:w="144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FCDC474" w14:textId="77777777" w:rsidR="00E86361" w:rsidRPr="00154FB3" w:rsidRDefault="00E86361" w:rsidP="00564EF8">
            <w:pPr>
              <w:spacing w:line="240" w:lineRule="auto"/>
              <w:jc w:val="center"/>
            </w:pPr>
          </w:p>
        </w:tc>
        <w:tc>
          <w:tcPr>
            <w:tcW w:w="1636"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3F69E5D" w14:textId="77777777" w:rsidR="00E86361" w:rsidRPr="00154FB3" w:rsidRDefault="00E86361" w:rsidP="00564EF8">
            <w:pPr>
              <w:spacing w:line="240" w:lineRule="auto"/>
              <w:jc w:val="center"/>
            </w:pPr>
          </w:p>
        </w:tc>
        <w:tc>
          <w:tcPr>
            <w:tcW w:w="184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72611F3" w14:textId="77777777" w:rsidR="00E86361" w:rsidRPr="00154FB3" w:rsidRDefault="00E86361" w:rsidP="00564EF8">
            <w:pPr>
              <w:spacing w:line="240" w:lineRule="auto"/>
              <w:jc w:val="center"/>
            </w:pPr>
          </w:p>
        </w:tc>
      </w:tr>
      <w:tr w:rsidR="00E86361" w:rsidRPr="00154FB3" w14:paraId="4D517DCB" w14:textId="77777777" w:rsidTr="00564EF8">
        <w:trPr>
          <w:trHeight w:val="110"/>
        </w:trPr>
        <w:tc>
          <w:tcPr>
            <w:tcW w:w="27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6D44F3" w14:textId="77777777" w:rsidR="00E86361" w:rsidRPr="00154FB3" w:rsidRDefault="00E86361" w:rsidP="00564EF8">
            <w:pPr>
              <w:spacing w:line="240" w:lineRule="auto"/>
            </w:pPr>
            <w:r w:rsidRPr="00154FB3">
              <w:t xml:space="preserve">low tide PRE </w:t>
            </w:r>
          </w:p>
        </w:tc>
        <w:tc>
          <w:tcPr>
            <w:tcW w:w="16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FAD92C" w14:textId="77777777" w:rsidR="00E86361" w:rsidRPr="00154FB3" w:rsidRDefault="00E86361" w:rsidP="00564EF8">
            <w:pPr>
              <w:spacing w:line="240" w:lineRule="auto"/>
              <w:jc w:val="center"/>
            </w:pPr>
            <w:r w:rsidRPr="00154FB3">
              <w:t>-</w:t>
            </w:r>
          </w:p>
        </w:tc>
        <w:tc>
          <w:tcPr>
            <w:tcW w:w="1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6A3DFC" w14:textId="77777777" w:rsidR="00E86361" w:rsidRPr="00154FB3" w:rsidRDefault="00E86361" w:rsidP="00564EF8">
            <w:pPr>
              <w:spacing w:line="240" w:lineRule="auto"/>
              <w:jc w:val="center"/>
            </w:pPr>
            <w:r w:rsidRPr="00154FB3">
              <w:t>66.65</w:t>
            </w:r>
          </w:p>
        </w:tc>
        <w:tc>
          <w:tcPr>
            <w:tcW w:w="1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D8AD96" w14:textId="77777777" w:rsidR="00E86361" w:rsidRPr="00154FB3" w:rsidRDefault="00E86361" w:rsidP="00564EF8">
            <w:pPr>
              <w:spacing w:line="240" w:lineRule="auto"/>
              <w:jc w:val="center"/>
            </w:pPr>
            <w:r w:rsidRPr="00154FB3">
              <w:t>80.74</w:t>
            </w:r>
          </w:p>
        </w:tc>
        <w:tc>
          <w:tcPr>
            <w:tcW w:w="1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82072" w14:textId="77777777" w:rsidR="00E86361" w:rsidRPr="00154FB3" w:rsidRDefault="00E86361" w:rsidP="00564EF8">
            <w:pPr>
              <w:spacing w:line="240" w:lineRule="auto"/>
              <w:jc w:val="center"/>
            </w:pPr>
            <w:r w:rsidRPr="00154FB3">
              <w:t>-</w:t>
            </w:r>
          </w:p>
        </w:tc>
      </w:tr>
      <w:tr w:rsidR="00E86361" w:rsidRPr="00154FB3" w14:paraId="3010F19B" w14:textId="77777777" w:rsidTr="00564EF8">
        <w:trPr>
          <w:trHeight w:val="120"/>
        </w:trPr>
        <w:tc>
          <w:tcPr>
            <w:tcW w:w="272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A53C06B" w14:textId="77777777" w:rsidR="00E86361" w:rsidRPr="00154FB3" w:rsidRDefault="00E86361" w:rsidP="00564EF8">
            <w:pPr>
              <w:spacing w:line="240" w:lineRule="auto"/>
            </w:pPr>
            <w:r w:rsidRPr="00154FB3">
              <w:t xml:space="preserve">high tide PRE </w:t>
            </w:r>
          </w:p>
        </w:tc>
        <w:tc>
          <w:tcPr>
            <w:tcW w:w="16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A09A363" w14:textId="77777777" w:rsidR="00E86361" w:rsidRPr="00154FB3" w:rsidRDefault="00E86361" w:rsidP="00564EF8">
            <w:pPr>
              <w:spacing w:line="240" w:lineRule="auto"/>
              <w:jc w:val="center"/>
            </w:pPr>
            <w:r w:rsidRPr="00154FB3">
              <w:t>45.59a</w:t>
            </w:r>
          </w:p>
        </w:tc>
        <w:tc>
          <w:tcPr>
            <w:tcW w:w="144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ECDD0A0" w14:textId="77777777" w:rsidR="00E86361" w:rsidRPr="00154FB3" w:rsidRDefault="00E86361" w:rsidP="00564EF8">
            <w:pPr>
              <w:spacing w:line="240" w:lineRule="auto"/>
              <w:jc w:val="center"/>
            </w:pPr>
            <w:r w:rsidRPr="00154FB3">
              <w:t>53.07</w:t>
            </w:r>
          </w:p>
        </w:tc>
        <w:tc>
          <w:tcPr>
            <w:tcW w:w="163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8C964CA" w14:textId="77777777" w:rsidR="00E86361" w:rsidRPr="00154FB3" w:rsidRDefault="00E86361" w:rsidP="00564EF8">
            <w:pPr>
              <w:spacing w:line="240" w:lineRule="auto"/>
              <w:jc w:val="center"/>
            </w:pPr>
            <w:r w:rsidRPr="00154FB3">
              <w:t>87.75a</w:t>
            </w:r>
          </w:p>
        </w:tc>
        <w:tc>
          <w:tcPr>
            <w:tcW w:w="184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12C6AFB" w14:textId="77777777" w:rsidR="00E86361" w:rsidRPr="00154FB3" w:rsidRDefault="00E86361" w:rsidP="00564EF8">
            <w:pPr>
              <w:spacing w:line="240" w:lineRule="auto"/>
              <w:jc w:val="center"/>
            </w:pPr>
            <w:r w:rsidRPr="00154FB3">
              <w:t>6.134</w:t>
            </w:r>
          </w:p>
        </w:tc>
      </w:tr>
    </w:tbl>
    <w:p w14:paraId="151199A8" w14:textId="77777777" w:rsidR="00E86361" w:rsidRPr="00154FB3" w:rsidRDefault="00E86361" w:rsidP="00E86361">
      <w:pPr>
        <w:spacing w:line="240" w:lineRule="auto"/>
        <w:jc w:val="both"/>
        <w:rPr>
          <w:sz w:val="20"/>
          <w:szCs w:val="20"/>
        </w:rPr>
      </w:pPr>
      <w:r w:rsidRPr="00154FB3">
        <w:rPr>
          <w:sz w:val="20"/>
          <w:szCs w:val="20"/>
        </w:rPr>
        <w:t>- : data cannot be determined due to fluctuation of the nutrient concentration; PRE= Pinang River estuary;</w:t>
      </w:r>
      <w:r w:rsidRPr="00154FB3">
        <w:t xml:space="preserve"> </w:t>
      </w:r>
      <w:r w:rsidRPr="00154FB3">
        <w:rPr>
          <w:sz w:val="20"/>
          <w:szCs w:val="20"/>
        </w:rPr>
        <w:t>The values presented are means of three replicates; Means were compared using the Mann-Whitney U test; differences were not significant for groups with the same letter</w:t>
      </w:r>
    </w:p>
    <w:p w14:paraId="5F408D68" w14:textId="77777777" w:rsidR="00000766" w:rsidRPr="00154FB3" w:rsidRDefault="00000766" w:rsidP="00000766">
      <w:pPr>
        <w:spacing w:line="240" w:lineRule="auto"/>
        <w:jc w:val="both"/>
        <w:rPr>
          <w:sz w:val="20"/>
          <w:szCs w:val="20"/>
        </w:rPr>
      </w:pPr>
    </w:p>
    <w:p w14:paraId="4A7DC4A5" w14:textId="77777777" w:rsidR="000C5679" w:rsidRPr="00154FB3" w:rsidRDefault="000C5679">
      <w:pPr>
        <w:spacing w:line="240" w:lineRule="auto"/>
        <w:rPr>
          <w:sz w:val="20"/>
          <w:szCs w:val="20"/>
        </w:rPr>
      </w:pPr>
    </w:p>
    <w:p w14:paraId="55EDBD11" w14:textId="77777777" w:rsidR="000C5679" w:rsidRPr="00154FB3" w:rsidRDefault="000C5679">
      <w:pPr>
        <w:spacing w:line="240" w:lineRule="auto"/>
      </w:pPr>
      <w:r w:rsidRPr="00154FB3">
        <w:br w:type="page"/>
      </w:r>
    </w:p>
    <w:p w14:paraId="1C7B07D3" w14:textId="213AD9BA" w:rsidR="000C5679" w:rsidRPr="00154FB3" w:rsidRDefault="000C5679" w:rsidP="00E86361">
      <w:pPr>
        <w:pStyle w:val="NoSpacing"/>
        <w:rPr>
          <w:rFonts w:ascii="Times New Roman" w:hAnsi="Times New Roman" w:cs="Times New Roman"/>
          <w:sz w:val="24"/>
          <w:szCs w:val="24"/>
        </w:rPr>
      </w:pPr>
      <w:r w:rsidRPr="00154FB3">
        <w:rPr>
          <w:rFonts w:ascii="Times New Roman" w:hAnsi="Times New Roman" w:cs="Times New Roman"/>
          <w:sz w:val="24"/>
          <w:szCs w:val="24"/>
        </w:rPr>
        <w:lastRenderedPageBreak/>
        <w:t xml:space="preserve">Table 4: Nitrogen and </w:t>
      </w:r>
      <w:r w:rsidR="00292741" w:rsidRPr="00154FB3">
        <w:rPr>
          <w:rFonts w:ascii="Times New Roman" w:hAnsi="Times New Roman" w:cs="Times New Roman"/>
          <w:sz w:val="24"/>
          <w:szCs w:val="24"/>
        </w:rPr>
        <w:t>p</w:t>
      </w:r>
      <w:r w:rsidRPr="00154FB3">
        <w:rPr>
          <w:rFonts w:ascii="Times New Roman" w:hAnsi="Times New Roman" w:cs="Times New Roman"/>
          <w:sz w:val="24"/>
          <w:szCs w:val="24"/>
        </w:rPr>
        <w:t xml:space="preserve">hosphorus removal by </w:t>
      </w:r>
      <w:r w:rsidR="00292741" w:rsidRPr="00154FB3">
        <w:rPr>
          <w:rFonts w:ascii="Times New Roman" w:hAnsi="Times New Roman" w:cs="Times New Roman"/>
          <w:sz w:val="24"/>
          <w:szCs w:val="24"/>
        </w:rPr>
        <w:t>different c</w:t>
      </w:r>
      <w:r w:rsidRPr="00154FB3">
        <w:rPr>
          <w:rFonts w:ascii="Times New Roman" w:hAnsi="Times New Roman" w:cs="Times New Roman"/>
          <w:sz w:val="24"/>
          <w:szCs w:val="24"/>
        </w:rPr>
        <w:t xml:space="preserve">hlorophyte </w:t>
      </w:r>
      <w:r w:rsidR="00292741" w:rsidRPr="00154FB3">
        <w:rPr>
          <w:rFonts w:ascii="Times New Roman" w:hAnsi="Times New Roman" w:cs="Times New Roman"/>
          <w:sz w:val="24"/>
          <w:szCs w:val="24"/>
        </w:rPr>
        <w:t>taxa</w:t>
      </w:r>
      <w:r w:rsidRPr="00154FB3">
        <w:rPr>
          <w:rFonts w:ascii="Times New Roman" w:hAnsi="Times New Roman" w:cs="Times New Roman"/>
          <w:sz w:val="24"/>
          <w:szCs w:val="24"/>
        </w:rPr>
        <w:t xml:space="preserve">. </w:t>
      </w:r>
    </w:p>
    <w:tbl>
      <w:tblPr>
        <w:tblStyle w:val="TableGrid"/>
        <w:tblW w:w="9183" w:type="dxa"/>
        <w:tblLayout w:type="fixed"/>
        <w:tblLook w:val="04A0" w:firstRow="1" w:lastRow="0" w:firstColumn="1" w:lastColumn="0" w:noHBand="0" w:noVBand="1"/>
      </w:tblPr>
      <w:tblGrid>
        <w:gridCol w:w="1337"/>
        <w:gridCol w:w="1095"/>
        <w:gridCol w:w="548"/>
        <w:gridCol w:w="1233"/>
        <w:gridCol w:w="1234"/>
        <w:gridCol w:w="1095"/>
        <w:gridCol w:w="960"/>
        <w:gridCol w:w="1681"/>
      </w:tblGrid>
      <w:tr w:rsidR="000C5679" w:rsidRPr="00154FB3" w14:paraId="3DA86959" w14:textId="77777777" w:rsidTr="00437CA6">
        <w:trPr>
          <w:trHeight w:val="528"/>
        </w:trPr>
        <w:tc>
          <w:tcPr>
            <w:tcW w:w="1337" w:type="dxa"/>
            <w:vMerge w:val="restart"/>
            <w:tcBorders>
              <w:left w:val="single" w:sz="4" w:space="0" w:color="FFFFFF" w:themeColor="background1"/>
              <w:right w:val="single" w:sz="4" w:space="0" w:color="FFFFFF" w:themeColor="background1"/>
            </w:tcBorders>
          </w:tcPr>
          <w:p w14:paraId="36E7EA8B" w14:textId="77777777" w:rsidR="000C5679" w:rsidRPr="00154FB3" w:rsidRDefault="000C5679" w:rsidP="00057DDE">
            <w:pPr>
              <w:pStyle w:val="NoSpacing"/>
            </w:pPr>
            <w:r w:rsidRPr="00154FB3">
              <w:t>Types of media</w:t>
            </w:r>
          </w:p>
        </w:tc>
        <w:tc>
          <w:tcPr>
            <w:tcW w:w="1643" w:type="dxa"/>
            <w:gridSpan w:val="2"/>
            <w:vMerge w:val="restart"/>
            <w:tcBorders>
              <w:left w:val="single" w:sz="4" w:space="0" w:color="FFFFFF" w:themeColor="background1"/>
              <w:right w:val="single" w:sz="4" w:space="0" w:color="FFFFFF" w:themeColor="background1"/>
            </w:tcBorders>
          </w:tcPr>
          <w:p w14:paraId="7A1D9582" w14:textId="77777777" w:rsidR="000C5679" w:rsidRPr="00154FB3" w:rsidRDefault="000C5679" w:rsidP="00057DDE">
            <w:pPr>
              <w:pStyle w:val="NoSpacing"/>
            </w:pPr>
            <w:r w:rsidRPr="00154FB3">
              <w:t>Genus and species</w:t>
            </w:r>
          </w:p>
          <w:p w14:paraId="5BFD9336" w14:textId="77777777" w:rsidR="000C5679" w:rsidRPr="00154FB3" w:rsidRDefault="000C5679" w:rsidP="00057DDE">
            <w:pPr>
              <w:pStyle w:val="NoSpacing"/>
            </w:pPr>
          </w:p>
          <w:p w14:paraId="2A05698B" w14:textId="77777777" w:rsidR="000C5679" w:rsidRPr="00154FB3" w:rsidRDefault="000C5679" w:rsidP="00057DDE">
            <w:pPr>
              <w:pStyle w:val="NoSpacing"/>
            </w:pPr>
          </w:p>
        </w:tc>
        <w:tc>
          <w:tcPr>
            <w:tcW w:w="2467" w:type="dxa"/>
            <w:gridSpan w:val="2"/>
            <w:tcBorders>
              <w:left w:val="single" w:sz="4" w:space="0" w:color="FFFFFF" w:themeColor="background1"/>
              <w:right w:val="single" w:sz="4" w:space="0" w:color="FFFFFF" w:themeColor="background1"/>
            </w:tcBorders>
          </w:tcPr>
          <w:p w14:paraId="2CAEB4B1" w14:textId="77777777" w:rsidR="000C5679" w:rsidRPr="00154FB3" w:rsidRDefault="000C5679" w:rsidP="00057DDE">
            <w:pPr>
              <w:pStyle w:val="NoSpacing"/>
            </w:pPr>
            <w:r w:rsidRPr="00154FB3">
              <w:t>Ammonia-N/Nitrate-N/ Total Nitrogen</w:t>
            </w:r>
          </w:p>
        </w:tc>
        <w:tc>
          <w:tcPr>
            <w:tcW w:w="2055" w:type="dxa"/>
            <w:gridSpan w:val="2"/>
            <w:tcBorders>
              <w:left w:val="single" w:sz="4" w:space="0" w:color="FFFFFF" w:themeColor="background1"/>
              <w:right w:val="single" w:sz="4" w:space="0" w:color="FFFFFF" w:themeColor="background1"/>
            </w:tcBorders>
          </w:tcPr>
          <w:p w14:paraId="4556B0CF" w14:textId="77777777" w:rsidR="000C5679" w:rsidRPr="00154FB3" w:rsidRDefault="000C5679" w:rsidP="00057DDE">
            <w:pPr>
              <w:pStyle w:val="NoSpacing"/>
            </w:pPr>
            <w:r w:rsidRPr="00154FB3">
              <w:t>O-phosphate/ Total Phosphate</w:t>
            </w:r>
          </w:p>
        </w:tc>
        <w:tc>
          <w:tcPr>
            <w:tcW w:w="1681" w:type="dxa"/>
            <w:vMerge w:val="restart"/>
            <w:tcBorders>
              <w:left w:val="single" w:sz="4" w:space="0" w:color="FFFFFF" w:themeColor="background1"/>
              <w:right w:val="single" w:sz="4" w:space="0" w:color="FFFFFF" w:themeColor="background1"/>
            </w:tcBorders>
          </w:tcPr>
          <w:p w14:paraId="29C9CC1E" w14:textId="77777777" w:rsidR="000C5679" w:rsidRPr="00154FB3" w:rsidRDefault="000C5679" w:rsidP="00057DDE">
            <w:pPr>
              <w:pStyle w:val="NoSpacing"/>
            </w:pPr>
            <w:r w:rsidRPr="00154FB3">
              <w:t>References</w:t>
            </w:r>
          </w:p>
        </w:tc>
      </w:tr>
      <w:tr w:rsidR="00437CA6" w:rsidRPr="00154FB3" w14:paraId="55C9DBD8" w14:textId="77777777" w:rsidTr="00437CA6">
        <w:trPr>
          <w:trHeight w:val="891"/>
        </w:trPr>
        <w:tc>
          <w:tcPr>
            <w:tcW w:w="1337" w:type="dxa"/>
            <w:vMerge/>
            <w:tcBorders>
              <w:left w:val="single" w:sz="4" w:space="0" w:color="FFFFFF" w:themeColor="background1"/>
              <w:right w:val="single" w:sz="4" w:space="0" w:color="FFFFFF" w:themeColor="background1"/>
            </w:tcBorders>
          </w:tcPr>
          <w:p w14:paraId="00DE5BFE" w14:textId="77777777" w:rsidR="000C5679" w:rsidRPr="00154FB3" w:rsidRDefault="000C5679" w:rsidP="00057DDE">
            <w:pPr>
              <w:pStyle w:val="NoSpacing"/>
            </w:pPr>
          </w:p>
        </w:tc>
        <w:tc>
          <w:tcPr>
            <w:tcW w:w="1643" w:type="dxa"/>
            <w:gridSpan w:val="2"/>
            <w:vMerge/>
            <w:tcBorders>
              <w:left w:val="single" w:sz="4" w:space="0" w:color="FFFFFF" w:themeColor="background1"/>
              <w:right w:val="single" w:sz="4" w:space="0" w:color="FFFFFF" w:themeColor="background1"/>
            </w:tcBorders>
          </w:tcPr>
          <w:p w14:paraId="6D7BDEE3" w14:textId="77777777" w:rsidR="000C5679" w:rsidRPr="00154FB3" w:rsidRDefault="000C5679" w:rsidP="00057DDE">
            <w:pPr>
              <w:pStyle w:val="NoSpacing"/>
            </w:pPr>
          </w:p>
        </w:tc>
        <w:tc>
          <w:tcPr>
            <w:tcW w:w="1233" w:type="dxa"/>
            <w:tcBorders>
              <w:left w:val="single" w:sz="4" w:space="0" w:color="FFFFFF" w:themeColor="background1"/>
              <w:right w:val="single" w:sz="4" w:space="0" w:color="FFFFFF" w:themeColor="background1"/>
            </w:tcBorders>
          </w:tcPr>
          <w:p w14:paraId="44228C79" w14:textId="77777777" w:rsidR="000C5679" w:rsidRPr="00154FB3" w:rsidRDefault="000C5679" w:rsidP="00057DDE">
            <w:pPr>
              <w:pStyle w:val="NoSpacing"/>
            </w:pPr>
            <w:r w:rsidRPr="00154FB3">
              <w:t>Initial conc. (mg L</w:t>
            </w:r>
            <w:r w:rsidRPr="00154FB3">
              <w:rPr>
                <w:vertAlign w:val="superscript"/>
              </w:rPr>
              <w:t>-1</w:t>
            </w:r>
            <w:r w:rsidRPr="00154FB3">
              <w:t>)</w:t>
            </w:r>
          </w:p>
        </w:tc>
        <w:tc>
          <w:tcPr>
            <w:tcW w:w="1234" w:type="dxa"/>
            <w:tcBorders>
              <w:left w:val="single" w:sz="4" w:space="0" w:color="FFFFFF" w:themeColor="background1"/>
              <w:right w:val="single" w:sz="4" w:space="0" w:color="FFFFFF" w:themeColor="background1"/>
            </w:tcBorders>
          </w:tcPr>
          <w:p w14:paraId="7C73D372" w14:textId="77777777" w:rsidR="000C5679" w:rsidRPr="00154FB3" w:rsidRDefault="000C5679" w:rsidP="00057DDE">
            <w:pPr>
              <w:pStyle w:val="NoSpacing"/>
            </w:pPr>
            <w:r w:rsidRPr="00154FB3">
              <w:t xml:space="preserve">Removal efficiency </w:t>
            </w:r>
          </w:p>
        </w:tc>
        <w:tc>
          <w:tcPr>
            <w:tcW w:w="1095" w:type="dxa"/>
            <w:tcBorders>
              <w:left w:val="single" w:sz="4" w:space="0" w:color="FFFFFF" w:themeColor="background1"/>
              <w:right w:val="single" w:sz="4" w:space="0" w:color="FFFFFF" w:themeColor="background1"/>
            </w:tcBorders>
          </w:tcPr>
          <w:p w14:paraId="0283C649" w14:textId="77777777" w:rsidR="000C5679" w:rsidRPr="00154FB3" w:rsidRDefault="000C5679" w:rsidP="00057DDE">
            <w:pPr>
              <w:pStyle w:val="NoSpacing"/>
            </w:pPr>
            <w:r w:rsidRPr="00154FB3">
              <w:t>Initial conc. (mg L</w:t>
            </w:r>
            <w:r w:rsidRPr="00154FB3">
              <w:rPr>
                <w:vertAlign w:val="superscript"/>
              </w:rPr>
              <w:t>-1</w:t>
            </w:r>
            <w:r w:rsidRPr="00154FB3">
              <w:t>)</w:t>
            </w:r>
          </w:p>
        </w:tc>
        <w:tc>
          <w:tcPr>
            <w:tcW w:w="959" w:type="dxa"/>
            <w:tcBorders>
              <w:left w:val="single" w:sz="4" w:space="0" w:color="FFFFFF" w:themeColor="background1"/>
              <w:right w:val="single" w:sz="4" w:space="0" w:color="FFFFFF" w:themeColor="background1"/>
            </w:tcBorders>
          </w:tcPr>
          <w:p w14:paraId="145A9A64" w14:textId="77777777" w:rsidR="000C5679" w:rsidRPr="00154FB3" w:rsidRDefault="000C5679" w:rsidP="00057DDE">
            <w:pPr>
              <w:pStyle w:val="NoSpacing"/>
            </w:pPr>
            <w:r w:rsidRPr="00154FB3">
              <w:t>Removal efficiency (%)</w:t>
            </w:r>
          </w:p>
        </w:tc>
        <w:tc>
          <w:tcPr>
            <w:tcW w:w="1681" w:type="dxa"/>
            <w:vMerge/>
            <w:tcBorders>
              <w:left w:val="single" w:sz="4" w:space="0" w:color="FFFFFF" w:themeColor="background1"/>
              <w:right w:val="single" w:sz="4" w:space="0" w:color="FFFFFF" w:themeColor="background1"/>
            </w:tcBorders>
          </w:tcPr>
          <w:p w14:paraId="72E1A6D3" w14:textId="77777777" w:rsidR="000C5679" w:rsidRPr="00154FB3" w:rsidRDefault="000C5679" w:rsidP="00057DDE">
            <w:pPr>
              <w:pStyle w:val="NoSpacing"/>
            </w:pPr>
          </w:p>
        </w:tc>
      </w:tr>
      <w:tr w:rsidR="00437CA6" w:rsidRPr="00154FB3" w14:paraId="75CB405B" w14:textId="77777777" w:rsidTr="00437CA6">
        <w:trPr>
          <w:trHeight w:val="109"/>
        </w:trPr>
        <w:tc>
          <w:tcPr>
            <w:tcW w:w="1337" w:type="dxa"/>
            <w:vMerge w:val="restart"/>
            <w:tcBorders>
              <w:left w:val="single" w:sz="4" w:space="0" w:color="FFFFFF" w:themeColor="background1"/>
              <w:right w:val="single" w:sz="4" w:space="0" w:color="FFFFFF" w:themeColor="background1"/>
            </w:tcBorders>
          </w:tcPr>
          <w:p w14:paraId="3C03DC97" w14:textId="77777777" w:rsidR="000C5679" w:rsidRPr="00154FB3" w:rsidRDefault="000C5679" w:rsidP="00057DDE">
            <w:pPr>
              <w:pStyle w:val="NoSpacing"/>
            </w:pPr>
            <w:r w:rsidRPr="00154FB3">
              <w:t>Artificial medium</w:t>
            </w:r>
          </w:p>
        </w:tc>
        <w:tc>
          <w:tcPr>
            <w:tcW w:w="1095" w:type="dxa"/>
            <w:vMerge w:val="restart"/>
            <w:tcBorders>
              <w:left w:val="single" w:sz="4" w:space="0" w:color="FFFFFF" w:themeColor="background1"/>
              <w:right w:val="single" w:sz="4" w:space="0" w:color="FFFFFF" w:themeColor="background1"/>
            </w:tcBorders>
          </w:tcPr>
          <w:p w14:paraId="7B324EA4" w14:textId="77777777" w:rsidR="000C5679" w:rsidRPr="00154FB3" w:rsidRDefault="000C5679" w:rsidP="00057DDE">
            <w:pPr>
              <w:pStyle w:val="NoSpacing"/>
              <w:rPr>
                <w:i/>
              </w:rPr>
            </w:pPr>
            <w:r w:rsidRPr="00154FB3">
              <w:rPr>
                <w:i/>
              </w:rPr>
              <w:t>C.kessleri</w:t>
            </w:r>
          </w:p>
        </w:tc>
        <w:tc>
          <w:tcPr>
            <w:tcW w:w="547" w:type="dxa"/>
            <w:tcBorders>
              <w:left w:val="single" w:sz="4" w:space="0" w:color="FFFFFF" w:themeColor="background1"/>
              <w:right w:val="single" w:sz="4" w:space="0" w:color="FFFFFF" w:themeColor="background1"/>
            </w:tcBorders>
          </w:tcPr>
          <w:p w14:paraId="53FFD5D9" w14:textId="77777777" w:rsidR="000C5679" w:rsidRPr="00154FB3" w:rsidRDefault="000C5679" w:rsidP="00057DDE">
            <w:pPr>
              <w:pStyle w:val="NoSpacing"/>
            </w:pPr>
            <w:r w:rsidRPr="00154FB3">
              <w:t>f</w:t>
            </w:r>
          </w:p>
        </w:tc>
        <w:tc>
          <w:tcPr>
            <w:tcW w:w="1233" w:type="dxa"/>
            <w:tcBorders>
              <w:left w:val="single" w:sz="4" w:space="0" w:color="FFFFFF" w:themeColor="background1"/>
              <w:right w:val="single" w:sz="4" w:space="0" w:color="FFFFFF" w:themeColor="background1"/>
            </w:tcBorders>
          </w:tcPr>
          <w:p w14:paraId="18BBD1CE" w14:textId="77777777" w:rsidR="000C5679" w:rsidRPr="00154FB3" w:rsidRDefault="000C5679" w:rsidP="00057DDE">
            <w:pPr>
              <w:pStyle w:val="NoSpacing"/>
            </w:pPr>
            <w:r w:rsidRPr="00154FB3">
              <w:t>168</w:t>
            </w:r>
          </w:p>
        </w:tc>
        <w:tc>
          <w:tcPr>
            <w:tcW w:w="1234" w:type="dxa"/>
            <w:tcBorders>
              <w:left w:val="single" w:sz="4" w:space="0" w:color="FFFFFF" w:themeColor="background1"/>
              <w:right w:val="single" w:sz="4" w:space="0" w:color="FFFFFF" w:themeColor="background1"/>
            </w:tcBorders>
          </w:tcPr>
          <w:p w14:paraId="786C9BDB" w14:textId="77777777" w:rsidR="000C5679" w:rsidRPr="00154FB3" w:rsidRDefault="000C5679" w:rsidP="00057DDE">
            <w:pPr>
              <w:pStyle w:val="NoSpacing"/>
            </w:pPr>
            <w:r w:rsidRPr="00154FB3">
              <w:t>8-19</w:t>
            </w:r>
          </w:p>
        </w:tc>
        <w:tc>
          <w:tcPr>
            <w:tcW w:w="1095" w:type="dxa"/>
            <w:tcBorders>
              <w:left w:val="single" w:sz="4" w:space="0" w:color="FFFFFF" w:themeColor="background1"/>
              <w:right w:val="single" w:sz="4" w:space="0" w:color="FFFFFF" w:themeColor="background1"/>
            </w:tcBorders>
          </w:tcPr>
          <w:p w14:paraId="79A42075" w14:textId="77777777" w:rsidR="000C5679" w:rsidRPr="00154FB3" w:rsidRDefault="000C5679" w:rsidP="00057DDE">
            <w:pPr>
              <w:pStyle w:val="NoSpacing"/>
            </w:pPr>
            <w:r w:rsidRPr="00154FB3">
              <w:t>10-12</w:t>
            </w:r>
          </w:p>
        </w:tc>
        <w:tc>
          <w:tcPr>
            <w:tcW w:w="959" w:type="dxa"/>
            <w:tcBorders>
              <w:left w:val="single" w:sz="4" w:space="0" w:color="FFFFFF" w:themeColor="background1"/>
              <w:right w:val="single" w:sz="4" w:space="0" w:color="FFFFFF" w:themeColor="background1"/>
            </w:tcBorders>
          </w:tcPr>
          <w:p w14:paraId="287E2B1B" w14:textId="77777777" w:rsidR="000C5679" w:rsidRPr="00154FB3" w:rsidRDefault="000C5679" w:rsidP="00057DDE">
            <w:pPr>
              <w:pStyle w:val="NoSpacing"/>
            </w:pPr>
            <w:r w:rsidRPr="00154FB3">
              <w:t>8-20</w:t>
            </w:r>
          </w:p>
        </w:tc>
        <w:tc>
          <w:tcPr>
            <w:tcW w:w="1681" w:type="dxa"/>
            <w:vMerge w:val="restart"/>
            <w:tcBorders>
              <w:left w:val="single" w:sz="4" w:space="0" w:color="FFFFFF" w:themeColor="background1"/>
              <w:right w:val="single" w:sz="4" w:space="0" w:color="FFFFFF" w:themeColor="background1"/>
            </w:tcBorders>
          </w:tcPr>
          <w:p w14:paraId="0B48755E" w14:textId="77777777" w:rsidR="000C5679" w:rsidRPr="00154FB3" w:rsidRDefault="000C5679" w:rsidP="00057DDE">
            <w:pPr>
              <w:pStyle w:val="NoSpacing"/>
            </w:pPr>
            <w:bookmarkStart w:id="0" w:name="_Hlk480201845"/>
            <w:r w:rsidRPr="00154FB3">
              <w:t>Lee &amp; Lee, 2001</w:t>
            </w:r>
            <w:bookmarkEnd w:id="0"/>
          </w:p>
        </w:tc>
      </w:tr>
      <w:tr w:rsidR="00437CA6" w:rsidRPr="00154FB3" w14:paraId="4E000498" w14:textId="77777777" w:rsidTr="00437CA6">
        <w:trPr>
          <w:trHeight w:val="148"/>
        </w:trPr>
        <w:tc>
          <w:tcPr>
            <w:tcW w:w="1337" w:type="dxa"/>
            <w:vMerge/>
            <w:tcBorders>
              <w:left w:val="single" w:sz="4" w:space="0" w:color="FFFFFF" w:themeColor="background1"/>
              <w:right w:val="single" w:sz="4" w:space="0" w:color="FFFFFF" w:themeColor="background1"/>
            </w:tcBorders>
          </w:tcPr>
          <w:p w14:paraId="1170DF85" w14:textId="77777777" w:rsidR="000C5679" w:rsidRPr="00154FB3" w:rsidRDefault="000C5679" w:rsidP="00057DDE">
            <w:pPr>
              <w:pStyle w:val="NoSpacing"/>
            </w:pPr>
          </w:p>
        </w:tc>
        <w:tc>
          <w:tcPr>
            <w:tcW w:w="1095" w:type="dxa"/>
            <w:vMerge/>
            <w:tcBorders>
              <w:left w:val="single" w:sz="4" w:space="0" w:color="FFFFFF" w:themeColor="background1"/>
              <w:right w:val="single" w:sz="4" w:space="0" w:color="FFFFFF" w:themeColor="background1"/>
            </w:tcBorders>
          </w:tcPr>
          <w:p w14:paraId="323B998E" w14:textId="77777777" w:rsidR="000C5679" w:rsidRPr="00154FB3" w:rsidRDefault="000C5679" w:rsidP="00057DDE">
            <w:pPr>
              <w:pStyle w:val="NoSpacing"/>
              <w:rPr>
                <w:i/>
              </w:rPr>
            </w:pPr>
          </w:p>
        </w:tc>
        <w:tc>
          <w:tcPr>
            <w:tcW w:w="547" w:type="dxa"/>
            <w:tcBorders>
              <w:left w:val="single" w:sz="4" w:space="0" w:color="FFFFFF" w:themeColor="background1"/>
              <w:right w:val="single" w:sz="4" w:space="0" w:color="FFFFFF" w:themeColor="background1"/>
            </w:tcBorders>
          </w:tcPr>
          <w:p w14:paraId="337EA4D1" w14:textId="77777777" w:rsidR="000C5679" w:rsidRPr="00154FB3" w:rsidRDefault="000C5679" w:rsidP="00057DDE">
            <w:pPr>
              <w:pStyle w:val="NoSpacing"/>
            </w:pPr>
            <w:r w:rsidRPr="00154FB3">
              <w:t>i</w:t>
            </w:r>
          </w:p>
        </w:tc>
        <w:tc>
          <w:tcPr>
            <w:tcW w:w="1233" w:type="dxa"/>
            <w:tcBorders>
              <w:left w:val="single" w:sz="4" w:space="0" w:color="FFFFFF" w:themeColor="background1"/>
              <w:right w:val="single" w:sz="4" w:space="0" w:color="FFFFFF" w:themeColor="background1"/>
            </w:tcBorders>
          </w:tcPr>
          <w:p w14:paraId="1C85C3AA" w14:textId="77777777" w:rsidR="000C5679" w:rsidRPr="00154FB3" w:rsidRDefault="000C5679" w:rsidP="00057DDE">
            <w:pPr>
              <w:pStyle w:val="NoSpacing"/>
            </w:pPr>
            <w:r w:rsidRPr="00154FB3">
              <w:t>-</w:t>
            </w:r>
          </w:p>
        </w:tc>
        <w:tc>
          <w:tcPr>
            <w:tcW w:w="1234" w:type="dxa"/>
            <w:tcBorders>
              <w:left w:val="single" w:sz="4" w:space="0" w:color="FFFFFF" w:themeColor="background1"/>
              <w:right w:val="single" w:sz="4" w:space="0" w:color="FFFFFF" w:themeColor="background1"/>
            </w:tcBorders>
          </w:tcPr>
          <w:p w14:paraId="52B00D26" w14:textId="77777777" w:rsidR="000C5679" w:rsidRPr="00154FB3" w:rsidRDefault="000C5679" w:rsidP="00057DDE">
            <w:pPr>
              <w:pStyle w:val="NoSpacing"/>
            </w:pPr>
            <w:r w:rsidRPr="00154FB3">
              <w:t>-</w:t>
            </w:r>
          </w:p>
        </w:tc>
        <w:tc>
          <w:tcPr>
            <w:tcW w:w="1095" w:type="dxa"/>
            <w:tcBorders>
              <w:left w:val="single" w:sz="4" w:space="0" w:color="FFFFFF" w:themeColor="background1"/>
              <w:right w:val="single" w:sz="4" w:space="0" w:color="FFFFFF" w:themeColor="background1"/>
            </w:tcBorders>
          </w:tcPr>
          <w:p w14:paraId="46F55414" w14:textId="77777777" w:rsidR="000C5679" w:rsidRPr="00154FB3" w:rsidRDefault="000C5679" w:rsidP="00057DDE">
            <w:pPr>
              <w:pStyle w:val="NoSpacing"/>
            </w:pPr>
            <w:r w:rsidRPr="00154FB3">
              <w:t>-</w:t>
            </w:r>
          </w:p>
        </w:tc>
        <w:tc>
          <w:tcPr>
            <w:tcW w:w="959" w:type="dxa"/>
            <w:tcBorders>
              <w:left w:val="single" w:sz="4" w:space="0" w:color="FFFFFF" w:themeColor="background1"/>
              <w:right w:val="single" w:sz="4" w:space="0" w:color="FFFFFF" w:themeColor="background1"/>
            </w:tcBorders>
          </w:tcPr>
          <w:p w14:paraId="4CA764F9" w14:textId="77777777" w:rsidR="000C5679" w:rsidRPr="00154FB3" w:rsidRDefault="000C5679" w:rsidP="00057DDE">
            <w:pPr>
              <w:pStyle w:val="NoSpacing"/>
            </w:pPr>
            <w:r w:rsidRPr="00154FB3">
              <w:t>-</w:t>
            </w:r>
          </w:p>
        </w:tc>
        <w:tc>
          <w:tcPr>
            <w:tcW w:w="1681" w:type="dxa"/>
            <w:vMerge/>
            <w:tcBorders>
              <w:left w:val="single" w:sz="4" w:space="0" w:color="FFFFFF" w:themeColor="background1"/>
              <w:right w:val="single" w:sz="4" w:space="0" w:color="FFFFFF" w:themeColor="background1"/>
            </w:tcBorders>
          </w:tcPr>
          <w:p w14:paraId="4CD978E7" w14:textId="77777777" w:rsidR="000C5679" w:rsidRPr="00154FB3" w:rsidRDefault="000C5679" w:rsidP="00057DDE">
            <w:pPr>
              <w:pStyle w:val="NoSpacing"/>
            </w:pPr>
          </w:p>
        </w:tc>
      </w:tr>
      <w:tr w:rsidR="00437CA6" w:rsidRPr="00154FB3" w14:paraId="264072E8" w14:textId="77777777" w:rsidTr="00437CA6">
        <w:trPr>
          <w:trHeight w:val="118"/>
        </w:trPr>
        <w:tc>
          <w:tcPr>
            <w:tcW w:w="1337" w:type="dxa"/>
            <w:vMerge w:val="restart"/>
            <w:tcBorders>
              <w:left w:val="single" w:sz="4" w:space="0" w:color="FFFFFF" w:themeColor="background1"/>
              <w:right w:val="single" w:sz="4" w:space="0" w:color="FFFFFF" w:themeColor="background1"/>
            </w:tcBorders>
          </w:tcPr>
          <w:p w14:paraId="71BD0A6A" w14:textId="77777777" w:rsidR="000C5679" w:rsidRPr="00154FB3" w:rsidRDefault="000C5679" w:rsidP="00057DDE">
            <w:pPr>
              <w:pStyle w:val="NoSpacing"/>
            </w:pPr>
            <w:r w:rsidRPr="00154FB3">
              <w:t>Industrial wastewater</w:t>
            </w:r>
          </w:p>
        </w:tc>
        <w:tc>
          <w:tcPr>
            <w:tcW w:w="1095" w:type="dxa"/>
            <w:vMerge w:val="restart"/>
            <w:tcBorders>
              <w:left w:val="single" w:sz="4" w:space="0" w:color="FFFFFF" w:themeColor="background1"/>
              <w:right w:val="single" w:sz="4" w:space="0" w:color="FFFFFF" w:themeColor="background1"/>
            </w:tcBorders>
          </w:tcPr>
          <w:p w14:paraId="7C45847B" w14:textId="77777777" w:rsidR="000C5679" w:rsidRPr="00154FB3" w:rsidRDefault="000C5679" w:rsidP="00057DDE">
            <w:pPr>
              <w:pStyle w:val="NoSpacing"/>
              <w:rPr>
                <w:i/>
              </w:rPr>
            </w:pPr>
            <w:r w:rsidRPr="00154FB3">
              <w:rPr>
                <w:i/>
              </w:rPr>
              <w:t>C.pyrenoidosa</w:t>
            </w:r>
          </w:p>
        </w:tc>
        <w:tc>
          <w:tcPr>
            <w:tcW w:w="547" w:type="dxa"/>
            <w:tcBorders>
              <w:left w:val="single" w:sz="4" w:space="0" w:color="FFFFFF" w:themeColor="background1"/>
              <w:right w:val="single" w:sz="4" w:space="0" w:color="FFFFFF" w:themeColor="background1"/>
            </w:tcBorders>
          </w:tcPr>
          <w:p w14:paraId="11F86C2E" w14:textId="77777777" w:rsidR="000C5679" w:rsidRPr="00154FB3" w:rsidRDefault="000C5679" w:rsidP="00057DDE">
            <w:pPr>
              <w:pStyle w:val="NoSpacing"/>
            </w:pPr>
            <w:r w:rsidRPr="00154FB3">
              <w:t>f</w:t>
            </w:r>
          </w:p>
        </w:tc>
        <w:tc>
          <w:tcPr>
            <w:tcW w:w="1233" w:type="dxa"/>
            <w:tcBorders>
              <w:left w:val="single" w:sz="4" w:space="0" w:color="FFFFFF" w:themeColor="background1"/>
              <w:right w:val="single" w:sz="4" w:space="0" w:color="FFFFFF" w:themeColor="background1"/>
            </w:tcBorders>
          </w:tcPr>
          <w:p w14:paraId="025AE02E" w14:textId="77777777" w:rsidR="000C5679" w:rsidRPr="00154FB3" w:rsidRDefault="000C5679" w:rsidP="00057DDE">
            <w:pPr>
              <w:pStyle w:val="NoSpacing"/>
            </w:pPr>
            <w:r w:rsidRPr="00154FB3">
              <w:t>267</w:t>
            </w:r>
          </w:p>
        </w:tc>
        <w:tc>
          <w:tcPr>
            <w:tcW w:w="1234" w:type="dxa"/>
            <w:tcBorders>
              <w:left w:val="single" w:sz="4" w:space="0" w:color="FFFFFF" w:themeColor="background1"/>
              <w:right w:val="single" w:sz="4" w:space="0" w:color="FFFFFF" w:themeColor="background1"/>
            </w:tcBorders>
          </w:tcPr>
          <w:p w14:paraId="7356F26A" w14:textId="77777777" w:rsidR="000C5679" w:rsidRPr="00154FB3" w:rsidRDefault="000C5679" w:rsidP="00057DDE">
            <w:pPr>
              <w:pStyle w:val="NoSpacing"/>
            </w:pPr>
            <w:r w:rsidRPr="00154FB3">
              <w:t>87-89</w:t>
            </w:r>
          </w:p>
        </w:tc>
        <w:tc>
          <w:tcPr>
            <w:tcW w:w="1095" w:type="dxa"/>
            <w:tcBorders>
              <w:left w:val="single" w:sz="4" w:space="0" w:color="FFFFFF" w:themeColor="background1"/>
              <w:right w:val="single" w:sz="4" w:space="0" w:color="FFFFFF" w:themeColor="background1"/>
            </w:tcBorders>
          </w:tcPr>
          <w:p w14:paraId="699EC511" w14:textId="77777777" w:rsidR="000C5679" w:rsidRPr="00154FB3" w:rsidRDefault="000C5679" w:rsidP="00057DDE">
            <w:pPr>
              <w:pStyle w:val="NoSpacing"/>
            </w:pPr>
            <w:r w:rsidRPr="00154FB3">
              <w:t>56</w:t>
            </w:r>
          </w:p>
        </w:tc>
        <w:tc>
          <w:tcPr>
            <w:tcW w:w="959" w:type="dxa"/>
            <w:tcBorders>
              <w:left w:val="single" w:sz="4" w:space="0" w:color="FFFFFF" w:themeColor="background1"/>
              <w:right w:val="single" w:sz="4" w:space="0" w:color="FFFFFF" w:themeColor="background1"/>
            </w:tcBorders>
          </w:tcPr>
          <w:p w14:paraId="0AFB17FD" w14:textId="77777777" w:rsidR="000C5679" w:rsidRPr="00154FB3" w:rsidRDefault="000C5679" w:rsidP="00057DDE">
            <w:pPr>
              <w:pStyle w:val="NoSpacing"/>
            </w:pPr>
            <w:r w:rsidRPr="00154FB3">
              <w:t>70</w:t>
            </w:r>
          </w:p>
        </w:tc>
        <w:tc>
          <w:tcPr>
            <w:tcW w:w="1681" w:type="dxa"/>
            <w:vMerge w:val="restart"/>
            <w:tcBorders>
              <w:left w:val="single" w:sz="4" w:space="0" w:color="FFFFFF" w:themeColor="background1"/>
              <w:right w:val="single" w:sz="4" w:space="0" w:color="FFFFFF" w:themeColor="background1"/>
            </w:tcBorders>
          </w:tcPr>
          <w:p w14:paraId="5DD3ED38" w14:textId="77777777" w:rsidR="000C5679" w:rsidRPr="00154FB3" w:rsidRDefault="000C5679" w:rsidP="00057DDE">
            <w:pPr>
              <w:pStyle w:val="NoSpacing"/>
            </w:pPr>
            <w:bookmarkStart w:id="1" w:name="_Hlk480201859"/>
            <w:r w:rsidRPr="00154FB3">
              <w:t>Hongyang et al. 2011</w:t>
            </w:r>
            <w:bookmarkEnd w:id="1"/>
          </w:p>
        </w:tc>
      </w:tr>
      <w:tr w:rsidR="00437CA6" w:rsidRPr="00154FB3" w14:paraId="7C3F5699" w14:textId="77777777" w:rsidTr="00437CA6">
        <w:trPr>
          <w:trHeight w:val="148"/>
        </w:trPr>
        <w:tc>
          <w:tcPr>
            <w:tcW w:w="1337" w:type="dxa"/>
            <w:vMerge/>
            <w:tcBorders>
              <w:left w:val="single" w:sz="4" w:space="0" w:color="FFFFFF" w:themeColor="background1"/>
              <w:right w:val="single" w:sz="4" w:space="0" w:color="FFFFFF" w:themeColor="background1"/>
            </w:tcBorders>
          </w:tcPr>
          <w:p w14:paraId="118507E6" w14:textId="77777777" w:rsidR="000C5679" w:rsidRPr="00154FB3" w:rsidRDefault="000C5679" w:rsidP="00057DDE">
            <w:pPr>
              <w:pStyle w:val="NoSpacing"/>
            </w:pPr>
          </w:p>
        </w:tc>
        <w:tc>
          <w:tcPr>
            <w:tcW w:w="1095" w:type="dxa"/>
            <w:vMerge/>
            <w:tcBorders>
              <w:left w:val="single" w:sz="4" w:space="0" w:color="FFFFFF" w:themeColor="background1"/>
              <w:right w:val="single" w:sz="4" w:space="0" w:color="FFFFFF" w:themeColor="background1"/>
            </w:tcBorders>
          </w:tcPr>
          <w:p w14:paraId="378CBF53" w14:textId="77777777" w:rsidR="000C5679" w:rsidRPr="00154FB3" w:rsidRDefault="000C5679" w:rsidP="00057DDE">
            <w:pPr>
              <w:pStyle w:val="NoSpacing"/>
              <w:rPr>
                <w:i/>
              </w:rPr>
            </w:pPr>
          </w:p>
        </w:tc>
        <w:tc>
          <w:tcPr>
            <w:tcW w:w="547" w:type="dxa"/>
            <w:tcBorders>
              <w:left w:val="single" w:sz="4" w:space="0" w:color="FFFFFF" w:themeColor="background1"/>
              <w:right w:val="single" w:sz="4" w:space="0" w:color="FFFFFF" w:themeColor="background1"/>
            </w:tcBorders>
          </w:tcPr>
          <w:p w14:paraId="2D94928B" w14:textId="77777777" w:rsidR="000C5679" w:rsidRPr="00154FB3" w:rsidRDefault="000C5679" w:rsidP="00057DDE">
            <w:pPr>
              <w:pStyle w:val="NoSpacing"/>
            </w:pPr>
            <w:r w:rsidRPr="00154FB3">
              <w:t>i</w:t>
            </w:r>
          </w:p>
        </w:tc>
        <w:tc>
          <w:tcPr>
            <w:tcW w:w="1233" w:type="dxa"/>
            <w:tcBorders>
              <w:left w:val="single" w:sz="4" w:space="0" w:color="FFFFFF" w:themeColor="background1"/>
              <w:right w:val="single" w:sz="4" w:space="0" w:color="FFFFFF" w:themeColor="background1"/>
            </w:tcBorders>
          </w:tcPr>
          <w:p w14:paraId="37C6AB99" w14:textId="77777777" w:rsidR="000C5679" w:rsidRPr="00154FB3" w:rsidRDefault="000C5679" w:rsidP="00057DDE">
            <w:pPr>
              <w:pStyle w:val="NoSpacing"/>
            </w:pPr>
            <w:r w:rsidRPr="00154FB3">
              <w:t>-</w:t>
            </w:r>
          </w:p>
        </w:tc>
        <w:tc>
          <w:tcPr>
            <w:tcW w:w="1234" w:type="dxa"/>
            <w:tcBorders>
              <w:left w:val="single" w:sz="4" w:space="0" w:color="FFFFFF" w:themeColor="background1"/>
              <w:right w:val="single" w:sz="4" w:space="0" w:color="FFFFFF" w:themeColor="background1"/>
            </w:tcBorders>
          </w:tcPr>
          <w:p w14:paraId="5BB1E2E6" w14:textId="77777777" w:rsidR="000C5679" w:rsidRPr="00154FB3" w:rsidRDefault="000C5679" w:rsidP="00057DDE">
            <w:pPr>
              <w:pStyle w:val="NoSpacing"/>
            </w:pPr>
            <w:r w:rsidRPr="00154FB3">
              <w:t>-</w:t>
            </w:r>
          </w:p>
        </w:tc>
        <w:tc>
          <w:tcPr>
            <w:tcW w:w="1095" w:type="dxa"/>
            <w:tcBorders>
              <w:left w:val="single" w:sz="4" w:space="0" w:color="FFFFFF" w:themeColor="background1"/>
              <w:right w:val="single" w:sz="4" w:space="0" w:color="FFFFFF" w:themeColor="background1"/>
            </w:tcBorders>
          </w:tcPr>
          <w:p w14:paraId="525A74FC" w14:textId="77777777" w:rsidR="000C5679" w:rsidRPr="00154FB3" w:rsidRDefault="000C5679" w:rsidP="00057DDE">
            <w:pPr>
              <w:pStyle w:val="NoSpacing"/>
            </w:pPr>
            <w:r w:rsidRPr="00154FB3">
              <w:t>-</w:t>
            </w:r>
          </w:p>
        </w:tc>
        <w:tc>
          <w:tcPr>
            <w:tcW w:w="959" w:type="dxa"/>
            <w:tcBorders>
              <w:left w:val="single" w:sz="4" w:space="0" w:color="FFFFFF" w:themeColor="background1"/>
              <w:right w:val="single" w:sz="4" w:space="0" w:color="FFFFFF" w:themeColor="background1"/>
            </w:tcBorders>
          </w:tcPr>
          <w:p w14:paraId="7346C2CF" w14:textId="77777777" w:rsidR="000C5679" w:rsidRPr="00154FB3" w:rsidRDefault="000C5679" w:rsidP="00057DDE">
            <w:pPr>
              <w:pStyle w:val="NoSpacing"/>
            </w:pPr>
            <w:r w:rsidRPr="00154FB3">
              <w:t>-</w:t>
            </w:r>
          </w:p>
        </w:tc>
        <w:tc>
          <w:tcPr>
            <w:tcW w:w="1681" w:type="dxa"/>
            <w:vMerge/>
            <w:tcBorders>
              <w:left w:val="single" w:sz="4" w:space="0" w:color="FFFFFF" w:themeColor="background1"/>
              <w:right w:val="single" w:sz="4" w:space="0" w:color="FFFFFF" w:themeColor="background1"/>
            </w:tcBorders>
          </w:tcPr>
          <w:p w14:paraId="7CAC622D" w14:textId="77777777" w:rsidR="000C5679" w:rsidRPr="00154FB3" w:rsidRDefault="000C5679" w:rsidP="00057DDE">
            <w:pPr>
              <w:pStyle w:val="NoSpacing"/>
            </w:pPr>
          </w:p>
        </w:tc>
      </w:tr>
      <w:tr w:rsidR="00437CA6" w:rsidRPr="00154FB3" w14:paraId="582CCF1F" w14:textId="77777777" w:rsidTr="00437CA6">
        <w:trPr>
          <w:trHeight w:val="133"/>
        </w:trPr>
        <w:tc>
          <w:tcPr>
            <w:tcW w:w="1337" w:type="dxa"/>
            <w:vMerge w:val="restart"/>
            <w:tcBorders>
              <w:left w:val="single" w:sz="4" w:space="0" w:color="FFFFFF" w:themeColor="background1"/>
              <w:right w:val="single" w:sz="4" w:space="0" w:color="FFFFFF" w:themeColor="background1"/>
            </w:tcBorders>
          </w:tcPr>
          <w:p w14:paraId="24EA2E55" w14:textId="77777777" w:rsidR="000C5679" w:rsidRPr="00154FB3" w:rsidRDefault="000C5679" w:rsidP="00057DDE">
            <w:pPr>
              <w:pStyle w:val="NoSpacing"/>
            </w:pPr>
            <w:bookmarkStart w:id="2" w:name="_Hlk480201876"/>
            <w:r w:rsidRPr="00154FB3">
              <w:t>Municipal wastewater</w:t>
            </w:r>
          </w:p>
        </w:tc>
        <w:tc>
          <w:tcPr>
            <w:tcW w:w="1095" w:type="dxa"/>
            <w:vMerge w:val="restart"/>
            <w:tcBorders>
              <w:left w:val="single" w:sz="4" w:space="0" w:color="FFFFFF" w:themeColor="background1"/>
              <w:right w:val="single" w:sz="4" w:space="0" w:color="FFFFFF" w:themeColor="background1"/>
            </w:tcBorders>
          </w:tcPr>
          <w:p w14:paraId="47004B5E" w14:textId="77777777" w:rsidR="000C5679" w:rsidRPr="00154FB3" w:rsidRDefault="000C5679" w:rsidP="00057DDE">
            <w:pPr>
              <w:pStyle w:val="NoSpacing"/>
              <w:rPr>
                <w:i/>
              </w:rPr>
            </w:pPr>
            <w:r w:rsidRPr="00154FB3">
              <w:rPr>
                <w:i/>
              </w:rPr>
              <w:t>C. sorokiniana</w:t>
            </w:r>
          </w:p>
        </w:tc>
        <w:tc>
          <w:tcPr>
            <w:tcW w:w="547" w:type="dxa"/>
            <w:tcBorders>
              <w:left w:val="single" w:sz="4" w:space="0" w:color="FFFFFF" w:themeColor="background1"/>
              <w:right w:val="single" w:sz="4" w:space="0" w:color="FFFFFF" w:themeColor="background1"/>
            </w:tcBorders>
          </w:tcPr>
          <w:p w14:paraId="715842D7" w14:textId="77777777" w:rsidR="000C5679" w:rsidRPr="00154FB3" w:rsidRDefault="000C5679" w:rsidP="00057DDE">
            <w:pPr>
              <w:pStyle w:val="NoSpacing"/>
            </w:pPr>
            <w:r w:rsidRPr="00154FB3">
              <w:t>f</w:t>
            </w:r>
          </w:p>
        </w:tc>
        <w:tc>
          <w:tcPr>
            <w:tcW w:w="1233" w:type="dxa"/>
            <w:tcBorders>
              <w:left w:val="single" w:sz="4" w:space="0" w:color="FFFFFF" w:themeColor="background1"/>
              <w:right w:val="single" w:sz="4" w:space="0" w:color="FFFFFF" w:themeColor="background1"/>
            </w:tcBorders>
          </w:tcPr>
          <w:p w14:paraId="62092F4F" w14:textId="77777777" w:rsidR="000C5679" w:rsidRPr="00154FB3" w:rsidRDefault="000C5679" w:rsidP="00057DDE">
            <w:pPr>
              <w:pStyle w:val="NoSpacing"/>
            </w:pPr>
            <w:r w:rsidRPr="00154FB3">
              <w:t>-</w:t>
            </w:r>
          </w:p>
        </w:tc>
        <w:tc>
          <w:tcPr>
            <w:tcW w:w="1234" w:type="dxa"/>
            <w:tcBorders>
              <w:left w:val="single" w:sz="4" w:space="0" w:color="FFFFFF" w:themeColor="background1"/>
              <w:right w:val="single" w:sz="4" w:space="0" w:color="FFFFFF" w:themeColor="background1"/>
            </w:tcBorders>
          </w:tcPr>
          <w:p w14:paraId="1568D79F" w14:textId="77777777" w:rsidR="000C5679" w:rsidRPr="00154FB3" w:rsidRDefault="000C5679" w:rsidP="00057DDE">
            <w:pPr>
              <w:pStyle w:val="NoSpacing"/>
            </w:pPr>
            <w:r w:rsidRPr="00154FB3">
              <w:t>-</w:t>
            </w:r>
          </w:p>
        </w:tc>
        <w:tc>
          <w:tcPr>
            <w:tcW w:w="1095" w:type="dxa"/>
            <w:tcBorders>
              <w:left w:val="single" w:sz="4" w:space="0" w:color="FFFFFF" w:themeColor="background1"/>
              <w:right w:val="single" w:sz="4" w:space="0" w:color="FFFFFF" w:themeColor="background1"/>
            </w:tcBorders>
          </w:tcPr>
          <w:p w14:paraId="7224B425" w14:textId="77777777" w:rsidR="000C5679" w:rsidRPr="00154FB3" w:rsidRDefault="000C5679" w:rsidP="00057DDE">
            <w:pPr>
              <w:pStyle w:val="NoSpacing"/>
            </w:pPr>
            <w:r w:rsidRPr="00154FB3">
              <w:t>22-45</w:t>
            </w:r>
          </w:p>
        </w:tc>
        <w:tc>
          <w:tcPr>
            <w:tcW w:w="959" w:type="dxa"/>
            <w:tcBorders>
              <w:left w:val="single" w:sz="4" w:space="0" w:color="FFFFFF" w:themeColor="background1"/>
              <w:right w:val="single" w:sz="4" w:space="0" w:color="FFFFFF" w:themeColor="background1"/>
            </w:tcBorders>
          </w:tcPr>
          <w:p w14:paraId="051FD0ED" w14:textId="77777777" w:rsidR="000C5679" w:rsidRPr="00154FB3" w:rsidRDefault="000C5679" w:rsidP="00057DDE">
            <w:pPr>
              <w:pStyle w:val="NoSpacing"/>
            </w:pPr>
            <w:r w:rsidRPr="00154FB3">
              <w:t>45-72</w:t>
            </w:r>
          </w:p>
        </w:tc>
        <w:tc>
          <w:tcPr>
            <w:tcW w:w="1681" w:type="dxa"/>
            <w:vMerge w:val="restart"/>
            <w:tcBorders>
              <w:left w:val="single" w:sz="4" w:space="0" w:color="FFFFFF" w:themeColor="background1"/>
              <w:right w:val="single" w:sz="4" w:space="0" w:color="FFFFFF" w:themeColor="background1"/>
            </w:tcBorders>
          </w:tcPr>
          <w:p w14:paraId="309ED3B7" w14:textId="77777777" w:rsidR="000C5679" w:rsidRPr="00154FB3" w:rsidRDefault="000C5679" w:rsidP="00057DDE">
            <w:pPr>
              <w:pStyle w:val="NoSpacing"/>
            </w:pPr>
            <w:r w:rsidRPr="00154FB3">
              <w:t>Hernandez et al. 2006</w:t>
            </w:r>
          </w:p>
        </w:tc>
      </w:tr>
      <w:bookmarkEnd w:id="2"/>
      <w:tr w:rsidR="00437CA6" w:rsidRPr="00154FB3" w14:paraId="67FA021F" w14:textId="77777777" w:rsidTr="00437CA6">
        <w:trPr>
          <w:trHeight w:val="124"/>
        </w:trPr>
        <w:tc>
          <w:tcPr>
            <w:tcW w:w="1337" w:type="dxa"/>
            <w:vMerge/>
            <w:tcBorders>
              <w:left w:val="single" w:sz="4" w:space="0" w:color="FFFFFF" w:themeColor="background1"/>
              <w:right w:val="single" w:sz="4" w:space="0" w:color="FFFFFF" w:themeColor="background1"/>
            </w:tcBorders>
          </w:tcPr>
          <w:p w14:paraId="4A12C894" w14:textId="77777777" w:rsidR="000C5679" w:rsidRPr="00154FB3" w:rsidRDefault="000C5679" w:rsidP="00057DDE">
            <w:pPr>
              <w:pStyle w:val="NoSpacing"/>
            </w:pPr>
          </w:p>
        </w:tc>
        <w:tc>
          <w:tcPr>
            <w:tcW w:w="1095" w:type="dxa"/>
            <w:vMerge/>
            <w:tcBorders>
              <w:left w:val="single" w:sz="4" w:space="0" w:color="FFFFFF" w:themeColor="background1"/>
              <w:right w:val="single" w:sz="4" w:space="0" w:color="FFFFFF" w:themeColor="background1"/>
            </w:tcBorders>
          </w:tcPr>
          <w:p w14:paraId="4DA5BA52" w14:textId="77777777" w:rsidR="000C5679" w:rsidRPr="00154FB3" w:rsidRDefault="000C5679" w:rsidP="00057DDE">
            <w:pPr>
              <w:pStyle w:val="NoSpacing"/>
              <w:rPr>
                <w:i/>
              </w:rPr>
            </w:pPr>
          </w:p>
        </w:tc>
        <w:tc>
          <w:tcPr>
            <w:tcW w:w="547" w:type="dxa"/>
            <w:tcBorders>
              <w:left w:val="single" w:sz="4" w:space="0" w:color="FFFFFF" w:themeColor="background1"/>
              <w:right w:val="single" w:sz="4" w:space="0" w:color="FFFFFF" w:themeColor="background1"/>
            </w:tcBorders>
          </w:tcPr>
          <w:p w14:paraId="69E9AC7C" w14:textId="77777777" w:rsidR="000C5679" w:rsidRPr="00154FB3" w:rsidRDefault="000C5679" w:rsidP="00057DDE">
            <w:pPr>
              <w:pStyle w:val="NoSpacing"/>
            </w:pPr>
            <w:r w:rsidRPr="00154FB3">
              <w:t>i</w:t>
            </w:r>
          </w:p>
        </w:tc>
        <w:tc>
          <w:tcPr>
            <w:tcW w:w="1233" w:type="dxa"/>
            <w:tcBorders>
              <w:left w:val="single" w:sz="4" w:space="0" w:color="FFFFFF" w:themeColor="background1"/>
              <w:right w:val="single" w:sz="4" w:space="0" w:color="FFFFFF" w:themeColor="background1"/>
            </w:tcBorders>
          </w:tcPr>
          <w:p w14:paraId="448B02F0" w14:textId="77777777" w:rsidR="000C5679" w:rsidRPr="00154FB3" w:rsidRDefault="000C5679" w:rsidP="00057DDE">
            <w:pPr>
              <w:pStyle w:val="NoSpacing"/>
            </w:pPr>
            <w:r w:rsidRPr="00154FB3">
              <w:t>-</w:t>
            </w:r>
          </w:p>
        </w:tc>
        <w:tc>
          <w:tcPr>
            <w:tcW w:w="1234" w:type="dxa"/>
            <w:tcBorders>
              <w:left w:val="single" w:sz="4" w:space="0" w:color="FFFFFF" w:themeColor="background1"/>
              <w:right w:val="single" w:sz="4" w:space="0" w:color="FFFFFF" w:themeColor="background1"/>
            </w:tcBorders>
          </w:tcPr>
          <w:p w14:paraId="23FC8EA0" w14:textId="77777777" w:rsidR="000C5679" w:rsidRPr="00154FB3" w:rsidRDefault="000C5679" w:rsidP="00057DDE">
            <w:pPr>
              <w:pStyle w:val="NoSpacing"/>
            </w:pPr>
            <w:r w:rsidRPr="00154FB3">
              <w:t>-</w:t>
            </w:r>
          </w:p>
        </w:tc>
        <w:tc>
          <w:tcPr>
            <w:tcW w:w="1095" w:type="dxa"/>
            <w:tcBorders>
              <w:left w:val="single" w:sz="4" w:space="0" w:color="FFFFFF" w:themeColor="background1"/>
              <w:right w:val="single" w:sz="4" w:space="0" w:color="FFFFFF" w:themeColor="background1"/>
            </w:tcBorders>
          </w:tcPr>
          <w:p w14:paraId="2AF85702" w14:textId="77777777" w:rsidR="000C5679" w:rsidRPr="00154FB3" w:rsidRDefault="000C5679" w:rsidP="00057DDE">
            <w:pPr>
              <w:pStyle w:val="NoSpacing"/>
            </w:pPr>
            <w:r w:rsidRPr="00154FB3">
              <w:t>22-45</w:t>
            </w:r>
          </w:p>
        </w:tc>
        <w:tc>
          <w:tcPr>
            <w:tcW w:w="959" w:type="dxa"/>
            <w:tcBorders>
              <w:left w:val="single" w:sz="4" w:space="0" w:color="FFFFFF" w:themeColor="background1"/>
              <w:right w:val="single" w:sz="4" w:space="0" w:color="FFFFFF" w:themeColor="background1"/>
            </w:tcBorders>
          </w:tcPr>
          <w:p w14:paraId="142EBB20" w14:textId="77777777" w:rsidR="000C5679" w:rsidRPr="00154FB3" w:rsidRDefault="000C5679" w:rsidP="00057DDE">
            <w:pPr>
              <w:pStyle w:val="NoSpacing"/>
            </w:pPr>
            <w:r w:rsidRPr="00154FB3">
              <w:t>71-93</w:t>
            </w:r>
          </w:p>
        </w:tc>
        <w:tc>
          <w:tcPr>
            <w:tcW w:w="1681" w:type="dxa"/>
            <w:vMerge/>
            <w:tcBorders>
              <w:left w:val="single" w:sz="4" w:space="0" w:color="FFFFFF" w:themeColor="background1"/>
              <w:right w:val="single" w:sz="4" w:space="0" w:color="FFFFFF" w:themeColor="background1"/>
            </w:tcBorders>
          </w:tcPr>
          <w:p w14:paraId="5FCD7478" w14:textId="77777777" w:rsidR="000C5679" w:rsidRPr="00154FB3" w:rsidRDefault="000C5679" w:rsidP="00057DDE">
            <w:pPr>
              <w:pStyle w:val="NoSpacing"/>
            </w:pPr>
          </w:p>
        </w:tc>
      </w:tr>
      <w:tr w:rsidR="00437CA6" w:rsidRPr="00154FB3" w14:paraId="1BF96F2E" w14:textId="77777777" w:rsidTr="00437CA6">
        <w:trPr>
          <w:trHeight w:val="124"/>
        </w:trPr>
        <w:tc>
          <w:tcPr>
            <w:tcW w:w="1337" w:type="dxa"/>
            <w:vMerge w:val="restart"/>
            <w:tcBorders>
              <w:left w:val="single" w:sz="4" w:space="0" w:color="FFFFFF" w:themeColor="background1"/>
              <w:right w:val="single" w:sz="4" w:space="0" w:color="FFFFFF" w:themeColor="background1"/>
            </w:tcBorders>
          </w:tcPr>
          <w:p w14:paraId="7D3059FE" w14:textId="77777777" w:rsidR="000C5679" w:rsidRPr="00154FB3" w:rsidRDefault="000C5679" w:rsidP="00057DDE">
            <w:pPr>
              <w:pStyle w:val="NoSpacing"/>
            </w:pPr>
            <w:r w:rsidRPr="00154FB3">
              <w:t>Artificial medium</w:t>
            </w:r>
          </w:p>
        </w:tc>
        <w:tc>
          <w:tcPr>
            <w:tcW w:w="1095" w:type="dxa"/>
            <w:vMerge w:val="restart"/>
            <w:tcBorders>
              <w:left w:val="single" w:sz="4" w:space="0" w:color="FFFFFF" w:themeColor="background1"/>
              <w:right w:val="single" w:sz="4" w:space="0" w:color="FFFFFF" w:themeColor="background1"/>
            </w:tcBorders>
          </w:tcPr>
          <w:p w14:paraId="42F95358" w14:textId="77777777" w:rsidR="000C5679" w:rsidRPr="00154FB3" w:rsidRDefault="000C5679" w:rsidP="00057DDE">
            <w:pPr>
              <w:pStyle w:val="NoSpacing"/>
              <w:rPr>
                <w:i/>
              </w:rPr>
            </w:pPr>
            <w:r w:rsidRPr="00154FB3">
              <w:rPr>
                <w:i/>
              </w:rPr>
              <w:t>C.vulgaris</w:t>
            </w:r>
          </w:p>
        </w:tc>
        <w:tc>
          <w:tcPr>
            <w:tcW w:w="547" w:type="dxa"/>
            <w:tcBorders>
              <w:left w:val="single" w:sz="4" w:space="0" w:color="FFFFFF" w:themeColor="background1"/>
              <w:right w:val="single" w:sz="4" w:space="0" w:color="FFFFFF" w:themeColor="background1"/>
            </w:tcBorders>
          </w:tcPr>
          <w:p w14:paraId="71FF2A5C" w14:textId="77777777" w:rsidR="000C5679" w:rsidRPr="00154FB3" w:rsidRDefault="000C5679" w:rsidP="00057DDE">
            <w:pPr>
              <w:pStyle w:val="NoSpacing"/>
            </w:pPr>
            <w:r w:rsidRPr="00154FB3">
              <w:t>f</w:t>
            </w:r>
          </w:p>
        </w:tc>
        <w:tc>
          <w:tcPr>
            <w:tcW w:w="1233" w:type="dxa"/>
            <w:tcBorders>
              <w:left w:val="single" w:sz="4" w:space="0" w:color="FFFFFF" w:themeColor="background1"/>
              <w:right w:val="single" w:sz="4" w:space="0" w:color="FFFFFF" w:themeColor="background1"/>
            </w:tcBorders>
          </w:tcPr>
          <w:p w14:paraId="650911FE" w14:textId="77777777" w:rsidR="000C5679" w:rsidRPr="00154FB3" w:rsidRDefault="000C5679" w:rsidP="00057DDE">
            <w:pPr>
              <w:pStyle w:val="NoSpacing"/>
            </w:pPr>
            <w:r w:rsidRPr="00154FB3">
              <w:t>13-410</w:t>
            </w:r>
          </w:p>
        </w:tc>
        <w:tc>
          <w:tcPr>
            <w:tcW w:w="1234" w:type="dxa"/>
            <w:tcBorders>
              <w:left w:val="single" w:sz="4" w:space="0" w:color="FFFFFF" w:themeColor="background1"/>
              <w:right w:val="single" w:sz="4" w:space="0" w:color="FFFFFF" w:themeColor="background1"/>
            </w:tcBorders>
          </w:tcPr>
          <w:p w14:paraId="28041FCE" w14:textId="77777777" w:rsidR="000C5679" w:rsidRPr="00154FB3" w:rsidRDefault="000C5679" w:rsidP="00057DDE">
            <w:pPr>
              <w:pStyle w:val="NoSpacing"/>
            </w:pPr>
            <w:r w:rsidRPr="00154FB3">
              <w:t>23-100</w:t>
            </w:r>
          </w:p>
        </w:tc>
        <w:tc>
          <w:tcPr>
            <w:tcW w:w="1095" w:type="dxa"/>
            <w:tcBorders>
              <w:left w:val="single" w:sz="4" w:space="0" w:color="FFFFFF" w:themeColor="background1"/>
              <w:right w:val="single" w:sz="4" w:space="0" w:color="FFFFFF" w:themeColor="background1"/>
            </w:tcBorders>
          </w:tcPr>
          <w:p w14:paraId="4144F635" w14:textId="77777777" w:rsidR="000C5679" w:rsidRPr="00154FB3" w:rsidRDefault="000C5679" w:rsidP="00057DDE">
            <w:pPr>
              <w:pStyle w:val="NoSpacing"/>
            </w:pPr>
            <w:r w:rsidRPr="00154FB3">
              <w:t>5-8</w:t>
            </w:r>
          </w:p>
        </w:tc>
        <w:tc>
          <w:tcPr>
            <w:tcW w:w="959" w:type="dxa"/>
            <w:tcBorders>
              <w:left w:val="single" w:sz="4" w:space="0" w:color="FFFFFF" w:themeColor="background1"/>
              <w:right w:val="single" w:sz="4" w:space="0" w:color="FFFFFF" w:themeColor="background1"/>
            </w:tcBorders>
          </w:tcPr>
          <w:p w14:paraId="0DA616F7" w14:textId="77777777" w:rsidR="000C5679" w:rsidRPr="00154FB3" w:rsidRDefault="000C5679" w:rsidP="00057DDE">
            <w:pPr>
              <w:pStyle w:val="NoSpacing"/>
            </w:pPr>
            <w:r w:rsidRPr="00154FB3">
              <w:t>46-94</w:t>
            </w:r>
          </w:p>
        </w:tc>
        <w:tc>
          <w:tcPr>
            <w:tcW w:w="1681" w:type="dxa"/>
            <w:vMerge w:val="restart"/>
            <w:tcBorders>
              <w:left w:val="single" w:sz="4" w:space="0" w:color="FFFFFF" w:themeColor="background1"/>
              <w:right w:val="single" w:sz="4" w:space="0" w:color="FFFFFF" w:themeColor="background1"/>
            </w:tcBorders>
          </w:tcPr>
          <w:p w14:paraId="37CBAEB0" w14:textId="77777777" w:rsidR="000C5679" w:rsidRPr="00154FB3" w:rsidRDefault="000C5679" w:rsidP="00057DDE">
            <w:pPr>
              <w:pStyle w:val="NoSpacing"/>
            </w:pPr>
            <w:r w:rsidRPr="00154FB3">
              <w:t>Aslan &amp; Kapdan, 2006</w:t>
            </w:r>
          </w:p>
        </w:tc>
      </w:tr>
      <w:tr w:rsidR="00437CA6" w:rsidRPr="00154FB3" w14:paraId="4436AD0A" w14:textId="77777777" w:rsidTr="00437CA6">
        <w:trPr>
          <w:trHeight w:val="133"/>
        </w:trPr>
        <w:tc>
          <w:tcPr>
            <w:tcW w:w="1337" w:type="dxa"/>
            <w:vMerge/>
            <w:tcBorders>
              <w:left w:val="single" w:sz="4" w:space="0" w:color="FFFFFF" w:themeColor="background1"/>
              <w:right w:val="single" w:sz="4" w:space="0" w:color="FFFFFF" w:themeColor="background1"/>
            </w:tcBorders>
          </w:tcPr>
          <w:p w14:paraId="4B2AF800" w14:textId="77777777" w:rsidR="000C5679" w:rsidRPr="00154FB3" w:rsidRDefault="000C5679" w:rsidP="00057DDE">
            <w:pPr>
              <w:pStyle w:val="NoSpacing"/>
            </w:pPr>
          </w:p>
        </w:tc>
        <w:tc>
          <w:tcPr>
            <w:tcW w:w="1095" w:type="dxa"/>
            <w:vMerge/>
            <w:tcBorders>
              <w:left w:val="single" w:sz="4" w:space="0" w:color="FFFFFF" w:themeColor="background1"/>
              <w:right w:val="single" w:sz="4" w:space="0" w:color="FFFFFF" w:themeColor="background1"/>
            </w:tcBorders>
          </w:tcPr>
          <w:p w14:paraId="4A78EBFF" w14:textId="77777777" w:rsidR="000C5679" w:rsidRPr="00154FB3" w:rsidRDefault="000C5679" w:rsidP="00057DDE">
            <w:pPr>
              <w:pStyle w:val="NoSpacing"/>
              <w:rPr>
                <w:i/>
              </w:rPr>
            </w:pPr>
          </w:p>
        </w:tc>
        <w:tc>
          <w:tcPr>
            <w:tcW w:w="547" w:type="dxa"/>
            <w:tcBorders>
              <w:left w:val="single" w:sz="4" w:space="0" w:color="FFFFFF" w:themeColor="background1"/>
              <w:right w:val="single" w:sz="4" w:space="0" w:color="FFFFFF" w:themeColor="background1"/>
            </w:tcBorders>
          </w:tcPr>
          <w:p w14:paraId="1C0260DE" w14:textId="77777777" w:rsidR="000C5679" w:rsidRPr="00154FB3" w:rsidRDefault="000C5679" w:rsidP="00057DDE">
            <w:pPr>
              <w:pStyle w:val="NoSpacing"/>
            </w:pPr>
            <w:r w:rsidRPr="00154FB3">
              <w:t>i</w:t>
            </w:r>
          </w:p>
        </w:tc>
        <w:tc>
          <w:tcPr>
            <w:tcW w:w="1233" w:type="dxa"/>
            <w:tcBorders>
              <w:left w:val="single" w:sz="4" w:space="0" w:color="FFFFFF" w:themeColor="background1"/>
              <w:right w:val="single" w:sz="4" w:space="0" w:color="FFFFFF" w:themeColor="background1"/>
            </w:tcBorders>
          </w:tcPr>
          <w:p w14:paraId="224AE636" w14:textId="77777777" w:rsidR="000C5679" w:rsidRPr="00154FB3" w:rsidRDefault="000C5679" w:rsidP="00057DDE">
            <w:pPr>
              <w:pStyle w:val="NoSpacing"/>
            </w:pPr>
            <w:r w:rsidRPr="00154FB3">
              <w:t>-</w:t>
            </w:r>
          </w:p>
        </w:tc>
        <w:tc>
          <w:tcPr>
            <w:tcW w:w="1234" w:type="dxa"/>
            <w:tcBorders>
              <w:left w:val="single" w:sz="4" w:space="0" w:color="FFFFFF" w:themeColor="background1"/>
              <w:right w:val="single" w:sz="4" w:space="0" w:color="FFFFFF" w:themeColor="background1"/>
            </w:tcBorders>
          </w:tcPr>
          <w:p w14:paraId="2E6E7CFC" w14:textId="77777777" w:rsidR="000C5679" w:rsidRPr="00154FB3" w:rsidRDefault="000C5679" w:rsidP="00057DDE">
            <w:pPr>
              <w:pStyle w:val="NoSpacing"/>
            </w:pPr>
            <w:r w:rsidRPr="00154FB3">
              <w:t>-</w:t>
            </w:r>
          </w:p>
        </w:tc>
        <w:tc>
          <w:tcPr>
            <w:tcW w:w="1095" w:type="dxa"/>
            <w:tcBorders>
              <w:left w:val="single" w:sz="4" w:space="0" w:color="FFFFFF" w:themeColor="background1"/>
              <w:right w:val="single" w:sz="4" w:space="0" w:color="FFFFFF" w:themeColor="background1"/>
            </w:tcBorders>
          </w:tcPr>
          <w:p w14:paraId="5FBDA171" w14:textId="77777777" w:rsidR="000C5679" w:rsidRPr="00154FB3" w:rsidRDefault="000C5679" w:rsidP="00057DDE">
            <w:pPr>
              <w:pStyle w:val="NoSpacing"/>
            </w:pPr>
            <w:r w:rsidRPr="00154FB3">
              <w:t>-</w:t>
            </w:r>
          </w:p>
        </w:tc>
        <w:tc>
          <w:tcPr>
            <w:tcW w:w="959" w:type="dxa"/>
            <w:tcBorders>
              <w:left w:val="single" w:sz="4" w:space="0" w:color="FFFFFF" w:themeColor="background1"/>
              <w:right w:val="single" w:sz="4" w:space="0" w:color="FFFFFF" w:themeColor="background1"/>
            </w:tcBorders>
          </w:tcPr>
          <w:p w14:paraId="08E75A59" w14:textId="77777777" w:rsidR="000C5679" w:rsidRPr="00154FB3" w:rsidRDefault="000C5679" w:rsidP="00057DDE">
            <w:pPr>
              <w:pStyle w:val="NoSpacing"/>
            </w:pPr>
            <w:r w:rsidRPr="00154FB3">
              <w:t>-</w:t>
            </w:r>
          </w:p>
        </w:tc>
        <w:tc>
          <w:tcPr>
            <w:tcW w:w="1681" w:type="dxa"/>
            <w:vMerge/>
            <w:tcBorders>
              <w:left w:val="single" w:sz="4" w:space="0" w:color="FFFFFF" w:themeColor="background1"/>
              <w:right w:val="single" w:sz="4" w:space="0" w:color="FFFFFF" w:themeColor="background1"/>
            </w:tcBorders>
          </w:tcPr>
          <w:p w14:paraId="2E81CA32" w14:textId="77777777" w:rsidR="000C5679" w:rsidRPr="00154FB3" w:rsidRDefault="000C5679" w:rsidP="00057DDE">
            <w:pPr>
              <w:pStyle w:val="NoSpacing"/>
            </w:pPr>
          </w:p>
        </w:tc>
      </w:tr>
      <w:tr w:rsidR="00437CA6" w:rsidRPr="00154FB3" w14:paraId="17FDE428" w14:textId="77777777" w:rsidTr="00437CA6">
        <w:trPr>
          <w:trHeight w:val="124"/>
        </w:trPr>
        <w:tc>
          <w:tcPr>
            <w:tcW w:w="1337" w:type="dxa"/>
            <w:vMerge w:val="restart"/>
            <w:tcBorders>
              <w:left w:val="single" w:sz="4" w:space="0" w:color="FFFFFF" w:themeColor="background1"/>
              <w:right w:val="single" w:sz="4" w:space="0" w:color="FFFFFF" w:themeColor="background1"/>
            </w:tcBorders>
          </w:tcPr>
          <w:p w14:paraId="0099406A" w14:textId="77777777" w:rsidR="000C5679" w:rsidRPr="00154FB3" w:rsidRDefault="000C5679" w:rsidP="00057DDE">
            <w:pPr>
              <w:pStyle w:val="NoSpacing"/>
            </w:pPr>
            <w:r w:rsidRPr="00154FB3">
              <w:t>Agroindustrial wastewater</w:t>
            </w:r>
          </w:p>
        </w:tc>
        <w:tc>
          <w:tcPr>
            <w:tcW w:w="1095" w:type="dxa"/>
            <w:vMerge w:val="restart"/>
            <w:tcBorders>
              <w:left w:val="single" w:sz="4" w:space="0" w:color="FFFFFF" w:themeColor="background1"/>
              <w:right w:val="single" w:sz="4" w:space="0" w:color="FFFFFF" w:themeColor="background1"/>
            </w:tcBorders>
          </w:tcPr>
          <w:p w14:paraId="1248C594" w14:textId="77777777" w:rsidR="000C5679" w:rsidRPr="00154FB3" w:rsidRDefault="000C5679" w:rsidP="00057DDE">
            <w:pPr>
              <w:pStyle w:val="NoSpacing"/>
              <w:rPr>
                <w:i/>
              </w:rPr>
            </w:pPr>
            <w:r w:rsidRPr="00154FB3">
              <w:rPr>
                <w:i/>
              </w:rPr>
              <w:t>C.vulgaris</w:t>
            </w:r>
          </w:p>
        </w:tc>
        <w:tc>
          <w:tcPr>
            <w:tcW w:w="547" w:type="dxa"/>
            <w:tcBorders>
              <w:left w:val="single" w:sz="4" w:space="0" w:color="FFFFFF" w:themeColor="background1"/>
              <w:right w:val="single" w:sz="4" w:space="0" w:color="FFFFFF" w:themeColor="background1"/>
            </w:tcBorders>
          </w:tcPr>
          <w:p w14:paraId="0CD0728C" w14:textId="77777777" w:rsidR="000C5679" w:rsidRPr="00154FB3" w:rsidRDefault="000C5679" w:rsidP="00057DDE">
            <w:pPr>
              <w:pStyle w:val="NoSpacing"/>
            </w:pPr>
            <w:r w:rsidRPr="00154FB3">
              <w:t>f</w:t>
            </w:r>
          </w:p>
        </w:tc>
        <w:tc>
          <w:tcPr>
            <w:tcW w:w="1233" w:type="dxa"/>
            <w:tcBorders>
              <w:left w:val="single" w:sz="4" w:space="0" w:color="FFFFFF" w:themeColor="background1"/>
              <w:right w:val="single" w:sz="4" w:space="0" w:color="FFFFFF" w:themeColor="background1"/>
            </w:tcBorders>
          </w:tcPr>
          <w:p w14:paraId="33C7112E" w14:textId="77777777" w:rsidR="000C5679" w:rsidRPr="00154FB3" w:rsidRDefault="000C5679" w:rsidP="00057DDE">
            <w:pPr>
              <w:pStyle w:val="NoSpacing"/>
            </w:pPr>
            <w:r w:rsidRPr="00154FB3">
              <w:t>3-36</w:t>
            </w:r>
          </w:p>
        </w:tc>
        <w:tc>
          <w:tcPr>
            <w:tcW w:w="1234" w:type="dxa"/>
            <w:tcBorders>
              <w:left w:val="single" w:sz="4" w:space="0" w:color="FFFFFF" w:themeColor="background1"/>
              <w:right w:val="single" w:sz="4" w:space="0" w:color="FFFFFF" w:themeColor="background1"/>
            </w:tcBorders>
          </w:tcPr>
          <w:p w14:paraId="76EAE943" w14:textId="77777777" w:rsidR="000C5679" w:rsidRPr="00154FB3" w:rsidRDefault="000C5679" w:rsidP="00057DDE">
            <w:pPr>
              <w:pStyle w:val="NoSpacing"/>
            </w:pPr>
            <w:r w:rsidRPr="00154FB3">
              <w:t>30-95</w:t>
            </w:r>
          </w:p>
        </w:tc>
        <w:tc>
          <w:tcPr>
            <w:tcW w:w="1095" w:type="dxa"/>
            <w:tcBorders>
              <w:left w:val="single" w:sz="4" w:space="0" w:color="FFFFFF" w:themeColor="background1"/>
              <w:right w:val="single" w:sz="4" w:space="0" w:color="FFFFFF" w:themeColor="background1"/>
            </w:tcBorders>
          </w:tcPr>
          <w:p w14:paraId="2D03A5D7" w14:textId="77777777" w:rsidR="000C5679" w:rsidRPr="00154FB3" w:rsidRDefault="000C5679" w:rsidP="00057DDE">
            <w:pPr>
              <w:pStyle w:val="NoSpacing"/>
            </w:pPr>
            <w:r w:rsidRPr="00154FB3">
              <w:t>112</w:t>
            </w:r>
          </w:p>
        </w:tc>
        <w:tc>
          <w:tcPr>
            <w:tcW w:w="959" w:type="dxa"/>
            <w:tcBorders>
              <w:left w:val="single" w:sz="4" w:space="0" w:color="FFFFFF" w:themeColor="background1"/>
              <w:right w:val="single" w:sz="4" w:space="0" w:color="FFFFFF" w:themeColor="background1"/>
            </w:tcBorders>
          </w:tcPr>
          <w:p w14:paraId="7FFDF9F3" w14:textId="77777777" w:rsidR="000C5679" w:rsidRPr="00154FB3" w:rsidRDefault="000C5679" w:rsidP="00057DDE">
            <w:pPr>
              <w:pStyle w:val="NoSpacing"/>
            </w:pPr>
            <w:r w:rsidRPr="00154FB3">
              <w:t>20-55</w:t>
            </w:r>
          </w:p>
        </w:tc>
        <w:tc>
          <w:tcPr>
            <w:tcW w:w="1681" w:type="dxa"/>
            <w:vMerge w:val="restart"/>
            <w:tcBorders>
              <w:left w:val="single" w:sz="4" w:space="0" w:color="FFFFFF" w:themeColor="background1"/>
              <w:right w:val="single" w:sz="4" w:space="0" w:color="FFFFFF" w:themeColor="background1"/>
            </w:tcBorders>
          </w:tcPr>
          <w:p w14:paraId="4D6ADF1B" w14:textId="77777777" w:rsidR="000C5679" w:rsidRPr="00154FB3" w:rsidRDefault="000C5679" w:rsidP="00057DDE">
            <w:pPr>
              <w:pStyle w:val="NoSpacing"/>
            </w:pPr>
            <w:r w:rsidRPr="00154FB3">
              <w:t xml:space="preserve">Gonzalez </w:t>
            </w:r>
            <w:r w:rsidRPr="00154FB3">
              <w:rPr>
                <w:i/>
              </w:rPr>
              <w:t>et al.</w:t>
            </w:r>
            <w:r w:rsidRPr="00154FB3">
              <w:t xml:space="preserve"> 1997</w:t>
            </w:r>
          </w:p>
        </w:tc>
      </w:tr>
      <w:tr w:rsidR="00437CA6" w:rsidRPr="00154FB3" w14:paraId="113D7C39" w14:textId="77777777" w:rsidTr="00437CA6">
        <w:trPr>
          <w:trHeight w:val="133"/>
        </w:trPr>
        <w:tc>
          <w:tcPr>
            <w:tcW w:w="1337" w:type="dxa"/>
            <w:vMerge/>
            <w:tcBorders>
              <w:left w:val="single" w:sz="4" w:space="0" w:color="FFFFFF" w:themeColor="background1"/>
              <w:right w:val="single" w:sz="4" w:space="0" w:color="FFFFFF" w:themeColor="background1"/>
            </w:tcBorders>
          </w:tcPr>
          <w:p w14:paraId="022681BD" w14:textId="77777777" w:rsidR="000C5679" w:rsidRPr="00154FB3" w:rsidRDefault="000C5679" w:rsidP="00057DDE">
            <w:pPr>
              <w:pStyle w:val="NoSpacing"/>
            </w:pPr>
          </w:p>
        </w:tc>
        <w:tc>
          <w:tcPr>
            <w:tcW w:w="1095" w:type="dxa"/>
            <w:vMerge/>
            <w:tcBorders>
              <w:left w:val="single" w:sz="4" w:space="0" w:color="FFFFFF" w:themeColor="background1"/>
              <w:right w:val="single" w:sz="4" w:space="0" w:color="FFFFFF" w:themeColor="background1"/>
            </w:tcBorders>
          </w:tcPr>
          <w:p w14:paraId="1A4BF3C6" w14:textId="77777777" w:rsidR="000C5679" w:rsidRPr="00154FB3" w:rsidRDefault="000C5679" w:rsidP="00057DDE">
            <w:pPr>
              <w:pStyle w:val="NoSpacing"/>
              <w:rPr>
                <w:i/>
              </w:rPr>
            </w:pPr>
          </w:p>
        </w:tc>
        <w:tc>
          <w:tcPr>
            <w:tcW w:w="547" w:type="dxa"/>
            <w:tcBorders>
              <w:left w:val="single" w:sz="4" w:space="0" w:color="FFFFFF" w:themeColor="background1"/>
              <w:right w:val="single" w:sz="4" w:space="0" w:color="FFFFFF" w:themeColor="background1"/>
            </w:tcBorders>
          </w:tcPr>
          <w:p w14:paraId="6ED3AAAD" w14:textId="77777777" w:rsidR="000C5679" w:rsidRPr="00154FB3" w:rsidRDefault="000C5679" w:rsidP="00057DDE">
            <w:pPr>
              <w:pStyle w:val="NoSpacing"/>
            </w:pPr>
            <w:r w:rsidRPr="00154FB3">
              <w:t>i</w:t>
            </w:r>
          </w:p>
        </w:tc>
        <w:tc>
          <w:tcPr>
            <w:tcW w:w="1233" w:type="dxa"/>
            <w:tcBorders>
              <w:left w:val="single" w:sz="4" w:space="0" w:color="FFFFFF" w:themeColor="background1"/>
              <w:right w:val="single" w:sz="4" w:space="0" w:color="FFFFFF" w:themeColor="background1"/>
            </w:tcBorders>
          </w:tcPr>
          <w:p w14:paraId="4947A516" w14:textId="77777777" w:rsidR="000C5679" w:rsidRPr="00154FB3" w:rsidRDefault="000C5679" w:rsidP="00057DDE">
            <w:pPr>
              <w:pStyle w:val="NoSpacing"/>
            </w:pPr>
          </w:p>
        </w:tc>
        <w:tc>
          <w:tcPr>
            <w:tcW w:w="1234" w:type="dxa"/>
            <w:tcBorders>
              <w:left w:val="single" w:sz="4" w:space="0" w:color="FFFFFF" w:themeColor="background1"/>
              <w:right w:val="single" w:sz="4" w:space="0" w:color="FFFFFF" w:themeColor="background1"/>
            </w:tcBorders>
          </w:tcPr>
          <w:p w14:paraId="5C9508BE" w14:textId="77777777" w:rsidR="000C5679" w:rsidRPr="00154FB3" w:rsidRDefault="000C5679" w:rsidP="00057DDE">
            <w:pPr>
              <w:pStyle w:val="NoSpacing"/>
            </w:pPr>
          </w:p>
        </w:tc>
        <w:tc>
          <w:tcPr>
            <w:tcW w:w="1095" w:type="dxa"/>
            <w:tcBorders>
              <w:left w:val="single" w:sz="4" w:space="0" w:color="FFFFFF" w:themeColor="background1"/>
              <w:right w:val="single" w:sz="4" w:space="0" w:color="FFFFFF" w:themeColor="background1"/>
            </w:tcBorders>
          </w:tcPr>
          <w:p w14:paraId="5C7D535D" w14:textId="77777777" w:rsidR="000C5679" w:rsidRPr="00154FB3" w:rsidRDefault="000C5679" w:rsidP="00057DDE">
            <w:pPr>
              <w:pStyle w:val="NoSpacing"/>
            </w:pPr>
          </w:p>
        </w:tc>
        <w:tc>
          <w:tcPr>
            <w:tcW w:w="959" w:type="dxa"/>
            <w:tcBorders>
              <w:left w:val="single" w:sz="4" w:space="0" w:color="FFFFFF" w:themeColor="background1"/>
              <w:right w:val="single" w:sz="4" w:space="0" w:color="FFFFFF" w:themeColor="background1"/>
            </w:tcBorders>
          </w:tcPr>
          <w:p w14:paraId="4EF3F7AB" w14:textId="77777777" w:rsidR="000C5679" w:rsidRPr="00154FB3" w:rsidRDefault="000C5679" w:rsidP="00057DDE">
            <w:pPr>
              <w:pStyle w:val="NoSpacing"/>
            </w:pPr>
          </w:p>
        </w:tc>
        <w:tc>
          <w:tcPr>
            <w:tcW w:w="1681" w:type="dxa"/>
            <w:vMerge/>
            <w:tcBorders>
              <w:left w:val="single" w:sz="4" w:space="0" w:color="FFFFFF" w:themeColor="background1"/>
              <w:right w:val="single" w:sz="4" w:space="0" w:color="FFFFFF" w:themeColor="background1"/>
            </w:tcBorders>
          </w:tcPr>
          <w:p w14:paraId="00712FA5" w14:textId="77777777" w:rsidR="000C5679" w:rsidRPr="00154FB3" w:rsidRDefault="000C5679" w:rsidP="00057DDE">
            <w:pPr>
              <w:pStyle w:val="NoSpacing"/>
            </w:pPr>
          </w:p>
        </w:tc>
        <w:bookmarkStart w:id="3" w:name="_GoBack"/>
        <w:bookmarkEnd w:id="3"/>
      </w:tr>
      <w:tr w:rsidR="00437CA6" w:rsidRPr="00154FB3" w14:paraId="443BFA02" w14:textId="77777777" w:rsidTr="00437CA6">
        <w:trPr>
          <w:trHeight w:val="109"/>
        </w:trPr>
        <w:tc>
          <w:tcPr>
            <w:tcW w:w="1337" w:type="dxa"/>
            <w:vMerge w:val="restart"/>
            <w:tcBorders>
              <w:left w:val="single" w:sz="4" w:space="0" w:color="FFFFFF" w:themeColor="background1"/>
              <w:right w:val="single" w:sz="4" w:space="0" w:color="FFFFFF" w:themeColor="background1"/>
            </w:tcBorders>
          </w:tcPr>
          <w:p w14:paraId="7ED361C8" w14:textId="77777777" w:rsidR="000C5679" w:rsidRPr="00154FB3" w:rsidRDefault="000C5679" w:rsidP="00057DDE">
            <w:pPr>
              <w:pStyle w:val="NoSpacing"/>
            </w:pPr>
            <w:r w:rsidRPr="00154FB3">
              <w:t>Municipal wastewater</w:t>
            </w:r>
          </w:p>
        </w:tc>
        <w:tc>
          <w:tcPr>
            <w:tcW w:w="1095" w:type="dxa"/>
            <w:vMerge w:val="restart"/>
            <w:tcBorders>
              <w:left w:val="single" w:sz="4" w:space="0" w:color="FFFFFF" w:themeColor="background1"/>
              <w:right w:val="single" w:sz="4" w:space="0" w:color="FFFFFF" w:themeColor="background1"/>
            </w:tcBorders>
          </w:tcPr>
          <w:p w14:paraId="0E5B4183" w14:textId="77777777" w:rsidR="000C5679" w:rsidRPr="00154FB3" w:rsidRDefault="000C5679" w:rsidP="00057DDE">
            <w:pPr>
              <w:pStyle w:val="NoSpacing"/>
              <w:rPr>
                <w:i/>
              </w:rPr>
            </w:pPr>
            <w:r w:rsidRPr="00154FB3">
              <w:rPr>
                <w:i/>
              </w:rPr>
              <w:t>C.vulgaris</w:t>
            </w:r>
          </w:p>
        </w:tc>
        <w:tc>
          <w:tcPr>
            <w:tcW w:w="547" w:type="dxa"/>
            <w:tcBorders>
              <w:left w:val="single" w:sz="4" w:space="0" w:color="FFFFFF" w:themeColor="background1"/>
              <w:right w:val="single" w:sz="4" w:space="0" w:color="FFFFFF" w:themeColor="background1"/>
            </w:tcBorders>
          </w:tcPr>
          <w:p w14:paraId="5DED0698" w14:textId="77777777" w:rsidR="000C5679" w:rsidRPr="00154FB3" w:rsidRDefault="000C5679" w:rsidP="00057DDE">
            <w:pPr>
              <w:pStyle w:val="NoSpacing"/>
            </w:pPr>
            <w:r w:rsidRPr="00154FB3">
              <w:t>f</w:t>
            </w:r>
          </w:p>
        </w:tc>
        <w:tc>
          <w:tcPr>
            <w:tcW w:w="1233" w:type="dxa"/>
            <w:tcBorders>
              <w:left w:val="single" w:sz="4" w:space="0" w:color="FFFFFF" w:themeColor="background1"/>
              <w:right w:val="single" w:sz="4" w:space="0" w:color="FFFFFF" w:themeColor="background1"/>
            </w:tcBorders>
          </w:tcPr>
          <w:p w14:paraId="6922E469" w14:textId="77777777" w:rsidR="000C5679" w:rsidRPr="00154FB3" w:rsidRDefault="000C5679" w:rsidP="00057DDE">
            <w:pPr>
              <w:pStyle w:val="NoSpacing"/>
            </w:pPr>
            <w:r w:rsidRPr="00154FB3">
              <w:t>48-1550</w:t>
            </w:r>
          </w:p>
        </w:tc>
        <w:tc>
          <w:tcPr>
            <w:tcW w:w="1234" w:type="dxa"/>
            <w:tcBorders>
              <w:left w:val="single" w:sz="4" w:space="0" w:color="FFFFFF" w:themeColor="background1"/>
              <w:right w:val="single" w:sz="4" w:space="0" w:color="FFFFFF" w:themeColor="background1"/>
            </w:tcBorders>
          </w:tcPr>
          <w:p w14:paraId="7AA17F43" w14:textId="77777777" w:rsidR="000C5679" w:rsidRPr="00154FB3" w:rsidRDefault="000C5679" w:rsidP="00057DDE">
            <w:pPr>
              <w:pStyle w:val="NoSpacing"/>
            </w:pPr>
            <w:r w:rsidRPr="00154FB3">
              <w:t>55-88</w:t>
            </w:r>
          </w:p>
        </w:tc>
        <w:tc>
          <w:tcPr>
            <w:tcW w:w="1095" w:type="dxa"/>
            <w:tcBorders>
              <w:left w:val="single" w:sz="4" w:space="0" w:color="FFFFFF" w:themeColor="background1"/>
              <w:right w:val="single" w:sz="4" w:space="0" w:color="FFFFFF" w:themeColor="background1"/>
            </w:tcBorders>
          </w:tcPr>
          <w:p w14:paraId="209C157E" w14:textId="77777777" w:rsidR="000C5679" w:rsidRPr="00154FB3" w:rsidRDefault="000C5679" w:rsidP="00057DDE">
            <w:pPr>
              <w:pStyle w:val="NoSpacing"/>
            </w:pPr>
            <w:r w:rsidRPr="00154FB3">
              <w:t>4-42</w:t>
            </w:r>
          </w:p>
        </w:tc>
        <w:tc>
          <w:tcPr>
            <w:tcW w:w="959" w:type="dxa"/>
            <w:tcBorders>
              <w:left w:val="single" w:sz="4" w:space="0" w:color="FFFFFF" w:themeColor="background1"/>
              <w:right w:val="single" w:sz="4" w:space="0" w:color="FFFFFF" w:themeColor="background1"/>
            </w:tcBorders>
          </w:tcPr>
          <w:p w14:paraId="1EF148D5" w14:textId="77777777" w:rsidR="000C5679" w:rsidRPr="00154FB3" w:rsidRDefault="000C5679" w:rsidP="00057DDE">
            <w:pPr>
              <w:pStyle w:val="NoSpacing"/>
            </w:pPr>
            <w:r w:rsidRPr="00154FB3">
              <w:t>12-100</w:t>
            </w:r>
          </w:p>
        </w:tc>
        <w:tc>
          <w:tcPr>
            <w:tcW w:w="1681" w:type="dxa"/>
            <w:vMerge w:val="restart"/>
            <w:tcBorders>
              <w:left w:val="single" w:sz="4" w:space="0" w:color="FFFFFF" w:themeColor="background1"/>
              <w:right w:val="single" w:sz="4" w:space="0" w:color="FFFFFF" w:themeColor="background1"/>
            </w:tcBorders>
          </w:tcPr>
          <w:p w14:paraId="2983E6DA" w14:textId="77777777" w:rsidR="000C5679" w:rsidRPr="00154FB3" w:rsidRDefault="000C5679" w:rsidP="00057DDE">
            <w:pPr>
              <w:pStyle w:val="NoSpacing"/>
            </w:pPr>
            <w:r w:rsidRPr="00154FB3">
              <w:t>Khan &amp; Yoshida, 2008; Ruiz-Marin et al. 2010</w:t>
            </w:r>
          </w:p>
        </w:tc>
      </w:tr>
      <w:tr w:rsidR="00437CA6" w:rsidRPr="00154FB3" w14:paraId="7B1F3148" w14:textId="77777777" w:rsidTr="00437CA6">
        <w:trPr>
          <w:trHeight w:val="148"/>
        </w:trPr>
        <w:tc>
          <w:tcPr>
            <w:tcW w:w="1337" w:type="dxa"/>
            <w:vMerge/>
            <w:tcBorders>
              <w:left w:val="single" w:sz="4" w:space="0" w:color="FFFFFF" w:themeColor="background1"/>
              <w:right w:val="single" w:sz="4" w:space="0" w:color="FFFFFF" w:themeColor="background1"/>
            </w:tcBorders>
          </w:tcPr>
          <w:p w14:paraId="4BF2FD23" w14:textId="77777777" w:rsidR="000C5679" w:rsidRPr="00154FB3" w:rsidRDefault="000C5679" w:rsidP="00057DDE">
            <w:pPr>
              <w:pStyle w:val="NoSpacing"/>
            </w:pPr>
          </w:p>
        </w:tc>
        <w:tc>
          <w:tcPr>
            <w:tcW w:w="1095" w:type="dxa"/>
            <w:vMerge/>
            <w:tcBorders>
              <w:left w:val="single" w:sz="4" w:space="0" w:color="FFFFFF" w:themeColor="background1"/>
              <w:right w:val="single" w:sz="4" w:space="0" w:color="FFFFFF" w:themeColor="background1"/>
            </w:tcBorders>
          </w:tcPr>
          <w:p w14:paraId="43E5FC75" w14:textId="77777777" w:rsidR="000C5679" w:rsidRPr="00154FB3" w:rsidRDefault="000C5679" w:rsidP="00057DDE">
            <w:pPr>
              <w:pStyle w:val="NoSpacing"/>
              <w:rPr>
                <w:i/>
              </w:rPr>
            </w:pPr>
          </w:p>
        </w:tc>
        <w:tc>
          <w:tcPr>
            <w:tcW w:w="547" w:type="dxa"/>
            <w:tcBorders>
              <w:left w:val="single" w:sz="4" w:space="0" w:color="FFFFFF" w:themeColor="background1"/>
              <w:right w:val="single" w:sz="4" w:space="0" w:color="FFFFFF" w:themeColor="background1"/>
            </w:tcBorders>
          </w:tcPr>
          <w:p w14:paraId="6912FF0D" w14:textId="77777777" w:rsidR="000C5679" w:rsidRPr="00154FB3" w:rsidRDefault="000C5679" w:rsidP="00057DDE">
            <w:pPr>
              <w:pStyle w:val="NoSpacing"/>
            </w:pPr>
            <w:r w:rsidRPr="00154FB3">
              <w:t>i</w:t>
            </w:r>
          </w:p>
        </w:tc>
        <w:tc>
          <w:tcPr>
            <w:tcW w:w="1233" w:type="dxa"/>
            <w:tcBorders>
              <w:left w:val="single" w:sz="4" w:space="0" w:color="FFFFFF" w:themeColor="background1"/>
              <w:right w:val="single" w:sz="4" w:space="0" w:color="FFFFFF" w:themeColor="background1"/>
            </w:tcBorders>
          </w:tcPr>
          <w:p w14:paraId="18CF7ACE" w14:textId="77777777" w:rsidR="000C5679" w:rsidRPr="00154FB3" w:rsidRDefault="000C5679" w:rsidP="00057DDE">
            <w:pPr>
              <w:pStyle w:val="NoSpacing"/>
            </w:pPr>
            <w:r w:rsidRPr="00154FB3">
              <w:t>-</w:t>
            </w:r>
          </w:p>
        </w:tc>
        <w:tc>
          <w:tcPr>
            <w:tcW w:w="1234" w:type="dxa"/>
            <w:tcBorders>
              <w:left w:val="single" w:sz="4" w:space="0" w:color="FFFFFF" w:themeColor="background1"/>
              <w:right w:val="single" w:sz="4" w:space="0" w:color="FFFFFF" w:themeColor="background1"/>
            </w:tcBorders>
          </w:tcPr>
          <w:p w14:paraId="6AA6E595" w14:textId="77777777" w:rsidR="000C5679" w:rsidRPr="00154FB3" w:rsidRDefault="000C5679" w:rsidP="00057DDE">
            <w:pPr>
              <w:pStyle w:val="NoSpacing"/>
            </w:pPr>
            <w:r w:rsidRPr="00154FB3">
              <w:t>-</w:t>
            </w:r>
          </w:p>
        </w:tc>
        <w:tc>
          <w:tcPr>
            <w:tcW w:w="1095" w:type="dxa"/>
            <w:tcBorders>
              <w:left w:val="single" w:sz="4" w:space="0" w:color="FFFFFF" w:themeColor="background1"/>
              <w:right w:val="single" w:sz="4" w:space="0" w:color="FFFFFF" w:themeColor="background1"/>
            </w:tcBorders>
          </w:tcPr>
          <w:p w14:paraId="1FC2808A" w14:textId="77777777" w:rsidR="000C5679" w:rsidRPr="00154FB3" w:rsidRDefault="000C5679" w:rsidP="00057DDE">
            <w:pPr>
              <w:pStyle w:val="NoSpacing"/>
            </w:pPr>
            <w:r w:rsidRPr="00154FB3">
              <w:t>-</w:t>
            </w:r>
          </w:p>
        </w:tc>
        <w:tc>
          <w:tcPr>
            <w:tcW w:w="959" w:type="dxa"/>
            <w:tcBorders>
              <w:left w:val="single" w:sz="4" w:space="0" w:color="FFFFFF" w:themeColor="background1"/>
              <w:right w:val="single" w:sz="4" w:space="0" w:color="FFFFFF" w:themeColor="background1"/>
            </w:tcBorders>
          </w:tcPr>
          <w:p w14:paraId="03C9E7D5" w14:textId="77777777" w:rsidR="000C5679" w:rsidRPr="00154FB3" w:rsidRDefault="000C5679" w:rsidP="00057DDE">
            <w:pPr>
              <w:pStyle w:val="NoSpacing"/>
            </w:pPr>
            <w:r w:rsidRPr="00154FB3">
              <w:t>-</w:t>
            </w:r>
          </w:p>
        </w:tc>
        <w:tc>
          <w:tcPr>
            <w:tcW w:w="1681" w:type="dxa"/>
            <w:vMerge/>
            <w:tcBorders>
              <w:left w:val="single" w:sz="4" w:space="0" w:color="FFFFFF" w:themeColor="background1"/>
              <w:right w:val="single" w:sz="4" w:space="0" w:color="FFFFFF" w:themeColor="background1"/>
            </w:tcBorders>
          </w:tcPr>
          <w:p w14:paraId="73CF849B" w14:textId="77777777" w:rsidR="000C5679" w:rsidRPr="00154FB3" w:rsidRDefault="000C5679" w:rsidP="00057DDE">
            <w:pPr>
              <w:pStyle w:val="NoSpacing"/>
            </w:pPr>
          </w:p>
        </w:tc>
      </w:tr>
      <w:tr w:rsidR="00437CA6" w:rsidRPr="00154FB3" w14:paraId="550C1D96" w14:textId="77777777" w:rsidTr="00437CA6">
        <w:trPr>
          <w:trHeight w:val="148"/>
        </w:trPr>
        <w:tc>
          <w:tcPr>
            <w:tcW w:w="1337" w:type="dxa"/>
            <w:vMerge w:val="restart"/>
            <w:tcBorders>
              <w:left w:val="single" w:sz="4" w:space="0" w:color="FFFFFF" w:themeColor="background1"/>
              <w:right w:val="single" w:sz="4" w:space="0" w:color="FFFFFF" w:themeColor="background1"/>
            </w:tcBorders>
          </w:tcPr>
          <w:p w14:paraId="76B28479" w14:textId="77777777" w:rsidR="000C5679" w:rsidRPr="00154FB3" w:rsidRDefault="000C5679" w:rsidP="00057DDE">
            <w:pPr>
              <w:pStyle w:val="NoSpacing"/>
            </w:pPr>
            <w:r w:rsidRPr="00154FB3">
              <w:t>Artificial medium</w:t>
            </w:r>
          </w:p>
        </w:tc>
        <w:tc>
          <w:tcPr>
            <w:tcW w:w="1095" w:type="dxa"/>
            <w:vMerge w:val="restart"/>
            <w:tcBorders>
              <w:left w:val="single" w:sz="4" w:space="0" w:color="FFFFFF" w:themeColor="background1"/>
              <w:right w:val="single" w:sz="4" w:space="0" w:color="FFFFFF" w:themeColor="background1"/>
            </w:tcBorders>
          </w:tcPr>
          <w:p w14:paraId="399116C2" w14:textId="77777777" w:rsidR="000C5679" w:rsidRPr="00154FB3" w:rsidRDefault="000C5679" w:rsidP="00057DDE">
            <w:pPr>
              <w:pStyle w:val="NoSpacing"/>
              <w:rPr>
                <w:i/>
              </w:rPr>
            </w:pPr>
            <w:r w:rsidRPr="00154FB3">
              <w:rPr>
                <w:i/>
              </w:rPr>
              <w:t>C.reinhardtii</w:t>
            </w:r>
          </w:p>
        </w:tc>
        <w:tc>
          <w:tcPr>
            <w:tcW w:w="547" w:type="dxa"/>
            <w:tcBorders>
              <w:left w:val="single" w:sz="4" w:space="0" w:color="FFFFFF" w:themeColor="background1"/>
              <w:right w:val="single" w:sz="4" w:space="0" w:color="FFFFFF" w:themeColor="background1"/>
            </w:tcBorders>
          </w:tcPr>
          <w:p w14:paraId="0E22F39C" w14:textId="77777777" w:rsidR="000C5679" w:rsidRPr="00154FB3" w:rsidRDefault="000C5679" w:rsidP="00057DDE">
            <w:pPr>
              <w:pStyle w:val="NoSpacing"/>
            </w:pPr>
            <w:r w:rsidRPr="00154FB3">
              <w:t>f</w:t>
            </w:r>
          </w:p>
        </w:tc>
        <w:tc>
          <w:tcPr>
            <w:tcW w:w="1233" w:type="dxa"/>
            <w:tcBorders>
              <w:left w:val="single" w:sz="4" w:space="0" w:color="FFFFFF" w:themeColor="background1"/>
              <w:right w:val="single" w:sz="4" w:space="0" w:color="FFFFFF" w:themeColor="background1"/>
            </w:tcBorders>
          </w:tcPr>
          <w:p w14:paraId="6DE8670F" w14:textId="77777777" w:rsidR="000C5679" w:rsidRPr="00154FB3" w:rsidRDefault="000C5679" w:rsidP="00057DDE">
            <w:pPr>
              <w:pStyle w:val="NoSpacing"/>
            </w:pPr>
            <w:r w:rsidRPr="00154FB3">
              <w:t>129</w:t>
            </w:r>
          </w:p>
        </w:tc>
        <w:tc>
          <w:tcPr>
            <w:tcW w:w="1234" w:type="dxa"/>
            <w:tcBorders>
              <w:left w:val="single" w:sz="4" w:space="0" w:color="FFFFFF" w:themeColor="background1"/>
              <w:right w:val="single" w:sz="4" w:space="0" w:color="FFFFFF" w:themeColor="background1"/>
            </w:tcBorders>
          </w:tcPr>
          <w:p w14:paraId="07C69DEB" w14:textId="77777777" w:rsidR="000C5679" w:rsidRPr="00154FB3" w:rsidRDefault="000C5679" w:rsidP="00057DDE">
            <w:pPr>
              <w:pStyle w:val="NoSpacing"/>
            </w:pPr>
            <w:r w:rsidRPr="00154FB3">
              <w:t>42-83</w:t>
            </w:r>
          </w:p>
        </w:tc>
        <w:tc>
          <w:tcPr>
            <w:tcW w:w="1095" w:type="dxa"/>
            <w:tcBorders>
              <w:left w:val="single" w:sz="4" w:space="0" w:color="FFFFFF" w:themeColor="background1"/>
              <w:right w:val="single" w:sz="4" w:space="0" w:color="FFFFFF" w:themeColor="background1"/>
            </w:tcBorders>
          </w:tcPr>
          <w:p w14:paraId="69A4F066" w14:textId="77777777" w:rsidR="000C5679" w:rsidRPr="00154FB3" w:rsidRDefault="000C5679" w:rsidP="00057DDE">
            <w:pPr>
              <w:pStyle w:val="NoSpacing"/>
            </w:pPr>
            <w:r w:rsidRPr="00154FB3">
              <w:t>120</w:t>
            </w:r>
          </w:p>
        </w:tc>
        <w:tc>
          <w:tcPr>
            <w:tcW w:w="959" w:type="dxa"/>
            <w:tcBorders>
              <w:left w:val="single" w:sz="4" w:space="0" w:color="FFFFFF" w:themeColor="background1"/>
              <w:right w:val="single" w:sz="4" w:space="0" w:color="FFFFFF" w:themeColor="background1"/>
            </w:tcBorders>
          </w:tcPr>
          <w:p w14:paraId="77A76373" w14:textId="77777777" w:rsidR="000C5679" w:rsidRPr="00154FB3" w:rsidRDefault="000C5679" w:rsidP="00057DDE">
            <w:pPr>
              <w:pStyle w:val="NoSpacing"/>
            </w:pPr>
            <w:r w:rsidRPr="00154FB3">
              <w:t>13-14</w:t>
            </w:r>
          </w:p>
        </w:tc>
        <w:tc>
          <w:tcPr>
            <w:tcW w:w="1681" w:type="dxa"/>
            <w:vMerge w:val="restart"/>
            <w:tcBorders>
              <w:left w:val="single" w:sz="4" w:space="0" w:color="FFFFFF" w:themeColor="background1"/>
              <w:right w:val="single" w:sz="4" w:space="0" w:color="FFFFFF" w:themeColor="background1"/>
            </w:tcBorders>
          </w:tcPr>
          <w:p w14:paraId="6B9F3048" w14:textId="77777777" w:rsidR="000C5679" w:rsidRPr="00154FB3" w:rsidRDefault="000C5679" w:rsidP="00057DDE">
            <w:pPr>
              <w:pStyle w:val="NoSpacing"/>
            </w:pPr>
            <w:r w:rsidRPr="00154FB3">
              <w:t>Kong et al. 2010</w:t>
            </w:r>
          </w:p>
        </w:tc>
      </w:tr>
      <w:tr w:rsidR="00437CA6" w:rsidRPr="00154FB3" w14:paraId="095BA2D7" w14:textId="77777777" w:rsidTr="00437CA6">
        <w:trPr>
          <w:trHeight w:val="163"/>
        </w:trPr>
        <w:tc>
          <w:tcPr>
            <w:tcW w:w="1337" w:type="dxa"/>
            <w:vMerge/>
            <w:tcBorders>
              <w:left w:val="single" w:sz="4" w:space="0" w:color="FFFFFF" w:themeColor="background1"/>
              <w:right w:val="single" w:sz="4" w:space="0" w:color="FFFFFF" w:themeColor="background1"/>
            </w:tcBorders>
          </w:tcPr>
          <w:p w14:paraId="4CD7DED4" w14:textId="77777777" w:rsidR="000C5679" w:rsidRPr="00154FB3" w:rsidRDefault="000C5679" w:rsidP="00057DDE">
            <w:pPr>
              <w:pStyle w:val="NoSpacing"/>
            </w:pPr>
          </w:p>
        </w:tc>
        <w:tc>
          <w:tcPr>
            <w:tcW w:w="1095" w:type="dxa"/>
            <w:vMerge/>
            <w:tcBorders>
              <w:left w:val="single" w:sz="4" w:space="0" w:color="FFFFFF" w:themeColor="background1"/>
              <w:right w:val="single" w:sz="4" w:space="0" w:color="FFFFFF" w:themeColor="background1"/>
            </w:tcBorders>
          </w:tcPr>
          <w:p w14:paraId="108C54F8" w14:textId="77777777" w:rsidR="000C5679" w:rsidRPr="00154FB3" w:rsidRDefault="000C5679" w:rsidP="00057DDE">
            <w:pPr>
              <w:pStyle w:val="NoSpacing"/>
              <w:rPr>
                <w:i/>
              </w:rPr>
            </w:pPr>
          </w:p>
        </w:tc>
        <w:tc>
          <w:tcPr>
            <w:tcW w:w="547" w:type="dxa"/>
            <w:tcBorders>
              <w:left w:val="single" w:sz="4" w:space="0" w:color="FFFFFF" w:themeColor="background1"/>
              <w:right w:val="single" w:sz="4" w:space="0" w:color="FFFFFF" w:themeColor="background1"/>
            </w:tcBorders>
          </w:tcPr>
          <w:p w14:paraId="72A45B6C" w14:textId="77777777" w:rsidR="000C5679" w:rsidRPr="00154FB3" w:rsidRDefault="000C5679" w:rsidP="00057DDE">
            <w:pPr>
              <w:pStyle w:val="NoSpacing"/>
            </w:pPr>
            <w:r w:rsidRPr="00154FB3">
              <w:t>i</w:t>
            </w:r>
          </w:p>
        </w:tc>
        <w:tc>
          <w:tcPr>
            <w:tcW w:w="1233" w:type="dxa"/>
            <w:tcBorders>
              <w:left w:val="single" w:sz="4" w:space="0" w:color="FFFFFF" w:themeColor="background1"/>
              <w:right w:val="single" w:sz="4" w:space="0" w:color="FFFFFF" w:themeColor="background1"/>
            </w:tcBorders>
          </w:tcPr>
          <w:p w14:paraId="26543A51" w14:textId="77777777" w:rsidR="000C5679" w:rsidRPr="00154FB3" w:rsidRDefault="000C5679" w:rsidP="00057DDE">
            <w:pPr>
              <w:pStyle w:val="NoSpacing"/>
            </w:pPr>
            <w:r w:rsidRPr="00154FB3">
              <w:t>-</w:t>
            </w:r>
          </w:p>
        </w:tc>
        <w:tc>
          <w:tcPr>
            <w:tcW w:w="1234" w:type="dxa"/>
            <w:tcBorders>
              <w:left w:val="single" w:sz="4" w:space="0" w:color="FFFFFF" w:themeColor="background1"/>
              <w:right w:val="single" w:sz="4" w:space="0" w:color="FFFFFF" w:themeColor="background1"/>
            </w:tcBorders>
          </w:tcPr>
          <w:p w14:paraId="084E077A" w14:textId="77777777" w:rsidR="000C5679" w:rsidRPr="00154FB3" w:rsidRDefault="000C5679" w:rsidP="00057DDE">
            <w:pPr>
              <w:pStyle w:val="NoSpacing"/>
            </w:pPr>
            <w:r w:rsidRPr="00154FB3">
              <w:t>-</w:t>
            </w:r>
          </w:p>
        </w:tc>
        <w:tc>
          <w:tcPr>
            <w:tcW w:w="1095" w:type="dxa"/>
            <w:tcBorders>
              <w:left w:val="single" w:sz="4" w:space="0" w:color="FFFFFF" w:themeColor="background1"/>
              <w:right w:val="single" w:sz="4" w:space="0" w:color="FFFFFF" w:themeColor="background1"/>
            </w:tcBorders>
          </w:tcPr>
          <w:p w14:paraId="348182D3" w14:textId="77777777" w:rsidR="000C5679" w:rsidRPr="00154FB3" w:rsidRDefault="000C5679" w:rsidP="00057DDE">
            <w:pPr>
              <w:pStyle w:val="NoSpacing"/>
            </w:pPr>
            <w:r w:rsidRPr="00154FB3">
              <w:t>-</w:t>
            </w:r>
          </w:p>
        </w:tc>
        <w:tc>
          <w:tcPr>
            <w:tcW w:w="959" w:type="dxa"/>
            <w:tcBorders>
              <w:left w:val="single" w:sz="4" w:space="0" w:color="FFFFFF" w:themeColor="background1"/>
              <w:right w:val="single" w:sz="4" w:space="0" w:color="FFFFFF" w:themeColor="background1"/>
            </w:tcBorders>
          </w:tcPr>
          <w:p w14:paraId="6784B8A2" w14:textId="77777777" w:rsidR="000C5679" w:rsidRPr="00154FB3" w:rsidRDefault="000C5679" w:rsidP="00057DDE">
            <w:pPr>
              <w:pStyle w:val="NoSpacing"/>
            </w:pPr>
            <w:r w:rsidRPr="00154FB3">
              <w:t>-</w:t>
            </w:r>
          </w:p>
        </w:tc>
        <w:tc>
          <w:tcPr>
            <w:tcW w:w="1681" w:type="dxa"/>
            <w:vMerge/>
            <w:tcBorders>
              <w:left w:val="single" w:sz="4" w:space="0" w:color="FFFFFF" w:themeColor="background1"/>
              <w:right w:val="single" w:sz="4" w:space="0" w:color="FFFFFF" w:themeColor="background1"/>
            </w:tcBorders>
          </w:tcPr>
          <w:p w14:paraId="69AC12D7" w14:textId="77777777" w:rsidR="000C5679" w:rsidRPr="00154FB3" w:rsidRDefault="000C5679" w:rsidP="00057DDE">
            <w:pPr>
              <w:pStyle w:val="NoSpacing"/>
            </w:pPr>
          </w:p>
        </w:tc>
      </w:tr>
      <w:tr w:rsidR="00437CA6" w:rsidRPr="00154FB3" w14:paraId="1254A595" w14:textId="77777777" w:rsidTr="00437CA6">
        <w:trPr>
          <w:trHeight w:val="343"/>
        </w:trPr>
        <w:tc>
          <w:tcPr>
            <w:tcW w:w="1337" w:type="dxa"/>
            <w:vMerge w:val="restart"/>
            <w:tcBorders>
              <w:left w:val="single" w:sz="4" w:space="0" w:color="FFFFFF" w:themeColor="background1"/>
              <w:right w:val="single" w:sz="4" w:space="0" w:color="FFFFFF" w:themeColor="background1"/>
            </w:tcBorders>
          </w:tcPr>
          <w:p w14:paraId="1B82D8B1" w14:textId="77777777" w:rsidR="000C5679" w:rsidRPr="00154FB3" w:rsidRDefault="000C5679" w:rsidP="00057DDE">
            <w:pPr>
              <w:pStyle w:val="NoSpacing"/>
            </w:pPr>
            <w:r w:rsidRPr="00154FB3">
              <w:t>KNO</w:t>
            </w:r>
            <w:r w:rsidRPr="00154FB3">
              <w:rPr>
                <w:vertAlign w:val="subscript"/>
              </w:rPr>
              <w:t xml:space="preserve">3 </w:t>
            </w:r>
            <w:r w:rsidRPr="00154FB3">
              <w:t>medium</w:t>
            </w:r>
          </w:p>
        </w:tc>
        <w:tc>
          <w:tcPr>
            <w:tcW w:w="1095" w:type="dxa"/>
            <w:vMerge w:val="restart"/>
            <w:tcBorders>
              <w:left w:val="single" w:sz="4" w:space="0" w:color="FFFFFF" w:themeColor="background1"/>
              <w:right w:val="single" w:sz="4" w:space="0" w:color="FFFFFF" w:themeColor="background1"/>
            </w:tcBorders>
          </w:tcPr>
          <w:p w14:paraId="05BFB5D4" w14:textId="77777777" w:rsidR="000C5679" w:rsidRPr="00154FB3" w:rsidRDefault="000C5679" w:rsidP="00057DDE">
            <w:pPr>
              <w:pStyle w:val="NoSpacing"/>
              <w:rPr>
                <w:i/>
              </w:rPr>
            </w:pPr>
            <w:r w:rsidRPr="00154FB3">
              <w:rPr>
                <w:i/>
              </w:rPr>
              <w:t>S. obliquus</w:t>
            </w:r>
          </w:p>
        </w:tc>
        <w:tc>
          <w:tcPr>
            <w:tcW w:w="547" w:type="dxa"/>
            <w:tcBorders>
              <w:left w:val="single" w:sz="4" w:space="0" w:color="FFFFFF" w:themeColor="background1"/>
              <w:right w:val="single" w:sz="4" w:space="0" w:color="FFFFFF" w:themeColor="background1"/>
            </w:tcBorders>
          </w:tcPr>
          <w:p w14:paraId="26AF29FC" w14:textId="77777777" w:rsidR="000C5679" w:rsidRPr="00154FB3" w:rsidRDefault="000C5679" w:rsidP="00057DDE">
            <w:pPr>
              <w:pStyle w:val="NoSpacing"/>
            </w:pPr>
            <w:r w:rsidRPr="00154FB3">
              <w:t>f</w:t>
            </w:r>
          </w:p>
        </w:tc>
        <w:tc>
          <w:tcPr>
            <w:tcW w:w="1233" w:type="dxa"/>
            <w:tcBorders>
              <w:left w:val="single" w:sz="4" w:space="0" w:color="FFFFFF" w:themeColor="background1"/>
              <w:right w:val="single" w:sz="4" w:space="0" w:color="FFFFFF" w:themeColor="background1"/>
            </w:tcBorders>
          </w:tcPr>
          <w:p w14:paraId="28EA6338" w14:textId="77777777" w:rsidR="000C5679" w:rsidRPr="00154FB3" w:rsidRDefault="000C5679" w:rsidP="00057DDE">
            <w:pPr>
              <w:pStyle w:val="NoSpacing"/>
            </w:pPr>
            <w:r w:rsidRPr="00154FB3">
              <w:t>50</w:t>
            </w:r>
          </w:p>
        </w:tc>
        <w:tc>
          <w:tcPr>
            <w:tcW w:w="1234" w:type="dxa"/>
            <w:tcBorders>
              <w:left w:val="single" w:sz="4" w:space="0" w:color="FFFFFF" w:themeColor="background1"/>
              <w:right w:val="single" w:sz="4" w:space="0" w:color="FFFFFF" w:themeColor="background1"/>
            </w:tcBorders>
          </w:tcPr>
          <w:p w14:paraId="42ED1770" w14:textId="77777777" w:rsidR="000C5679" w:rsidRPr="00154FB3" w:rsidRDefault="000C5679" w:rsidP="00057DDE">
            <w:pPr>
              <w:pStyle w:val="NoSpacing"/>
            </w:pPr>
            <w:r w:rsidRPr="00154FB3">
              <w:t>90 %</w:t>
            </w:r>
          </w:p>
        </w:tc>
        <w:tc>
          <w:tcPr>
            <w:tcW w:w="1095" w:type="dxa"/>
            <w:tcBorders>
              <w:left w:val="single" w:sz="4" w:space="0" w:color="FFFFFF" w:themeColor="background1"/>
              <w:right w:val="single" w:sz="4" w:space="0" w:color="FFFFFF" w:themeColor="background1"/>
            </w:tcBorders>
          </w:tcPr>
          <w:p w14:paraId="1CA8F117" w14:textId="77777777" w:rsidR="000C5679" w:rsidRPr="00154FB3" w:rsidRDefault="000C5679" w:rsidP="00057DDE">
            <w:pPr>
              <w:pStyle w:val="NoSpacing"/>
            </w:pPr>
            <w:r w:rsidRPr="00154FB3">
              <w:t>-</w:t>
            </w:r>
          </w:p>
        </w:tc>
        <w:tc>
          <w:tcPr>
            <w:tcW w:w="959" w:type="dxa"/>
            <w:tcBorders>
              <w:left w:val="single" w:sz="4" w:space="0" w:color="FFFFFF" w:themeColor="background1"/>
              <w:right w:val="single" w:sz="4" w:space="0" w:color="FFFFFF" w:themeColor="background1"/>
            </w:tcBorders>
          </w:tcPr>
          <w:p w14:paraId="1835CB30" w14:textId="77777777" w:rsidR="000C5679" w:rsidRPr="00154FB3" w:rsidRDefault="000C5679" w:rsidP="00057DDE">
            <w:pPr>
              <w:pStyle w:val="NoSpacing"/>
            </w:pPr>
            <w:r w:rsidRPr="00154FB3">
              <w:t>-</w:t>
            </w:r>
          </w:p>
        </w:tc>
        <w:tc>
          <w:tcPr>
            <w:tcW w:w="1681" w:type="dxa"/>
            <w:vMerge w:val="restart"/>
            <w:tcBorders>
              <w:left w:val="single" w:sz="4" w:space="0" w:color="FFFFFF" w:themeColor="background1"/>
              <w:right w:val="single" w:sz="4" w:space="0" w:color="FFFFFF" w:themeColor="background1"/>
            </w:tcBorders>
          </w:tcPr>
          <w:p w14:paraId="62C09D05" w14:textId="77777777" w:rsidR="000C5679" w:rsidRPr="00154FB3" w:rsidRDefault="000C5679" w:rsidP="00057DDE">
            <w:pPr>
              <w:pStyle w:val="NoSpacing"/>
            </w:pPr>
            <w:r w:rsidRPr="00154FB3">
              <w:t xml:space="preserve">Urrutia </w:t>
            </w:r>
            <w:r w:rsidRPr="00154FB3">
              <w:rPr>
                <w:i/>
              </w:rPr>
              <w:t>et al.</w:t>
            </w:r>
            <w:r w:rsidRPr="00154FB3">
              <w:t xml:space="preserve"> 1995</w:t>
            </w:r>
          </w:p>
        </w:tc>
      </w:tr>
      <w:tr w:rsidR="00437CA6" w:rsidRPr="00154FB3" w14:paraId="3BB9A740" w14:textId="77777777" w:rsidTr="00437CA6">
        <w:trPr>
          <w:trHeight w:val="133"/>
        </w:trPr>
        <w:tc>
          <w:tcPr>
            <w:tcW w:w="1337" w:type="dxa"/>
            <w:vMerge/>
            <w:tcBorders>
              <w:left w:val="single" w:sz="4" w:space="0" w:color="FFFFFF" w:themeColor="background1"/>
              <w:right w:val="single" w:sz="4" w:space="0" w:color="FFFFFF" w:themeColor="background1"/>
            </w:tcBorders>
          </w:tcPr>
          <w:p w14:paraId="5460F3A9" w14:textId="77777777" w:rsidR="000C5679" w:rsidRPr="00154FB3" w:rsidRDefault="000C5679" w:rsidP="00057DDE">
            <w:pPr>
              <w:pStyle w:val="NoSpacing"/>
            </w:pPr>
          </w:p>
        </w:tc>
        <w:tc>
          <w:tcPr>
            <w:tcW w:w="1095" w:type="dxa"/>
            <w:vMerge/>
            <w:tcBorders>
              <w:left w:val="single" w:sz="4" w:space="0" w:color="FFFFFF" w:themeColor="background1"/>
              <w:right w:val="single" w:sz="4" w:space="0" w:color="FFFFFF" w:themeColor="background1"/>
            </w:tcBorders>
          </w:tcPr>
          <w:p w14:paraId="26706C85" w14:textId="77777777" w:rsidR="000C5679" w:rsidRPr="00154FB3" w:rsidRDefault="000C5679" w:rsidP="00057DDE">
            <w:pPr>
              <w:pStyle w:val="NoSpacing"/>
              <w:rPr>
                <w:i/>
              </w:rPr>
            </w:pPr>
          </w:p>
        </w:tc>
        <w:tc>
          <w:tcPr>
            <w:tcW w:w="547" w:type="dxa"/>
            <w:tcBorders>
              <w:left w:val="single" w:sz="4" w:space="0" w:color="FFFFFF" w:themeColor="background1"/>
              <w:right w:val="single" w:sz="4" w:space="0" w:color="FFFFFF" w:themeColor="background1"/>
            </w:tcBorders>
          </w:tcPr>
          <w:p w14:paraId="41FFE0CA" w14:textId="77777777" w:rsidR="000C5679" w:rsidRPr="00154FB3" w:rsidRDefault="000C5679" w:rsidP="00057DDE">
            <w:pPr>
              <w:pStyle w:val="NoSpacing"/>
            </w:pPr>
            <w:r w:rsidRPr="00154FB3">
              <w:t>i</w:t>
            </w:r>
          </w:p>
        </w:tc>
        <w:tc>
          <w:tcPr>
            <w:tcW w:w="1233" w:type="dxa"/>
            <w:tcBorders>
              <w:left w:val="single" w:sz="4" w:space="0" w:color="FFFFFF" w:themeColor="background1"/>
              <w:right w:val="single" w:sz="4" w:space="0" w:color="FFFFFF" w:themeColor="background1"/>
            </w:tcBorders>
          </w:tcPr>
          <w:p w14:paraId="105F8140" w14:textId="77777777" w:rsidR="000C5679" w:rsidRPr="00154FB3" w:rsidRDefault="000C5679" w:rsidP="00057DDE">
            <w:pPr>
              <w:pStyle w:val="NoSpacing"/>
            </w:pPr>
            <w:r w:rsidRPr="00154FB3">
              <w:t>50</w:t>
            </w:r>
          </w:p>
        </w:tc>
        <w:tc>
          <w:tcPr>
            <w:tcW w:w="1234" w:type="dxa"/>
            <w:tcBorders>
              <w:left w:val="single" w:sz="4" w:space="0" w:color="FFFFFF" w:themeColor="background1"/>
              <w:right w:val="single" w:sz="4" w:space="0" w:color="FFFFFF" w:themeColor="background1"/>
            </w:tcBorders>
          </w:tcPr>
          <w:p w14:paraId="3AEE1BE3" w14:textId="77777777" w:rsidR="000C5679" w:rsidRPr="00154FB3" w:rsidRDefault="000C5679" w:rsidP="00057DDE">
            <w:pPr>
              <w:pStyle w:val="NoSpacing"/>
            </w:pPr>
            <w:r w:rsidRPr="00154FB3">
              <w:t>90 %</w:t>
            </w:r>
          </w:p>
        </w:tc>
        <w:tc>
          <w:tcPr>
            <w:tcW w:w="1095" w:type="dxa"/>
            <w:tcBorders>
              <w:left w:val="single" w:sz="4" w:space="0" w:color="FFFFFF" w:themeColor="background1"/>
              <w:right w:val="single" w:sz="4" w:space="0" w:color="FFFFFF" w:themeColor="background1"/>
            </w:tcBorders>
          </w:tcPr>
          <w:p w14:paraId="5BB0B0AD" w14:textId="77777777" w:rsidR="000C5679" w:rsidRPr="00154FB3" w:rsidRDefault="000C5679" w:rsidP="00057DDE">
            <w:pPr>
              <w:pStyle w:val="NoSpacing"/>
            </w:pPr>
            <w:r w:rsidRPr="00154FB3">
              <w:t>-</w:t>
            </w:r>
          </w:p>
        </w:tc>
        <w:tc>
          <w:tcPr>
            <w:tcW w:w="959" w:type="dxa"/>
            <w:tcBorders>
              <w:left w:val="single" w:sz="4" w:space="0" w:color="FFFFFF" w:themeColor="background1"/>
              <w:right w:val="single" w:sz="4" w:space="0" w:color="FFFFFF" w:themeColor="background1"/>
            </w:tcBorders>
          </w:tcPr>
          <w:p w14:paraId="2476B531" w14:textId="77777777" w:rsidR="000C5679" w:rsidRPr="00154FB3" w:rsidRDefault="000C5679" w:rsidP="00057DDE">
            <w:pPr>
              <w:pStyle w:val="NoSpacing"/>
            </w:pPr>
            <w:r w:rsidRPr="00154FB3">
              <w:t>-</w:t>
            </w:r>
          </w:p>
        </w:tc>
        <w:tc>
          <w:tcPr>
            <w:tcW w:w="1681" w:type="dxa"/>
            <w:vMerge/>
            <w:tcBorders>
              <w:left w:val="single" w:sz="4" w:space="0" w:color="FFFFFF" w:themeColor="background1"/>
              <w:right w:val="single" w:sz="4" w:space="0" w:color="FFFFFF" w:themeColor="background1"/>
            </w:tcBorders>
          </w:tcPr>
          <w:p w14:paraId="7911D231" w14:textId="77777777" w:rsidR="000C5679" w:rsidRPr="00154FB3" w:rsidRDefault="000C5679" w:rsidP="00057DDE">
            <w:pPr>
              <w:pStyle w:val="NoSpacing"/>
            </w:pPr>
          </w:p>
        </w:tc>
      </w:tr>
      <w:tr w:rsidR="00437CA6" w:rsidRPr="00154FB3" w14:paraId="337684FB" w14:textId="77777777" w:rsidTr="00437CA6">
        <w:trPr>
          <w:trHeight w:val="358"/>
        </w:trPr>
        <w:tc>
          <w:tcPr>
            <w:tcW w:w="1337" w:type="dxa"/>
            <w:vMerge w:val="restart"/>
            <w:tcBorders>
              <w:left w:val="single" w:sz="4" w:space="0" w:color="FFFFFF" w:themeColor="background1"/>
              <w:right w:val="single" w:sz="4" w:space="0" w:color="FFFFFF" w:themeColor="background1"/>
            </w:tcBorders>
          </w:tcPr>
          <w:p w14:paraId="5C52090E" w14:textId="77777777" w:rsidR="000C5679" w:rsidRPr="00154FB3" w:rsidRDefault="000C5679" w:rsidP="00057DDE">
            <w:pPr>
              <w:pStyle w:val="NoSpacing"/>
            </w:pPr>
            <w:r w:rsidRPr="00154FB3">
              <w:t>Agroindustrial wastewater</w:t>
            </w:r>
          </w:p>
        </w:tc>
        <w:tc>
          <w:tcPr>
            <w:tcW w:w="1095" w:type="dxa"/>
            <w:vMerge w:val="restart"/>
            <w:tcBorders>
              <w:left w:val="single" w:sz="4" w:space="0" w:color="FFFFFF" w:themeColor="background1"/>
              <w:right w:val="single" w:sz="4" w:space="0" w:color="FFFFFF" w:themeColor="background1"/>
            </w:tcBorders>
          </w:tcPr>
          <w:p w14:paraId="523250E0" w14:textId="77777777" w:rsidR="000C5679" w:rsidRPr="00154FB3" w:rsidRDefault="000C5679" w:rsidP="00057DDE">
            <w:pPr>
              <w:pStyle w:val="NoSpacing"/>
              <w:rPr>
                <w:i/>
              </w:rPr>
            </w:pPr>
            <w:r w:rsidRPr="00154FB3">
              <w:rPr>
                <w:i/>
              </w:rPr>
              <w:t>S. dimorphus</w:t>
            </w:r>
          </w:p>
        </w:tc>
        <w:tc>
          <w:tcPr>
            <w:tcW w:w="547" w:type="dxa"/>
            <w:tcBorders>
              <w:left w:val="single" w:sz="4" w:space="0" w:color="FFFFFF" w:themeColor="background1"/>
              <w:right w:val="single" w:sz="4" w:space="0" w:color="FFFFFF" w:themeColor="background1"/>
            </w:tcBorders>
          </w:tcPr>
          <w:p w14:paraId="6F5585B4" w14:textId="77777777" w:rsidR="000C5679" w:rsidRPr="00154FB3" w:rsidRDefault="000C5679" w:rsidP="00057DDE">
            <w:pPr>
              <w:pStyle w:val="NoSpacing"/>
            </w:pPr>
            <w:r w:rsidRPr="00154FB3">
              <w:t>f</w:t>
            </w:r>
          </w:p>
        </w:tc>
        <w:tc>
          <w:tcPr>
            <w:tcW w:w="1233" w:type="dxa"/>
            <w:tcBorders>
              <w:left w:val="single" w:sz="4" w:space="0" w:color="FFFFFF" w:themeColor="background1"/>
              <w:right w:val="single" w:sz="4" w:space="0" w:color="FFFFFF" w:themeColor="background1"/>
            </w:tcBorders>
          </w:tcPr>
          <w:p w14:paraId="3EF72C8C" w14:textId="77777777" w:rsidR="000C5679" w:rsidRPr="00154FB3" w:rsidRDefault="000C5679" w:rsidP="00057DDE">
            <w:pPr>
              <w:pStyle w:val="NoSpacing"/>
            </w:pPr>
            <w:r w:rsidRPr="00154FB3">
              <w:t>36.3</w:t>
            </w:r>
          </w:p>
        </w:tc>
        <w:tc>
          <w:tcPr>
            <w:tcW w:w="1234" w:type="dxa"/>
            <w:tcBorders>
              <w:left w:val="single" w:sz="4" w:space="0" w:color="FFFFFF" w:themeColor="background1"/>
              <w:right w:val="single" w:sz="4" w:space="0" w:color="FFFFFF" w:themeColor="background1"/>
            </w:tcBorders>
          </w:tcPr>
          <w:p w14:paraId="2B74CEE7" w14:textId="77777777" w:rsidR="000C5679" w:rsidRPr="00154FB3" w:rsidRDefault="000C5679" w:rsidP="00057DDE">
            <w:pPr>
              <w:pStyle w:val="NoSpacing"/>
            </w:pPr>
            <w:r w:rsidRPr="00154FB3">
              <w:t>95 %</w:t>
            </w:r>
          </w:p>
        </w:tc>
        <w:tc>
          <w:tcPr>
            <w:tcW w:w="1095" w:type="dxa"/>
            <w:tcBorders>
              <w:left w:val="single" w:sz="4" w:space="0" w:color="FFFFFF" w:themeColor="background1"/>
              <w:right w:val="single" w:sz="4" w:space="0" w:color="FFFFFF" w:themeColor="background1"/>
            </w:tcBorders>
          </w:tcPr>
          <w:p w14:paraId="3B3237CE" w14:textId="77777777" w:rsidR="000C5679" w:rsidRPr="00154FB3" w:rsidRDefault="000C5679" w:rsidP="00057DDE">
            <w:pPr>
              <w:pStyle w:val="NoSpacing"/>
            </w:pPr>
            <w:r w:rsidRPr="00154FB3">
              <w:t>111.8</w:t>
            </w:r>
          </w:p>
        </w:tc>
        <w:tc>
          <w:tcPr>
            <w:tcW w:w="959" w:type="dxa"/>
            <w:tcBorders>
              <w:left w:val="single" w:sz="4" w:space="0" w:color="FFFFFF" w:themeColor="background1"/>
              <w:right w:val="single" w:sz="4" w:space="0" w:color="FFFFFF" w:themeColor="background1"/>
            </w:tcBorders>
          </w:tcPr>
          <w:p w14:paraId="1093A30B" w14:textId="77777777" w:rsidR="000C5679" w:rsidRPr="00154FB3" w:rsidRDefault="000C5679" w:rsidP="00057DDE">
            <w:pPr>
              <w:pStyle w:val="NoSpacing"/>
            </w:pPr>
            <w:r w:rsidRPr="00154FB3">
              <w:t>20-50 %</w:t>
            </w:r>
          </w:p>
        </w:tc>
        <w:tc>
          <w:tcPr>
            <w:tcW w:w="1681" w:type="dxa"/>
            <w:vMerge w:val="restart"/>
            <w:tcBorders>
              <w:left w:val="single" w:sz="4" w:space="0" w:color="FFFFFF" w:themeColor="background1"/>
              <w:right w:val="single" w:sz="4" w:space="0" w:color="FFFFFF" w:themeColor="background1"/>
            </w:tcBorders>
          </w:tcPr>
          <w:p w14:paraId="0AE2A23C" w14:textId="77777777" w:rsidR="000C5679" w:rsidRPr="00154FB3" w:rsidRDefault="000C5679" w:rsidP="00057DDE">
            <w:pPr>
              <w:pStyle w:val="NoSpacing"/>
            </w:pPr>
            <w:r w:rsidRPr="00154FB3">
              <w:t xml:space="preserve">Gonzalez </w:t>
            </w:r>
            <w:r w:rsidRPr="00154FB3">
              <w:rPr>
                <w:i/>
              </w:rPr>
              <w:t>et al.</w:t>
            </w:r>
            <w:r w:rsidRPr="00154FB3">
              <w:t xml:space="preserve"> 1997</w:t>
            </w:r>
          </w:p>
        </w:tc>
      </w:tr>
      <w:tr w:rsidR="00437CA6" w:rsidRPr="00154FB3" w14:paraId="7AB5A549" w14:textId="77777777" w:rsidTr="00437CA6">
        <w:trPr>
          <w:trHeight w:val="148"/>
        </w:trPr>
        <w:tc>
          <w:tcPr>
            <w:tcW w:w="1337" w:type="dxa"/>
            <w:vMerge/>
            <w:tcBorders>
              <w:left w:val="single" w:sz="4" w:space="0" w:color="FFFFFF" w:themeColor="background1"/>
              <w:right w:val="single" w:sz="4" w:space="0" w:color="FFFFFF" w:themeColor="background1"/>
            </w:tcBorders>
          </w:tcPr>
          <w:p w14:paraId="64D858F7" w14:textId="77777777" w:rsidR="000C5679" w:rsidRPr="00154FB3" w:rsidRDefault="000C5679" w:rsidP="00057DDE">
            <w:pPr>
              <w:pStyle w:val="NoSpacing"/>
            </w:pPr>
          </w:p>
        </w:tc>
        <w:tc>
          <w:tcPr>
            <w:tcW w:w="1095" w:type="dxa"/>
            <w:vMerge/>
            <w:tcBorders>
              <w:left w:val="single" w:sz="4" w:space="0" w:color="FFFFFF" w:themeColor="background1"/>
              <w:right w:val="single" w:sz="4" w:space="0" w:color="FFFFFF" w:themeColor="background1"/>
            </w:tcBorders>
          </w:tcPr>
          <w:p w14:paraId="5AD9D605" w14:textId="77777777" w:rsidR="000C5679" w:rsidRPr="00154FB3" w:rsidRDefault="000C5679" w:rsidP="00057DDE">
            <w:pPr>
              <w:pStyle w:val="NoSpacing"/>
              <w:rPr>
                <w:i/>
              </w:rPr>
            </w:pPr>
          </w:p>
        </w:tc>
        <w:tc>
          <w:tcPr>
            <w:tcW w:w="547" w:type="dxa"/>
            <w:tcBorders>
              <w:left w:val="single" w:sz="4" w:space="0" w:color="FFFFFF" w:themeColor="background1"/>
              <w:right w:val="single" w:sz="4" w:space="0" w:color="FFFFFF" w:themeColor="background1"/>
            </w:tcBorders>
          </w:tcPr>
          <w:p w14:paraId="71F452EF" w14:textId="77777777" w:rsidR="000C5679" w:rsidRPr="00154FB3" w:rsidRDefault="000C5679" w:rsidP="00057DDE">
            <w:pPr>
              <w:pStyle w:val="NoSpacing"/>
            </w:pPr>
            <w:r w:rsidRPr="00154FB3">
              <w:t>i</w:t>
            </w:r>
          </w:p>
        </w:tc>
        <w:tc>
          <w:tcPr>
            <w:tcW w:w="1233" w:type="dxa"/>
            <w:tcBorders>
              <w:left w:val="single" w:sz="4" w:space="0" w:color="FFFFFF" w:themeColor="background1"/>
              <w:right w:val="single" w:sz="4" w:space="0" w:color="FFFFFF" w:themeColor="background1"/>
            </w:tcBorders>
          </w:tcPr>
          <w:p w14:paraId="451E81DA" w14:textId="77777777" w:rsidR="000C5679" w:rsidRPr="00154FB3" w:rsidRDefault="000C5679" w:rsidP="00057DDE">
            <w:pPr>
              <w:pStyle w:val="NoSpacing"/>
            </w:pPr>
            <w:r w:rsidRPr="00154FB3">
              <w:t>-</w:t>
            </w:r>
          </w:p>
        </w:tc>
        <w:tc>
          <w:tcPr>
            <w:tcW w:w="1234" w:type="dxa"/>
            <w:tcBorders>
              <w:left w:val="single" w:sz="4" w:space="0" w:color="FFFFFF" w:themeColor="background1"/>
              <w:right w:val="single" w:sz="4" w:space="0" w:color="FFFFFF" w:themeColor="background1"/>
            </w:tcBorders>
          </w:tcPr>
          <w:p w14:paraId="3E6858BE" w14:textId="77777777" w:rsidR="000C5679" w:rsidRPr="00154FB3" w:rsidRDefault="000C5679" w:rsidP="00057DDE">
            <w:pPr>
              <w:pStyle w:val="NoSpacing"/>
            </w:pPr>
            <w:r w:rsidRPr="00154FB3">
              <w:t>-</w:t>
            </w:r>
          </w:p>
        </w:tc>
        <w:tc>
          <w:tcPr>
            <w:tcW w:w="1095" w:type="dxa"/>
            <w:tcBorders>
              <w:left w:val="single" w:sz="4" w:space="0" w:color="FFFFFF" w:themeColor="background1"/>
              <w:right w:val="single" w:sz="4" w:space="0" w:color="FFFFFF" w:themeColor="background1"/>
            </w:tcBorders>
          </w:tcPr>
          <w:p w14:paraId="442154FA" w14:textId="77777777" w:rsidR="000C5679" w:rsidRPr="00154FB3" w:rsidRDefault="000C5679" w:rsidP="00057DDE">
            <w:pPr>
              <w:pStyle w:val="NoSpacing"/>
            </w:pPr>
            <w:r w:rsidRPr="00154FB3">
              <w:t>-</w:t>
            </w:r>
          </w:p>
        </w:tc>
        <w:tc>
          <w:tcPr>
            <w:tcW w:w="959" w:type="dxa"/>
            <w:tcBorders>
              <w:left w:val="single" w:sz="4" w:space="0" w:color="FFFFFF" w:themeColor="background1"/>
              <w:right w:val="single" w:sz="4" w:space="0" w:color="FFFFFF" w:themeColor="background1"/>
            </w:tcBorders>
          </w:tcPr>
          <w:p w14:paraId="4DC5E07F" w14:textId="77777777" w:rsidR="000C5679" w:rsidRPr="00154FB3" w:rsidRDefault="000C5679" w:rsidP="00057DDE">
            <w:pPr>
              <w:pStyle w:val="NoSpacing"/>
            </w:pPr>
            <w:r w:rsidRPr="00154FB3">
              <w:t>-</w:t>
            </w:r>
          </w:p>
        </w:tc>
        <w:tc>
          <w:tcPr>
            <w:tcW w:w="1681" w:type="dxa"/>
            <w:vMerge/>
            <w:tcBorders>
              <w:left w:val="single" w:sz="4" w:space="0" w:color="FFFFFF" w:themeColor="background1"/>
              <w:right w:val="single" w:sz="4" w:space="0" w:color="FFFFFF" w:themeColor="background1"/>
            </w:tcBorders>
          </w:tcPr>
          <w:p w14:paraId="3B4254A2" w14:textId="77777777" w:rsidR="000C5679" w:rsidRPr="00154FB3" w:rsidRDefault="000C5679" w:rsidP="00057DDE">
            <w:pPr>
              <w:pStyle w:val="NoSpacing"/>
            </w:pPr>
          </w:p>
        </w:tc>
      </w:tr>
      <w:tr w:rsidR="00437CA6" w:rsidRPr="00154FB3" w14:paraId="28F194C1" w14:textId="77777777" w:rsidTr="00154FB3">
        <w:trPr>
          <w:trHeight w:val="541"/>
        </w:trPr>
        <w:tc>
          <w:tcPr>
            <w:tcW w:w="1337" w:type="dxa"/>
            <w:vMerge w:val="restart"/>
            <w:tcBorders>
              <w:left w:val="single" w:sz="4" w:space="0" w:color="FFFFFF" w:themeColor="background1"/>
              <w:right w:val="single" w:sz="4" w:space="0" w:color="FFFFFF" w:themeColor="background1"/>
            </w:tcBorders>
          </w:tcPr>
          <w:p w14:paraId="2592EAF1" w14:textId="77777777" w:rsidR="000C5679" w:rsidRPr="00154FB3" w:rsidRDefault="000C5679" w:rsidP="00057DDE">
            <w:pPr>
              <w:pStyle w:val="NoSpacing"/>
            </w:pPr>
            <w:r w:rsidRPr="00154FB3">
              <w:t>Bold Basal Medium</w:t>
            </w:r>
          </w:p>
        </w:tc>
        <w:tc>
          <w:tcPr>
            <w:tcW w:w="1095" w:type="dxa"/>
            <w:vMerge w:val="restart"/>
            <w:tcBorders>
              <w:left w:val="single" w:sz="4" w:space="0" w:color="FFFFFF" w:themeColor="background1"/>
              <w:right w:val="single" w:sz="4" w:space="0" w:color="FFFFFF" w:themeColor="background1"/>
            </w:tcBorders>
          </w:tcPr>
          <w:p w14:paraId="104BD820" w14:textId="77777777" w:rsidR="000C5679" w:rsidRPr="00154FB3" w:rsidRDefault="000C5679" w:rsidP="00057DDE">
            <w:pPr>
              <w:pStyle w:val="NoSpacing"/>
              <w:rPr>
                <w:i/>
              </w:rPr>
            </w:pPr>
            <w:r w:rsidRPr="00154FB3">
              <w:rPr>
                <w:i/>
              </w:rPr>
              <w:t>S. intermedius</w:t>
            </w:r>
          </w:p>
        </w:tc>
        <w:tc>
          <w:tcPr>
            <w:tcW w:w="547" w:type="dxa"/>
            <w:tcBorders>
              <w:left w:val="single" w:sz="4" w:space="0" w:color="FFFFFF" w:themeColor="background1"/>
              <w:right w:val="single" w:sz="4" w:space="0" w:color="FFFFFF" w:themeColor="background1"/>
            </w:tcBorders>
          </w:tcPr>
          <w:p w14:paraId="48AEFC6C" w14:textId="77777777" w:rsidR="000C5679" w:rsidRPr="00154FB3" w:rsidRDefault="000C5679" w:rsidP="00057DDE">
            <w:pPr>
              <w:pStyle w:val="NoSpacing"/>
            </w:pPr>
            <w:r w:rsidRPr="00154FB3">
              <w:t>f</w:t>
            </w:r>
          </w:p>
        </w:tc>
        <w:tc>
          <w:tcPr>
            <w:tcW w:w="1233" w:type="dxa"/>
            <w:tcBorders>
              <w:left w:val="single" w:sz="4" w:space="0" w:color="FFFFFF" w:themeColor="background1"/>
              <w:right w:val="single" w:sz="4" w:space="0" w:color="FFFFFF" w:themeColor="background1"/>
            </w:tcBorders>
            <w:shd w:val="clear" w:color="auto" w:fill="auto"/>
          </w:tcPr>
          <w:p w14:paraId="7C1688EF" w14:textId="77777777" w:rsidR="000C5679" w:rsidRPr="00154FB3" w:rsidRDefault="000C5679" w:rsidP="00057DDE">
            <w:pPr>
              <w:pStyle w:val="NoSpacing"/>
            </w:pPr>
          </w:p>
        </w:tc>
        <w:tc>
          <w:tcPr>
            <w:tcW w:w="1234" w:type="dxa"/>
            <w:tcBorders>
              <w:left w:val="single" w:sz="4" w:space="0" w:color="FFFFFF" w:themeColor="background1"/>
              <w:right w:val="single" w:sz="4" w:space="0" w:color="FFFFFF" w:themeColor="background1"/>
            </w:tcBorders>
            <w:shd w:val="clear" w:color="auto" w:fill="auto"/>
          </w:tcPr>
          <w:p w14:paraId="07902087" w14:textId="77777777" w:rsidR="000C5679" w:rsidRPr="00154FB3" w:rsidRDefault="000C5679" w:rsidP="00057DDE">
            <w:pPr>
              <w:pStyle w:val="NoSpacing"/>
            </w:pPr>
            <w:r w:rsidRPr="00154FB3">
              <w:t>0.022 mg/h</w:t>
            </w:r>
          </w:p>
        </w:tc>
        <w:tc>
          <w:tcPr>
            <w:tcW w:w="1095" w:type="dxa"/>
            <w:tcBorders>
              <w:left w:val="single" w:sz="4" w:space="0" w:color="FFFFFF" w:themeColor="background1"/>
              <w:right w:val="single" w:sz="4" w:space="0" w:color="FFFFFF" w:themeColor="background1"/>
            </w:tcBorders>
            <w:shd w:val="clear" w:color="auto" w:fill="auto"/>
          </w:tcPr>
          <w:p w14:paraId="3F3C9D81" w14:textId="77777777" w:rsidR="000C5679" w:rsidRPr="00154FB3" w:rsidRDefault="000C5679" w:rsidP="00057DDE">
            <w:pPr>
              <w:pStyle w:val="NoSpacing"/>
            </w:pPr>
          </w:p>
        </w:tc>
        <w:tc>
          <w:tcPr>
            <w:tcW w:w="959" w:type="dxa"/>
            <w:tcBorders>
              <w:left w:val="single" w:sz="4" w:space="0" w:color="FFFFFF" w:themeColor="background1"/>
              <w:right w:val="single" w:sz="4" w:space="0" w:color="FFFFFF" w:themeColor="background1"/>
            </w:tcBorders>
          </w:tcPr>
          <w:p w14:paraId="13733C20" w14:textId="77777777" w:rsidR="000C5679" w:rsidRPr="00154FB3" w:rsidRDefault="000C5679" w:rsidP="00057DDE">
            <w:pPr>
              <w:pStyle w:val="NoSpacing"/>
            </w:pPr>
            <w:r w:rsidRPr="00154FB3">
              <w:t>0.014 mg/h</w:t>
            </w:r>
          </w:p>
        </w:tc>
        <w:tc>
          <w:tcPr>
            <w:tcW w:w="1681" w:type="dxa"/>
            <w:vMerge w:val="restart"/>
            <w:tcBorders>
              <w:left w:val="single" w:sz="4" w:space="0" w:color="FFFFFF" w:themeColor="background1"/>
              <w:right w:val="single" w:sz="4" w:space="0" w:color="FFFFFF" w:themeColor="background1"/>
            </w:tcBorders>
          </w:tcPr>
          <w:p w14:paraId="46D65E6F" w14:textId="77777777" w:rsidR="000C5679" w:rsidRPr="00154FB3" w:rsidRDefault="000C5679" w:rsidP="00057DDE">
            <w:pPr>
              <w:pStyle w:val="NoSpacing"/>
            </w:pPr>
            <w:r w:rsidRPr="00154FB3">
              <w:t>Jimenez-Perez et al. 2004</w:t>
            </w:r>
          </w:p>
        </w:tc>
      </w:tr>
      <w:tr w:rsidR="00437CA6" w:rsidRPr="00154FB3" w14:paraId="7494342D" w14:textId="77777777" w:rsidTr="00154FB3">
        <w:trPr>
          <w:trHeight w:val="541"/>
        </w:trPr>
        <w:tc>
          <w:tcPr>
            <w:tcW w:w="1337" w:type="dxa"/>
            <w:vMerge/>
            <w:tcBorders>
              <w:left w:val="single" w:sz="4" w:space="0" w:color="FFFFFF" w:themeColor="background1"/>
              <w:right w:val="single" w:sz="4" w:space="0" w:color="FFFFFF" w:themeColor="background1"/>
            </w:tcBorders>
          </w:tcPr>
          <w:p w14:paraId="56E46E14" w14:textId="77777777" w:rsidR="000C5679" w:rsidRPr="00154FB3" w:rsidRDefault="000C5679" w:rsidP="00057DDE">
            <w:pPr>
              <w:pStyle w:val="NoSpacing"/>
            </w:pPr>
          </w:p>
        </w:tc>
        <w:tc>
          <w:tcPr>
            <w:tcW w:w="1095" w:type="dxa"/>
            <w:vMerge/>
            <w:tcBorders>
              <w:left w:val="single" w:sz="4" w:space="0" w:color="FFFFFF" w:themeColor="background1"/>
              <w:right w:val="single" w:sz="4" w:space="0" w:color="FFFFFF" w:themeColor="background1"/>
            </w:tcBorders>
          </w:tcPr>
          <w:p w14:paraId="145FD76D" w14:textId="77777777" w:rsidR="000C5679" w:rsidRPr="00154FB3" w:rsidRDefault="000C5679" w:rsidP="00057DDE">
            <w:pPr>
              <w:pStyle w:val="NoSpacing"/>
            </w:pPr>
          </w:p>
        </w:tc>
        <w:tc>
          <w:tcPr>
            <w:tcW w:w="547" w:type="dxa"/>
            <w:tcBorders>
              <w:left w:val="single" w:sz="4" w:space="0" w:color="FFFFFF" w:themeColor="background1"/>
              <w:right w:val="single" w:sz="4" w:space="0" w:color="FFFFFF" w:themeColor="background1"/>
            </w:tcBorders>
          </w:tcPr>
          <w:p w14:paraId="3BD82220" w14:textId="77777777" w:rsidR="000C5679" w:rsidRPr="00154FB3" w:rsidRDefault="000C5679" w:rsidP="00057DDE">
            <w:pPr>
              <w:pStyle w:val="NoSpacing"/>
            </w:pPr>
            <w:r w:rsidRPr="00154FB3">
              <w:t>i</w:t>
            </w:r>
          </w:p>
        </w:tc>
        <w:tc>
          <w:tcPr>
            <w:tcW w:w="1233" w:type="dxa"/>
            <w:tcBorders>
              <w:left w:val="single" w:sz="4" w:space="0" w:color="FFFFFF" w:themeColor="background1"/>
              <w:right w:val="single" w:sz="4" w:space="0" w:color="FFFFFF" w:themeColor="background1"/>
            </w:tcBorders>
            <w:shd w:val="clear" w:color="auto" w:fill="auto"/>
          </w:tcPr>
          <w:p w14:paraId="6DA201EF" w14:textId="77777777" w:rsidR="000C5679" w:rsidRPr="00154FB3" w:rsidRDefault="000C5679" w:rsidP="00057DDE">
            <w:pPr>
              <w:pStyle w:val="NoSpacing"/>
            </w:pPr>
          </w:p>
        </w:tc>
        <w:tc>
          <w:tcPr>
            <w:tcW w:w="1234" w:type="dxa"/>
            <w:tcBorders>
              <w:left w:val="single" w:sz="4" w:space="0" w:color="FFFFFF" w:themeColor="background1"/>
              <w:right w:val="single" w:sz="4" w:space="0" w:color="FFFFFF" w:themeColor="background1"/>
            </w:tcBorders>
            <w:shd w:val="clear" w:color="auto" w:fill="auto"/>
          </w:tcPr>
          <w:p w14:paraId="7B3125A2" w14:textId="77777777" w:rsidR="000C5679" w:rsidRPr="00154FB3" w:rsidRDefault="000C5679" w:rsidP="00057DDE">
            <w:pPr>
              <w:pStyle w:val="NoSpacing"/>
            </w:pPr>
            <w:r w:rsidRPr="00154FB3">
              <w:t>0.009 mg/h</w:t>
            </w:r>
          </w:p>
        </w:tc>
        <w:tc>
          <w:tcPr>
            <w:tcW w:w="1095" w:type="dxa"/>
            <w:tcBorders>
              <w:left w:val="single" w:sz="4" w:space="0" w:color="FFFFFF" w:themeColor="background1"/>
              <w:right w:val="single" w:sz="4" w:space="0" w:color="FFFFFF" w:themeColor="background1"/>
            </w:tcBorders>
            <w:shd w:val="clear" w:color="auto" w:fill="auto"/>
          </w:tcPr>
          <w:p w14:paraId="277DA2C7" w14:textId="77777777" w:rsidR="000C5679" w:rsidRPr="00154FB3" w:rsidRDefault="000C5679" w:rsidP="00057DDE">
            <w:pPr>
              <w:pStyle w:val="NoSpacing"/>
            </w:pPr>
          </w:p>
        </w:tc>
        <w:tc>
          <w:tcPr>
            <w:tcW w:w="959" w:type="dxa"/>
            <w:tcBorders>
              <w:left w:val="single" w:sz="4" w:space="0" w:color="FFFFFF" w:themeColor="background1"/>
              <w:right w:val="single" w:sz="4" w:space="0" w:color="FFFFFF" w:themeColor="background1"/>
            </w:tcBorders>
          </w:tcPr>
          <w:p w14:paraId="19DA6790" w14:textId="77777777" w:rsidR="000C5679" w:rsidRPr="00154FB3" w:rsidRDefault="000C5679" w:rsidP="00057DDE">
            <w:pPr>
              <w:pStyle w:val="NoSpacing"/>
            </w:pPr>
            <w:r w:rsidRPr="00154FB3">
              <w:t>0.012 mg/h</w:t>
            </w:r>
          </w:p>
        </w:tc>
        <w:tc>
          <w:tcPr>
            <w:tcW w:w="1681" w:type="dxa"/>
            <w:vMerge/>
            <w:tcBorders>
              <w:left w:val="single" w:sz="4" w:space="0" w:color="FFFFFF" w:themeColor="background1"/>
              <w:right w:val="single" w:sz="4" w:space="0" w:color="FFFFFF" w:themeColor="background1"/>
            </w:tcBorders>
          </w:tcPr>
          <w:p w14:paraId="6AC3CCC9" w14:textId="77777777" w:rsidR="000C5679" w:rsidRPr="00154FB3" w:rsidRDefault="000C5679" w:rsidP="00057DDE">
            <w:pPr>
              <w:pStyle w:val="NoSpacing"/>
            </w:pPr>
          </w:p>
        </w:tc>
      </w:tr>
    </w:tbl>
    <w:p w14:paraId="74A29788" w14:textId="77777777" w:rsidR="000C5679" w:rsidRPr="00154FB3" w:rsidRDefault="000C5679" w:rsidP="00057DDE">
      <w:pPr>
        <w:pStyle w:val="NoSpacing"/>
        <w:rPr>
          <w:sz w:val="20"/>
          <w:szCs w:val="20"/>
        </w:rPr>
      </w:pPr>
      <w:r w:rsidRPr="00154FB3">
        <w:rPr>
          <w:sz w:val="20"/>
          <w:szCs w:val="20"/>
        </w:rPr>
        <w:t>f = freely suspended cells;</w:t>
      </w:r>
    </w:p>
    <w:p w14:paraId="1C9C3FE8" w14:textId="77777777" w:rsidR="000C5679" w:rsidRPr="00154FB3" w:rsidRDefault="000C5679" w:rsidP="000C5679">
      <w:pPr>
        <w:spacing w:line="240" w:lineRule="auto"/>
        <w:rPr>
          <w:sz w:val="20"/>
          <w:szCs w:val="20"/>
        </w:rPr>
      </w:pPr>
      <w:r w:rsidRPr="00154FB3">
        <w:rPr>
          <w:sz w:val="20"/>
          <w:szCs w:val="20"/>
        </w:rPr>
        <w:t>i = immobilised cells</w:t>
      </w:r>
      <w:r w:rsidRPr="00154FB3">
        <w:rPr>
          <w:sz w:val="20"/>
          <w:szCs w:val="20"/>
        </w:rPr>
        <w:br w:type="page"/>
      </w:r>
    </w:p>
    <w:p w14:paraId="314C78BB" w14:textId="77777777" w:rsidR="002D480C" w:rsidRPr="00154FB3" w:rsidRDefault="002D480C" w:rsidP="00000766">
      <w:pPr>
        <w:rPr>
          <w:b/>
        </w:rPr>
      </w:pPr>
      <w:r w:rsidRPr="00154FB3">
        <w:rPr>
          <w:b/>
        </w:rPr>
        <w:lastRenderedPageBreak/>
        <w:t>List of figure captions</w:t>
      </w:r>
    </w:p>
    <w:p w14:paraId="5DC0626B" w14:textId="77777777" w:rsidR="00000766" w:rsidRPr="00154FB3" w:rsidRDefault="00000766" w:rsidP="00000766">
      <w:r w:rsidRPr="00154FB3">
        <w:t>Figure 1: Sampling site in the Pinang River estuary, Penang Island, Malaysia.</w:t>
      </w:r>
    </w:p>
    <w:p w14:paraId="388C7D76" w14:textId="77777777" w:rsidR="00000766" w:rsidRPr="00154FB3" w:rsidRDefault="00000766" w:rsidP="00000766">
      <w:pPr>
        <w:spacing w:line="240" w:lineRule="auto"/>
        <w:jc w:val="both"/>
      </w:pPr>
      <w:r w:rsidRPr="00154FB3">
        <w:t xml:space="preserve">Figure 2: (A) Growth curves of </w:t>
      </w:r>
      <w:r w:rsidRPr="00154FB3">
        <w:rPr>
          <w:i/>
        </w:rPr>
        <w:t>S. bijugatus</w:t>
      </w:r>
      <w:r w:rsidRPr="00154FB3">
        <w:t xml:space="preserve"> free cells (</w:t>
      </w:r>
      <w:r w:rsidRPr="00154FB3">
        <w:rPr>
          <w:noProof/>
        </w:rPr>
        <w:drawing>
          <wp:inline distT="0" distB="0" distL="0" distR="0" wp14:anchorId="7FA94B4F" wp14:editId="1CBB0F3C">
            <wp:extent cx="133350" cy="171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154FB3">
        <w:t>) and immobilised cells (</w:t>
      </w:r>
      <w:r w:rsidRPr="00154FB3">
        <w:rPr>
          <w:noProof/>
        </w:rPr>
        <w:drawing>
          <wp:inline distT="0" distB="0" distL="0" distR="0" wp14:anchorId="4F443C40" wp14:editId="07C839B9">
            <wp:extent cx="173990" cy="173990"/>
            <wp:effectExtent l="1905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73990" cy="173990"/>
                    </a:xfrm>
                    <a:prstGeom prst="rect">
                      <a:avLst/>
                    </a:prstGeom>
                    <a:noFill/>
                    <a:ln w="9525">
                      <a:noFill/>
                      <a:miter lim="800000"/>
                      <a:headEnd/>
                      <a:tailEnd/>
                    </a:ln>
                  </pic:spPr>
                </pic:pic>
              </a:graphicData>
            </a:graphic>
          </wp:inline>
        </w:drawing>
      </w:r>
      <w:r w:rsidRPr="00154FB3">
        <w:t xml:space="preserve">) incubated in low tide PRE water; (B) Growth curves of </w:t>
      </w:r>
      <w:r w:rsidRPr="00154FB3">
        <w:rPr>
          <w:i/>
        </w:rPr>
        <w:t>S. bijugatus</w:t>
      </w:r>
      <w:r w:rsidRPr="00154FB3">
        <w:t xml:space="preserve"> free cells (</w:t>
      </w:r>
      <w:r w:rsidRPr="00154FB3">
        <w:rPr>
          <w:noProof/>
        </w:rPr>
        <w:drawing>
          <wp:inline distT="0" distB="0" distL="0" distR="0" wp14:anchorId="275B12D9" wp14:editId="6BEEE1DA">
            <wp:extent cx="133350" cy="171450"/>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154FB3">
        <w:t>) and immobilised cells (</w:t>
      </w:r>
      <w:r w:rsidRPr="00154FB3">
        <w:rPr>
          <w:noProof/>
        </w:rPr>
        <w:drawing>
          <wp:inline distT="0" distB="0" distL="0" distR="0" wp14:anchorId="465B4BED" wp14:editId="377C93F2">
            <wp:extent cx="173990" cy="173990"/>
            <wp:effectExtent l="1905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73990" cy="173990"/>
                    </a:xfrm>
                    <a:prstGeom prst="rect">
                      <a:avLst/>
                    </a:prstGeom>
                    <a:noFill/>
                    <a:ln w="9525">
                      <a:noFill/>
                      <a:miter lim="800000"/>
                      <a:headEnd/>
                      <a:tailEnd/>
                    </a:ln>
                  </pic:spPr>
                </pic:pic>
              </a:graphicData>
            </a:graphic>
          </wp:inline>
        </w:drawing>
      </w:r>
      <w:r w:rsidRPr="00154FB3">
        <w:t>) incubated in high tide PRE water. The bars show standard error; PRE: Pinang River estuary</w:t>
      </w:r>
    </w:p>
    <w:p w14:paraId="00B5E280" w14:textId="77777777" w:rsidR="00000766" w:rsidRPr="00154FB3" w:rsidRDefault="00000766" w:rsidP="00000766">
      <w:pPr>
        <w:spacing w:line="240" w:lineRule="auto"/>
        <w:jc w:val="both"/>
      </w:pPr>
    </w:p>
    <w:p w14:paraId="5CBEF8AD" w14:textId="77777777" w:rsidR="00000766" w:rsidRPr="00154FB3" w:rsidRDefault="00000766" w:rsidP="00000766">
      <w:pPr>
        <w:spacing w:line="240" w:lineRule="auto"/>
        <w:jc w:val="both"/>
      </w:pPr>
      <w:r w:rsidRPr="00154FB3">
        <w:t xml:space="preserve">Figure 3: (A) Phosphate concentration during ten days in a </w:t>
      </w:r>
      <w:r w:rsidRPr="00154FB3">
        <w:rPr>
          <w:i/>
        </w:rPr>
        <w:t>S. bijugatus</w:t>
      </w:r>
      <w:r w:rsidRPr="00154FB3">
        <w:t xml:space="preserve"> free cell culture (</w:t>
      </w:r>
      <w:r w:rsidRPr="00154FB3">
        <w:rPr>
          <w:noProof/>
        </w:rPr>
        <w:drawing>
          <wp:inline distT="0" distB="0" distL="0" distR="0" wp14:anchorId="41448461" wp14:editId="7C97526E">
            <wp:extent cx="133350" cy="171450"/>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154FB3">
        <w:t>) and an immobilised cell culture (</w:t>
      </w:r>
      <w:r w:rsidRPr="00154FB3">
        <w:rPr>
          <w:noProof/>
        </w:rPr>
        <w:drawing>
          <wp:inline distT="0" distB="0" distL="0" distR="0" wp14:anchorId="544233F4" wp14:editId="0AD00A5C">
            <wp:extent cx="173990" cy="173990"/>
            <wp:effectExtent l="1905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73990" cy="173990"/>
                    </a:xfrm>
                    <a:prstGeom prst="rect">
                      <a:avLst/>
                    </a:prstGeom>
                    <a:noFill/>
                    <a:ln w="9525">
                      <a:noFill/>
                      <a:miter lim="800000"/>
                      <a:headEnd/>
                      <a:tailEnd/>
                    </a:ln>
                  </pic:spPr>
                </pic:pic>
              </a:graphicData>
            </a:graphic>
          </wp:inline>
        </w:drawing>
      </w:r>
      <w:r w:rsidRPr="00154FB3">
        <w:t>) incubated in low tide PRE water. (B) Phosphate concentration during the ten-day duration with</w:t>
      </w:r>
      <w:r w:rsidRPr="00154FB3">
        <w:rPr>
          <w:i/>
        </w:rPr>
        <w:t xml:space="preserve"> S. bijugatus</w:t>
      </w:r>
      <w:r w:rsidRPr="00154FB3">
        <w:t xml:space="preserve"> free cell cultures (</w:t>
      </w:r>
      <w:r w:rsidRPr="00154FB3">
        <w:rPr>
          <w:noProof/>
        </w:rPr>
        <w:drawing>
          <wp:inline distT="0" distB="0" distL="0" distR="0" wp14:anchorId="6A2A226B" wp14:editId="6D774925">
            <wp:extent cx="133350" cy="171450"/>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154FB3">
        <w:t>) and immobilised cell cultures (</w:t>
      </w:r>
      <w:r w:rsidRPr="00154FB3">
        <w:rPr>
          <w:noProof/>
        </w:rPr>
        <w:drawing>
          <wp:inline distT="0" distB="0" distL="0" distR="0" wp14:anchorId="143E0E53" wp14:editId="2BB83FA0">
            <wp:extent cx="173990" cy="173990"/>
            <wp:effectExtent l="1905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73990" cy="173990"/>
                    </a:xfrm>
                    <a:prstGeom prst="rect">
                      <a:avLst/>
                    </a:prstGeom>
                    <a:noFill/>
                    <a:ln w="9525">
                      <a:noFill/>
                      <a:miter lim="800000"/>
                      <a:headEnd/>
                      <a:tailEnd/>
                    </a:ln>
                  </pic:spPr>
                </pic:pic>
              </a:graphicData>
            </a:graphic>
          </wp:inline>
        </w:drawing>
      </w:r>
      <w:r w:rsidRPr="00154FB3">
        <w:t>) incubated in high tide PRE water. The bars show standard error. PRE: Pinang River estuary</w:t>
      </w:r>
    </w:p>
    <w:p w14:paraId="2556FD30" w14:textId="77777777" w:rsidR="00000766" w:rsidRPr="00154FB3" w:rsidRDefault="00000766" w:rsidP="00000766">
      <w:pPr>
        <w:spacing w:line="240" w:lineRule="auto"/>
        <w:jc w:val="both"/>
      </w:pPr>
    </w:p>
    <w:p w14:paraId="153BCE71" w14:textId="77777777" w:rsidR="00000766" w:rsidRPr="00000766" w:rsidRDefault="00000766" w:rsidP="00000766">
      <w:pPr>
        <w:pStyle w:val="NoSpacing"/>
        <w:jc w:val="both"/>
        <w:rPr>
          <w:rFonts w:ascii="Times New Roman" w:hAnsi="Times New Roman" w:cs="Times New Roman"/>
          <w:sz w:val="24"/>
          <w:szCs w:val="24"/>
        </w:rPr>
      </w:pPr>
      <w:r w:rsidRPr="00154FB3">
        <w:rPr>
          <w:rFonts w:ascii="Times New Roman" w:hAnsi="Times New Roman" w:cs="Times New Roman"/>
          <w:sz w:val="24"/>
          <w:szCs w:val="24"/>
        </w:rPr>
        <w:t>Figure 4: Ammonium (</w:t>
      </w:r>
      <w:r w:rsidRPr="00154FB3">
        <w:rPr>
          <w:rFonts w:ascii="Times New Roman" w:hAnsi="Times New Roman" w:cs="Times New Roman"/>
          <w:noProof/>
          <w:sz w:val="24"/>
          <w:szCs w:val="24"/>
          <w:lang w:val="en-GB" w:eastAsia="en-GB"/>
        </w:rPr>
        <w:drawing>
          <wp:inline distT="0" distB="0" distL="0" distR="0" wp14:anchorId="566D9CD0" wp14:editId="4625C089">
            <wp:extent cx="133350" cy="171450"/>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154FB3">
        <w:rPr>
          <w:rFonts w:ascii="Times New Roman" w:hAnsi="Times New Roman" w:cs="Times New Roman"/>
          <w:sz w:val="24"/>
          <w:szCs w:val="24"/>
        </w:rPr>
        <w:t>), nitrite (</w:t>
      </w:r>
      <w:r w:rsidRPr="00154FB3">
        <w:rPr>
          <w:rFonts w:ascii="Times New Roman" w:hAnsi="Times New Roman" w:cs="Times New Roman"/>
          <w:noProof/>
          <w:sz w:val="24"/>
          <w:szCs w:val="24"/>
          <w:lang w:val="en-GB" w:eastAsia="en-GB"/>
        </w:rPr>
        <w:drawing>
          <wp:inline distT="0" distB="0" distL="0" distR="0" wp14:anchorId="315833F8" wp14:editId="1FCE6FA9">
            <wp:extent cx="173990" cy="173990"/>
            <wp:effectExtent l="1905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73990" cy="173990"/>
                    </a:xfrm>
                    <a:prstGeom prst="rect">
                      <a:avLst/>
                    </a:prstGeom>
                    <a:noFill/>
                    <a:ln w="9525">
                      <a:noFill/>
                      <a:miter lim="800000"/>
                      <a:headEnd/>
                      <a:tailEnd/>
                    </a:ln>
                  </pic:spPr>
                </pic:pic>
              </a:graphicData>
            </a:graphic>
          </wp:inline>
        </w:drawing>
      </w:r>
      <w:r w:rsidRPr="00154FB3">
        <w:rPr>
          <w:rFonts w:ascii="Times New Roman" w:hAnsi="Times New Roman" w:cs="Times New Roman"/>
          <w:sz w:val="24"/>
          <w:szCs w:val="24"/>
        </w:rPr>
        <w:t>), and nitrate (</w:t>
      </w:r>
      <w:r w:rsidRPr="00154FB3">
        <w:rPr>
          <w:rFonts w:ascii="Times New Roman" w:hAnsi="Times New Roman" w:cs="Times New Roman"/>
          <w:noProof/>
          <w:sz w:val="24"/>
          <w:szCs w:val="24"/>
          <w:lang w:val="en-GB" w:eastAsia="en-GB"/>
        </w:rPr>
        <w:drawing>
          <wp:inline distT="0" distB="0" distL="0" distR="0" wp14:anchorId="4D9E7392" wp14:editId="52C48553">
            <wp:extent cx="152400" cy="161925"/>
            <wp:effectExtent l="1905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Pr="00154FB3">
        <w:rPr>
          <w:rFonts w:ascii="Times New Roman" w:hAnsi="Times New Roman" w:cs="Times New Roman"/>
          <w:sz w:val="24"/>
          <w:szCs w:val="24"/>
        </w:rPr>
        <w:t xml:space="preserve">) concentration during the ten-day incubation of </w:t>
      </w:r>
      <w:r w:rsidRPr="00154FB3">
        <w:rPr>
          <w:rFonts w:ascii="Times New Roman" w:hAnsi="Times New Roman" w:cs="Times New Roman"/>
          <w:i/>
          <w:sz w:val="24"/>
          <w:szCs w:val="24"/>
        </w:rPr>
        <w:t xml:space="preserve">S. bijugatus </w:t>
      </w:r>
      <w:r w:rsidRPr="00154FB3">
        <w:rPr>
          <w:rFonts w:ascii="Times New Roman" w:hAnsi="Times New Roman" w:cs="Times New Roman"/>
          <w:sz w:val="24"/>
          <w:szCs w:val="24"/>
        </w:rPr>
        <w:t>(A) free cells and (B) immobilised cells in low tide PRE water. Ammonium (</w:t>
      </w:r>
      <w:r w:rsidRPr="00154FB3">
        <w:rPr>
          <w:rFonts w:ascii="Times New Roman" w:hAnsi="Times New Roman" w:cs="Times New Roman"/>
          <w:noProof/>
          <w:sz w:val="24"/>
          <w:szCs w:val="24"/>
          <w:lang w:val="en-GB" w:eastAsia="en-GB"/>
        </w:rPr>
        <w:drawing>
          <wp:inline distT="0" distB="0" distL="0" distR="0" wp14:anchorId="583BA076" wp14:editId="0287AA82">
            <wp:extent cx="133350" cy="171450"/>
            <wp:effectExtent l="1905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154FB3">
        <w:rPr>
          <w:rFonts w:ascii="Times New Roman" w:hAnsi="Times New Roman" w:cs="Times New Roman"/>
          <w:sz w:val="24"/>
          <w:szCs w:val="24"/>
        </w:rPr>
        <w:t>), nitrite (</w:t>
      </w:r>
      <w:r w:rsidRPr="00154FB3">
        <w:rPr>
          <w:rFonts w:ascii="Times New Roman" w:hAnsi="Times New Roman" w:cs="Times New Roman"/>
          <w:noProof/>
          <w:sz w:val="24"/>
          <w:szCs w:val="24"/>
          <w:lang w:val="en-GB" w:eastAsia="en-GB"/>
        </w:rPr>
        <w:drawing>
          <wp:inline distT="0" distB="0" distL="0" distR="0" wp14:anchorId="29A4F653" wp14:editId="388A915E">
            <wp:extent cx="173990" cy="173990"/>
            <wp:effectExtent l="1905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73990" cy="173990"/>
                    </a:xfrm>
                    <a:prstGeom prst="rect">
                      <a:avLst/>
                    </a:prstGeom>
                    <a:noFill/>
                    <a:ln w="9525">
                      <a:noFill/>
                      <a:miter lim="800000"/>
                      <a:headEnd/>
                      <a:tailEnd/>
                    </a:ln>
                  </pic:spPr>
                </pic:pic>
              </a:graphicData>
            </a:graphic>
          </wp:inline>
        </w:drawing>
      </w:r>
      <w:r w:rsidRPr="00154FB3">
        <w:rPr>
          <w:rFonts w:ascii="Times New Roman" w:hAnsi="Times New Roman" w:cs="Times New Roman"/>
          <w:sz w:val="24"/>
          <w:szCs w:val="24"/>
        </w:rPr>
        <w:t>), and nitrate (</w:t>
      </w:r>
      <w:r w:rsidRPr="00154FB3">
        <w:rPr>
          <w:rFonts w:ascii="Times New Roman" w:hAnsi="Times New Roman" w:cs="Times New Roman"/>
          <w:noProof/>
          <w:sz w:val="24"/>
          <w:szCs w:val="24"/>
          <w:lang w:val="en-GB" w:eastAsia="en-GB"/>
        </w:rPr>
        <w:drawing>
          <wp:inline distT="0" distB="0" distL="0" distR="0" wp14:anchorId="36F78B01" wp14:editId="519C869F">
            <wp:extent cx="152400" cy="161925"/>
            <wp:effectExtent l="1905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Pr="00154FB3">
        <w:rPr>
          <w:rFonts w:ascii="Times New Roman" w:hAnsi="Times New Roman" w:cs="Times New Roman"/>
          <w:sz w:val="24"/>
          <w:szCs w:val="24"/>
        </w:rPr>
        <w:t xml:space="preserve">) concentration during the ten-day incubation of </w:t>
      </w:r>
      <w:r w:rsidRPr="00154FB3">
        <w:rPr>
          <w:rFonts w:ascii="Times New Roman" w:hAnsi="Times New Roman" w:cs="Times New Roman"/>
          <w:i/>
          <w:sz w:val="24"/>
          <w:szCs w:val="24"/>
        </w:rPr>
        <w:t xml:space="preserve">S. bijugatus </w:t>
      </w:r>
      <w:r w:rsidRPr="00154FB3">
        <w:rPr>
          <w:rFonts w:ascii="Times New Roman" w:hAnsi="Times New Roman" w:cs="Times New Roman"/>
          <w:sz w:val="24"/>
          <w:szCs w:val="24"/>
        </w:rPr>
        <w:t>(C)</w:t>
      </w:r>
      <w:r w:rsidRPr="00154FB3">
        <w:rPr>
          <w:rFonts w:ascii="Times New Roman" w:hAnsi="Times New Roman" w:cs="Times New Roman"/>
          <w:i/>
          <w:sz w:val="24"/>
          <w:szCs w:val="24"/>
        </w:rPr>
        <w:t xml:space="preserve"> </w:t>
      </w:r>
      <w:r w:rsidRPr="00154FB3">
        <w:rPr>
          <w:rFonts w:ascii="Times New Roman" w:hAnsi="Times New Roman" w:cs="Times New Roman"/>
          <w:sz w:val="24"/>
          <w:szCs w:val="24"/>
        </w:rPr>
        <w:t>free cells and (D) immobilised cells in high tide PRE water. The bars show the standard error; PRE: Pinang River estuary</w:t>
      </w:r>
    </w:p>
    <w:p w14:paraId="326B7AC7" w14:textId="77777777" w:rsidR="005D4367" w:rsidRPr="00AB6139" w:rsidRDefault="005D4367" w:rsidP="00000766">
      <w:pPr>
        <w:spacing w:line="240" w:lineRule="auto"/>
        <w:jc w:val="both"/>
      </w:pPr>
    </w:p>
    <w:sectPr w:rsidR="005D4367" w:rsidRPr="00AB6139" w:rsidSect="00E075BB">
      <w:footerReference w:type="default" r:id="rId18"/>
      <w:pgSz w:w="11901" w:h="1684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2B430" w14:textId="77777777" w:rsidR="00271AD2" w:rsidRDefault="00271AD2" w:rsidP="00AF2C92">
      <w:r>
        <w:separator/>
      </w:r>
    </w:p>
  </w:endnote>
  <w:endnote w:type="continuationSeparator" w:id="0">
    <w:p w14:paraId="7EEA798C" w14:textId="77777777" w:rsidR="00271AD2" w:rsidRDefault="00271AD2"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AdvGulliv-R">
    <w:altName w:val="MS Mincho"/>
    <w:panose1 w:val="00000000000000000000"/>
    <w:charset w:val="80"/>
    <w:family w:val="auto"/>
    <w:notTrueType/>
    <w:pitch w:val="default"/>
    <w:sig w:usb0="00000001" w:usb1="08070000" w:usb2="00000010" w:usb3="00000000" w:csb0="00020000" w:csb1="00000000"/>
  </w:font>
  <w:font w:name="AdvEPSTIM">
    <w:altName w:val="MS Mincho"/>
    <w:panose1 w:val="00000000000000000000"/>
    <w:charset w:val="80"/>
    <w:family w:val="auto"/>
    <w:notTrueType/>
    <w:pitch w:val="default"/>
    <w:sig w:usb0="00000000" w:usb1="08070000" w:usb2="00000010" w:usb3="00000000" w:csb0="00020000" w:csb1="00000000"/>
  </w:font>
  <w:font w:name="AdvEPSTIM-I">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550"/>
      <w:docPartObj>
        <w:docPartGallery w:val="Page Numbers (Bottom of Page)"/>
        <w:docPartUnique/>
      </w:docPartObj>
    </w:sdtPr>
    <w:sdtEndPr/>
    <w:sdtContent>
      <w:p w14:paraId="635CEBDA" w14:textId="60419578" w:rsidR="00443BA6" w:rsidRDefault="00443BA6">
        <w:pPr>
          <w:pStyle w:val="Footer"/>
          <w:jc w:val="center"/>
        </w:pPr>
        <w:r>
          <w:fldChar w:fldCharType="begin"/>
        </w:r>
        <w:r>
          <w:instrText xml:space="preserve"> PAGE   \* MERGEFORMAT </w:instrText>
        </w:r>
        <w:r>
          <w:fldChar w:fldCharType="separate"/>
        </w:r>
        <w:r w:rsidR="00154FB3">
          <w:rPr>
            <w:noProof/>
          </w:rPr>
          <w:t>7</w:t>
        </w:r>
        <w:r>
          <w:rPr>
            <w:noProof/>
          </w:rPr>
          <w:fldChar w:fldCharType="end"/>
        </w:r>
      </w:p>
    </w:sdtContent>
  </w:sdt>
  <w:p w14:paraId="7ED0EEAC" w14:textId="77777777" w:rsidR="00443BA6" w:rsidRDefault="00443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51CD6" w14:textId="77777777" w:rsidR="00271AD2" w:rsidRDefault="00271AD2" w:rsidP="00AF2C92">
      <w:r>
        <w:separator/>
      </w:r>
    </w:p>
  </w:footnote>
  <w:footnote w:type="continuationSeparator" w:id="0">
    <w:p w14:paraId="0D9182D1" w14:textId="77777777" w:rsidR="00271AD2" w:rsidRDefault="00271AD2"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474B7"/>
    <w:rsid w:val="00000766"/>
    <w:rsid w:val="00001899"/>
    <w:rsid w:val="00001985"/>
    <w:rsid w:val="0000476A"/>
    <w:rsid w:val="000049AD"/>
    <w:rsid w:val="0000681B"/>
    <w:rsid w:val="0001053D"/>
    <w:rsid w:val="00011ECE"/>
    <w:rsid w:val="000133C0"/>
    <w:rsid w:val="00014C4E"/>
    <w:rsid w:val="00017107"/>
    <w:rsid w:val="000201DC"/>
    <w:rsid w:val="000202E2"/>
    <w:rsid w:val="00022441"/>
    <w:rsid w:val="0002261E"/>
    <w:rsid w:val="00024839"/>
    <w:rsid w:val="00026871"/>
    <w:rsid w:val="0003260F"/>
    <w:rsid w:val="00037A98"/>
    <w:rsid w:val="000427FB"/>
    <w:rsid w:val="0004455E"/>
    <w:rsid w:val="00047CB5"/>
    <w:rsid w:val="00051FAA"/>
    <w:rsid w:val="000572A9"/>
    <w:rsid w:val="00057DDE"/>
    <w:rsid w:val="00061325"/>
    <w:rsid w:val="000733AC"/>
    <w:rsid w:val="00074B81"/>
    <w:rsid w:val="00074D22"/>
    <w:rsid w:val="00075081"/>
    <w:rsid w:val="0007528A"/>
    <w:rsid w:val="000811AB"/>
    <w:rsid w:val="00083C5F"/>
    <w:rsid w:val="000867DE"/>
    <w:rsid w:val="000911C4"/>
    <w:rsid w:val="0009172C"/>
    <w:rsid w:val="000930EC"/>
    <w:rsid w:val="00095E61"/>
    <w:rsid w:val="000966C1"/>
    <w:rsid w:val="00096A1A"/>
    <w:rsid w:val="000970AC"/>
    <w:rsid w:val="000A1167"/>
    <w:rsid w:val="000A1997"/>
    <w:rsid w:val="000A4428"/>
    <w:rsid w:val="000A6D40"/>
    <w:rsid w:val="000A7BC3"/>
    <w:rsid w:val="000B1661"/>
    <w:rsid w:val="000B2E88"/>
    <w:rsid w:val="000B3815"/>
    <w:rsid w:val="000B4603"/>
    <w:rsid w:val="000C09BE"/>
    <w:rsid w:val="000C1380"/>
    <w:rsid w:val="000C554F"/>
    <w:rsid w:val="000C5679"/>
    <w:rsid w:val="000D0DC5"/>
    <w:rsid w:val="000D15FF"/>
    <w:rsid w:val="000D1B0C"/>
    <w:rsid w:val="000D28DF"/>
    <w:rsid w:val="000D46B6"/>
    <w:rsid w:val="000D488B"/>
    <w:rsid w:val="000D68DF"/>
    <w:rsid w:val="000E0A48"/>
    <w:rsid w:val="000E138D"/>
    <w:rsid w:val="000E187A"/>
    <w:rsid w:val="000E2D61"/>
    <w:rsid w:val="000E450E"/>
    <w:rsid w:val="000E6259"/>
    <w:rsid w:val="000F4677"/>
    <w:rsid w:val="000F5BE0"/>
    <w:rsid w:val="00100587"/>
    <w:rsid w:val="00101376"/>
    <w:rsid w:val="0010284E"/>
    <w:rsid w:val="00103122"/>
    <w:rsid w:val="0010336A"/>
    <w:rsid w:val="001050F1"/>
    <w:rsid w:val="00105AEA"/>
    <w:rsid w:val="00106DAF"/>
    <w:rsid w:val="00114ABE"/>
    <w:rsid w:val="00116023"/>
    <w:rsid w:val="00134A51"/>
    <w:rsid w:val="00140727"/>
    <w:rsid w:val="001446F2"/>
    <w:rsid w:val="0015111F"/>
    <w:rsid w:val="00154FB3"/>
    <w:rsid w:val="00155780"/>
    <w:rsid w:val="00160628"/>
    <w:rsid w:val="00161344"/>
    <w:rsid w:val="00162195"/>
    <w:rsid w:val="0016322A"/>
    <w:rsid w:val="00165A21"/>
    <w:rsid w:val="001705CE"/>
    <w:rsid w:val="001744AF"/>
    <w:rsid w:val="0017714B"/>
    <w:rsid w:val="00177263"/>
    <w:rsid w:val="001804DF"/>
    <w:rsid w:val="00181BDC"/>
    <w:rsid w:val="00181DB0"/>
    <w:rsid w:val="001829E3"/>
    <w:rsid w:val="00186F18"/>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3E8"/>
    <w:rsid w:val="001C1BA3"/>
    <w:rsid w:val="001C1DEC"/>
    <w:rsid w:val="001C5736"/>
    <w:rsid w:val="001D39D6"/>
    <w:rsid w:val="001D647F"/>
    <w:rsid w:val="001D6857"/>
    <w:rsid w:val="001E0572"/>
    <w:rsid w:val="001E0A67"/>
    <w:rsid w:val="001E1028"/>
    <w:rsid w:val="001E14E2"/>
    <w:rsid w:val="001E6302"/>
    <w:rsid w:val="001E7DCB"/>
    <w:rsid w:val="001F3411"/>
    <w:rsid w:val="001F4287"/>
    <w:rsid w:val="001F4819"/>
    <w:rsid w:val="001F4DBA"/>
    <w:rsid w:val="00200149"/>
    <w:rsid w:val="00200457"/>
    <w:rsid w:val="002006AF"/>
    <w:rsid w:val="0020415E"/>
    <w:rsid w:val="00204B3F"/>
    <w:rsid w:val="00204FF4"/>
    <w:rsid w:val="0021056E"/>
    <w:rsid w:val="0021075D"/>
    <w:rsid w:val="0021165A"/>
    <w:rsid w:val="00211BC9"/>
    <w:rsid w:val="00215D81"/>
    <w:rsid w:val="0021620C"/>
    <w:rsid w:val="00216E78"/>
    <w:rsid w:val="00217275"/>
    <w:rsid w:val="0023039F"/>
    <w:rsid w:val="00236F4B"/>
    <w:rsid w:val="00242B0D"/>
    <w:rsid w:val="002467C6"/>
    <w:rsid w:val="0024692A"/>
    <w:rsid w:val="00251D56"/>
    <w:rsid w:val="002521F2"/>
    <w:rsid w:val="00252BBA"/>
    <w:rsid w:val="00253123"/>
    <w:rsid w:val="00262073"/>
    <w:rsid w:val="00264001"/>
    <w:rsid w:val="00266354"/>
    <w:rsid w:val="002672E3"/>
    <w:rsid w:val="00267A18"/>
    <w:rsid w:val="00271AD2"/>
    <w:rsid w:val="00273462"/>
    <w:rsid w:val="0027395B"/>
    <w:rsid w:val="00275854"/>
    <w:rsid w:val="002778B6"/>
    <w:rsid w:val="00281C3E"/>
    <w:rsid w:val="0028261C"/>
    <w:rsid w:val="00283B41"/>
    <w:rsid w:val="0028417F"/>
    <w:rsid w:val="00285F28"/>
    <w:rsid w:val="00286398"/>
    <w:rsid w:val="00292741"/>
    <w:rsid w:val="00293FE9"/>
    <w:rsid w:val="002A0302"/>
    <w:rsid w:val="002A3C42"/>
    <w:rsid w:val="002A5D75"/>
    <w:rsid w:val="002B1B1A"/>
    <w:rsid w:val="002B4A0B"/>
    <w:rsid w:val="002B6D0C"/>
    <w:rsid w:val="002B7228"/>
    <w:rsid w:val="002C00A7"/>
    <w:rsid w:val="002C53EE"/>
    <w:rsid w:val="002C6CD3"/>
    <w:rsid w:val="002D06B4"/>
    <w:rsid w:val="002D1710"/>
    <w:rsid w:val="002D1E63"/>
    <w:rsid w:val="002D24F7"/>
    <w:rsid w:val="002D2799"/>
    <w:rsid w:val="002D2CD7"/>
    <w:rsid w:val="002D480C"/>
    <w:rsid w:val="002D4DDC"/>
    <w:rsid w:val="002D4F75"/>
    <w:rsid w:val="002D6493"/>
    <w:rsid w:val="002D7AB6"/>
    <w:rsid w:val="002E06D0"/>
    <w:rsid w:val="002E39C1"/>
    <w:rsid w:val="002E3C27"/>
    <w:rsid w:val="002E3C92"/>
    <w:rsid w:val="002E403A"/>
    <w:rsid w:val="002E6458"/>
    <w:rsid w:val="002E7F3A"/>
    <w:rsid w:val="002F4EDB"/>
    <w:rsid w:val="002F6054"/>
    <w:rsid w:val="00304FC8"/>
    <w:rsid w:val="0031284C"/>
    <w:rsid w:val="00315689"/>
    <w:rsid w:val="00315713"/>
    <w:rsid w:val="0031686C"/>
    <w:rsid w:val="00316FE0"/>
    <w:rsid w:val="003204D2"/>
    <w:rsid w:val="0032605E"/>
    <w:rsid w:val="003275D1"/>
    <w:rsid w:val="00330B2A"/>
    <w:rsid w:val="00331E17"/>
    <w:rsid w:val="00333063"/>
    <w:rsid w:val="0034073D"/>
    <w:rsid w:val="003408E3"/>
    <w:rsid w:val="00343480"/>
    <w:rsid w:val="0034502D"/>
    <w:rsid w:val="00345E89"/>
    <w:rsid w:val="00347E20"/>
    <w:rsid w:val="00350B21"/>
    <w:rsid w:val="003522A1"/>
    <w:rsid w:val="0035254B"/>
    <w:rsid w:val="00352F22"/>
    <w:rsid w:val="00353555"/>
    <w:rsid w:val="00355687"/>
    <w:rsid w:val="003565D4"/>
    <w:rsid w:val="00357B05"/>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2393"/>
    <w:rsid w:val="003B47FE"/>
    <w:rsid w:val="003B5673"/>
    <w:rsid w:val="003B62C9"/>
    <w:rsid w:val="003C1ECB"/>
    <w:rsid w:val="003C7176"/>
    <w:rsid w:val="003D0929"/>
    <w:rsid w:val="003D4729"/>
    <w:rsid w:val="003D7DD6"/>
    <w:rsid w:val="003E5AAF"/>
    <w:rsid w:val="003E600D"/>
    <w:rsid w:val="003E64DF"/>
    <w:rsid w:val="003E6A5D"/>
    <w:rsid w:val="003F0DE4"/>
    <w:rsid w:val="003F193A"/>
    <w:rsid w:val="003F3FD8"/>
    <w:rsid w:val="003F4207"/>
    <w:rsid w:val="003F4A08"/>
    <w:rsid w:val="003F4BEF"/>
    <w:rsid w:val="003F5C46"/>
    <w:rsid w:val="003F7CBB"/>
    <w:rsid w:val="003F7D34"/>
    <w:rsid w:val="004026D0"/>
    <w:rsid w:val="00410033"/>
    <w:rsid w:val="00412C8E"/>
    <w:rsid w:val="00413820"/>
    <w:rsid w:val="0041518D"/>
    <w:rsid w:val="0042221D"/>
    <w:rsid w:val="00424DD3"/>
    <w:rsid w:val="004269C5"/>
    <w:rsid w:val="00434819"/>
    <w:rsid w:val="00435939"/>
    <w:rsid w:val="00437CA6"/>
    <w:rsid w:val="00437CC7"/>
    <w:rsid w:val="00442B9C"/>
    <w:rsid w:val="00443BA6"/>
    <w:rsid w:val="00443C30"/>
    <w:rsid w:val="00445EFA"/>
    <w:rsid w:val="0044738A"/>
    <w:rsid w:val="004473D3"/>
    <w:rsid w:val="00452231"/>
    <w:rsid w:val="004570C6"/>
    <w:rsid w:val="00460C13"/>
    <w:rsid w:val="00463228"/>
    <w:rsid w:val="00463782"/>
    <w:rsid w:val="004667E0"/>
    <w:rsid w:val="0046760E"/>
    <w:rsid w:val="00470E10"/>
    <w:rsid w:val="00472DF3"/>
    <w:rsid w:val="00477A97"/>
    <w:rsid w:val="004801EB"/>
    <w:rsid w:val="00481343"/>
    <w:rsid w:val="00484FE7"/>
    <w:rsid w:val="0048549E"/>
    <w:rsid w:val="00485BE7"/>
    <w:rsid w:val="00493347"/>
    <w:rsid w:val="00496092"/>
    <w:rsid w:val="004A08DB"/>
    <w:rsid w:val="004A25D0"/>
    <w:rsid w:val="004A37E8"/>
    <w:rsid w:val="004A3945"/>
    <w:rsid w:val="004A7549"/>
    <w:rsid w:val="004B09D4"/>
    <w:rsid w:val="004B1457"/>
    <w:rsid w:val="004B309D"/>
    <w:rsid w:val="004B330A"/>
    <w:rsid w:val="004B7C8E"/>
    <w:rsid w:val="004C103B"/>
    <w:rsid w:val="004C3D3C"/>
    <w:rsid w:val="004C4CC9"/>
    <w:rsid w:val="004D0EDC"/>
    <w:rsid w:val="004D1220"/>
    <w:rsid w:val="004D14B3"/>
    <w:rsid w:val="004D1529"/>
    <w:rsid w:val="004D2253"/>
    <w:rsid w:val="004D2261"/>
    <w:rsid w:val="004D5514"/>
    <w:rsid w:val="004D56C3"/>
    <w:rsid w:val="004E0338"/>
    <w:rsid w:val="004E4FF3"/>
    <w:rsid w:val="004E56A8"/>
    <w:rsid w:val="004F3B55"/>
    <w:rsid w:val="004F4E46"/>
    <w:rsid w:val="004F6B7D"/>
    <w:rsid w:val="005015F6"/>
    <w:rsid w:val="00501AC2"/>
    <w:rsid w:val="005030C4"/>
    <w:rsid w:val="005031C5"/>
    <w:rsid w:val="00504FDC"/>
    <w:rsid w:val="005120CC"/>
    <w:rsid w:val="005127CA"/>
    <w:rsid w:val="00512B7B"/>
    <w:rsid w:val="00514EA1"/>
    <w:rsid w:val="005162B2"/>
    <w:rsid w:val="0051798B"/>
    <w:rsid w:val="00521F5A"/>
    <w:rsid w:val="00525E06"/>
    <w:rsid w:val="00526454"/>
    <w:rsid w:val="00527099"/>
    <w:rsid w:val="00531823"/>
    <w:rsid w:val="00534ECC"/>
    <w:rsid w:val="0053720D"/>
    <w:rsid w:val="00540EF5"/>
    <w:rsid w:val="00541BF3"/>
    <w:rsid w:val="00541CD3"/>
    <w:rsid w:val="005430D6"/>
    <w:rsid w:val="005476FA"/>
    <w:rsid w:val="0055595E"/>
    <w:rsid w:val="00557988"/>
    <w:rsid w:val="00557A5D"/>
    <w:rsid w:val="00560182"/>
    <w:rsid w:val="00562C49"/>
    <w:rsid w:val="00562DEF"/>
    <w:rsid w:val="0056321A"/>
    <w:rsid w:val="00563A35"/>
    <w:rsid w:val="00564EF8"/>
    <w:rsid w:val="0056552A"/>
    <w:rsid w:val="00566596"/>
    <w:rsid w:val="005717FF"/>
    <w:rsid w:val="005741E9"/>
    <w:rsid w:val="005748CF"/>
    <w:rsid w:val="00584270"/>
    <w:rsid w:val="00584738"/>
    <w:rsid w:val="00591B8B"/>
    <w:rsid w:val="00591C74"/>
    <w:rsid w:val="005920B0"/>
    <w:rsid w:val="0059380D"/>
    <w:rsid w:val="00595A8F"/>
    <w:rsid w:val="005977C2"/>
    <w:rsid w:val="00597BF2"/>
    <w:rsid w:val="005B134E"/>
    <w:rsid w:val="005B2039"/>
    <w:rsid w:val="005B344F"/>
    <w:rsid w:val="005B3FBA"/>
    <w:rsid w:val="005B4A1D"/>
    <w:rsid w:val="005B674D"/>
    <w:rsid w:val="005C0CBE"/>
    <w:rsid w:val="005C1FCF"/>
    <w:rsid w:val="005D1885"/>
    <w:rsid w:val="005D27C8"/>
    <w:rsid w:val="005D4367"/>
    <w:rsid w:val="005D4A38"/>
    <w:rsid w:val="005E27C2"/>
    <w:rsid w:val="005E2EEA"/>
    <w:rsid w:val="005E3708"/>
    <w:rsid w:val="005E3CCD"/>
    <w:rsid w:val="005E3D6B"/>
    <w:rsid w:val="005E5B55"/>
    <w:rsid w:val="005E5E4A"/>
    <w:rsid w:val="005E693D"/>
    <w:rsid w:val="005E75BF"/>
    <w:rsid w:val="005F462C"/>
    <w:rsid w:val="005F57BA"/>
    <w:rsid w:val="005F5B10"/>
    <w:rsid w:val="005F61E6"/>
    <w:rsid w:val="005F66B5"/>
    <w:rsid w:val="005F6C45"/>
    <w:rsid w:val="00603139"/>
    <w:rsid w:val="00605A69"/>
    <w:rsid w:val="00606C54"/>
    <w:rsid w:val="00610EC3"/>
    <w:rsid w:val="00614375"/>
    <w:rsid w:val="00615B0A"/>
    <w:rsid w:val="006168CF"/>
    <w:rsid w:val="0062011B"/>
    <w:rsid w:val="006231E8"/>
    <w:rsid w:val="00626DE0"/>
    <w:rsid w:val="00630901"/>
    <w:rsid w:val="00631F8E"/>
    <w:rsid w:val="00636EE9"/>
    <w:rsid w:val="00640950"/>
    <w:rsid w:val="00641AE7"/>
    <w:rsid w:val="00642629"/>
    <w:rsid w:val="00646A65"/>
    <w:rsid w:val="006503AD"/>
    <w:rsid w:val="0065293D"/>
    <w:rsid w:val="00653259"/>
    <w:rsid w:val="00653EFC"/>
    <w:rsid w:val="00654021"/>
    <w:rsid w:val="00657355"/>
    <w:rsid w:val="00661045"/>
    <w:rsid w:val="006636D9"/>
    <w:rsid w:val="00666DA8"/>
    <w:rsid w:val="00671057"/>
    <w:rsid w:val="00675AAF"/>
    <w:rsid w:val="0068031A"/>
    <w:rsid w:val="00681B2F"/>
    <w:rsid w:val="0068335F"/>
    <w:rsid w:val="00686DCD"/>
    <w:rsid w:val="00687217"/>
    <w:rsid w:val="00691F5E"/>
    <w:rsid w:val="00693302"/>
    <w:rsid w:val="0069640B"/>
    <w:rsid w:val="006A1B83"/>
    <w:rsid w:val="006A21CD"/>
    <w:rsid w:val="006A4478"/>
    <w:rsid w:val="006A5918"/>
    <w:rsid w:val="006A5CBF"/>
    <w:rsid w:val="006B21B2"/>
    <w:rsid w:val="006B37DD"/>
    <w:rsid w:val="006B4A4A"/>
    <w:rsid w:val="006C19B2"/>
    <w:rsid w:val="006C5BB8"/>
    <w:rsid w:val="006C6936"/>
    <w:rsid w:val="006C69F5"/>
    <w:rsid w:val="006C7B01"/>
    <w:rsid w:val="006D0FE8"/>
    <w:rsid w:val="006D446E"/>
    <w:rsid w:val="006D4B2B"/>
    <w:rsid w:val="006D4F3C"/>
    <w:rsid w:val="006D5C66"/>
    <w:rsid w:val="006E1B3C"/>
    <w:rsid w:val="006E23FB"/>
    <w:rsid w:val="006E325A"/>
    <w:rsid w:val="006E33EC"/>
    <w:rsid w:val="006E3802"/>
    <w:rsid w:val="006E6C02"/>
    <w:rsid w:val="006F093D"/>
    <w:rsid w:val="006F231A"/>
    <w:rsid w:val="006F6B55"/>
    <w:rsid w:val="006F788D"/>
    <w:rsid w:val="006F78E1"/>
    <w:rsid w:val="006F7B19"/>
    <w:rsid w:val="00701072"/>
    <w:rsid w:val="00702054"/>
    <w:rsid w:val="007035A4"/>
    <w:rsid w:val="0071134C"/>
    <w:rsid w:val="00711799"/>
    <w:rsid w:val="00712B78"/>
    <w:rsid w:val="0071393B"/>
    <w:rsid w:val="00713EE2"/>
    <w:rsid w:val="007177FC"/>
    <w:rsid w:val="00720C5E"/>
    <w:rsid w:val="00721701"/>
    <w:rsid w:val="007263E9"/>
    <w:rsid w:val="00731835"/>
    <w:rsid w:val="007341F8"/>
    <w:rsid w:val="00734372"/>
    <w:rsid w:val="00734EB8"/>
    <w:rsid w:val="007350AC"/>
    <w:rsid w:val="00735F8B"/>
    <w:rsid w:val="00742D1F"/>
    <w:rsid w:val="00743EBA"/>
    <w:rsid w:val="00744C8E"/>
    <w:rsid w:val="00745CE1"/>
    <w:rsid w:val="0074707E"/>
    <w:rsid w:val="007516DC"/>
    <w:rsid w:val="00754B80"/>
    <w:rsid w:val="00761918"/>
    <w:rsid w:val="00762F03"/>
    <w:rsid w:val="0076413B"/>
    <w:rsid w:val="007648AE"/>
    <w:rsid w:val="00764BF8"/>
    <w:rsid w:val="0076514D"/>
    <w:rsid w:val="007720D3"/>
    <w:rsid w:val="00773D59"/>
    <w:rsid w:val="00780A77"/>
    <w:rsid w:val="00781003"/>
    <w:rsid w:val="0078682B"/>
    <w:rsid w:val="00790CFB"/>
    <w:rsid w:val="007911FD"/>
    <w:rsid w:val="00793930"/>
    <w:rsid w:val="00793DD1"/>
    <w:rsid w:val="00794FEC"/>
    <w:rsid w:val="007A003E"/>
    <w:rsid w:val="007A1965"/>
    <w:rsid w:val="007A2ED1"/>
    <w:rsid w:val="007A4BE6"/>
    <w:rsid w:val="007B0DC6"/>
    <w:rsid w:val="007B1094"/>
    <w:rsid w:val="007B1762"/>
    <w:rsid w:val="007B3320"/>
    <w:rsid w:val="007B45FF"/>
    <w:rsid w:val="007B5333"/>
    <w:rsid w:val="007C082F"/>
    <w:rsid w:val="007C301F"/>
    <w:rsid w:val="007C4540"/>
    <w:rsid w:val="007C65AF"/>
    <w:rsid w:val="007D135D"/>
    <w:rsid w:val="007D496F"/>
    <w:rsid w:val="007D730F"/>
    <w:rsid w:val="007D7CD8"/>
    <w:rsid w:val="007D7E63"/>
    <w:rsid w:val="007E3AA7"/>
    <w:rsid w:val="007F2384"/>
    <w:rsid w:val="007F53BA"/>
    <w:rsid w:val="007F737D"/>
    <w:rsid w:val="00801C01"/>
    <w:rsid w:val="0080308E"/>
    <w:rsid w:val="008046F5"/>
    <w:rsid w:val="00805303"/>
    <w:rsid w:val="00806705"/>
    <w:rsid w:val="00806738"/>
    <w:rsid w:val="00814D91"/>
    <w:rsid w:val="008178E1"/>
    <w:rsid w:val="008216D5"/>
    <w:rsid w:val="008221E9"/>
    <w:rsid w:val="00824193"/>
    <w:rsid w:val="008249CE"/>
    <w:rsid w:val="00831A50"/>
    <w:rsid w:val="00831B3C"/>
    <w:rsid w:val="00831C89"/>
    <w:rsid w:val="00832114"/>
    <w:rsid w:val="00834C46"/>
    <w:rsid w:val="0084093E"/>
    <w:rsid w:val="00841CE1"/>
    <w:rsid w:val="008463A7"/>
    <w:rsid w:val="008473D8"/>
    <w:rsid w:val="008528DC"/>
    <w:rsid w:val="00852B8C"/>
    <w:rsid w:val="00854981"/>
    <w:rsid w:val="00854FC6"/>
    <w:rsid w:val="00856D40"/>
    <w:rsid w:val="00864932"/>
    <w:rsid w:val="00864B2E"/>
    <w:rsid w:val="00865963"/>
    <w:rsid w:val="00871C1D"/>
    <w:rsid w:val="0087305D"/>
    <w:rsid w:val="0087450E"/>
    <w:rsid w:val="00875A82"/>
    <w:rsid w:val="00876CA3"/>
    <w:rsid w:val="008772FE"/>
    <w:rsid w:val="008775F1"/>
    <w:rsid w:val="008821AE"/>
    <w:rsid w:val="00883D3A"/>
    <w:rsid w:val="008854F7"/>
    <w:rsid w:val="00885A9D"/>
    <w:rsid w:val="00890E3B"/>
    <w:rsid w:val="008929D2"/>
    <w:rsid w:val="00893636"/>
    <w:rsid w:val="00893B94"/>
    <w:rsid w:val="00896E9D"/>
    <w:rsid w:val="00896F11"/>
    <w:rsid w:val="008A1049"/>
    <w:rsid w:val="008A1C98"/>
    <w:rsid w:val="008A322D"/>
    <w:rsid w:val="008A4D72"/>
    <w:rsid w:val="008A5CA5"/>
    <w:rsid w:val="008A6285"/>
    <w:rsid w:val="008A63B2"/>
    <w:rsid w:val="008B345D"/>
    <w:rsid w:val="008C1FC2"/>
    <w:rsid w:val="008C2980"/>
    <w:rsid w:val="008C4DD6"/>
    <w:rsid w:val="008C5AFB"/>
    <w:rsid w:val="008D07FB"/>
    <w:rsid w:val="008D0C02"/>
    <w:rsid w:val="008D357D"/>
    <w:rsid w:val="008D435A"/>
    <w:rsid w:val="008E387B"/>
    <w:rsid w:val="008E5B78"/>
    <w:rsid w:val="008E6087"/>
    <w:rsid w:val="008E758D"/>
    <w:rsid w:val="008E7701"/>
    <w:rsid w:val="008F10A7"/>
    <w:rsid w:val="008F1C12"/>
    <w:rsid w:val="008F755D"/>
    <w:rsid w:val="008F7A39"/>
    <w:rsid w:val="009021E8"/>
    <w:rsid w:val="00902B16"/>
    <w:rsid w:val="00904677"/>
    <w:rsid w:val="00905EE2"/>
    <w:rsid w:val="00911440"/>
    <w:rsid w:val="00911712"/>
    <w:rsid w:val="00911B27"/>
    <w:rsid w:val="009167E3"/>
    <w:rsid w:val="009170BE"/>
    <w:rsid w:val="00920B55"/>
    <w:rsid w:val="0092120B"/>
    <w:rsid w:val="009252F7"/>
    <w:rsid w:val="009262C9"/>
    <w:rsid w:val="00930EB9"/>
    <w:rsid w:val="00932047"/>
    <w:rsid w:val="00933DC7"/>
    <w:rsid w:val="009418F4"/>
    <w:rsid w:val="00942BBC"/>
    <w:rsid w:val="00944180"/>
    <w:rsid w:val="00944AA0"/>
    <w:rsid w:val="009474B7"/>
    <w:rsid w:val="00947DA2"/>
    <w:rsid w:val="00951177"/>
    <w:rsid w:val="0096050B"/>
    <w:rsid w:val="00963AB2"/>
    <w:rsid w:val="00966018"/>
    <w:rsid w:val="009673E8"/>
    <w:rsid w:val="00967AEB"/>
    <w:rsid w:val="00974DB8"/>
    <w:rsid w:val="00980661"/>
    <w:rsid w:val="0098093B"/>
    <w:rsid w:val="009876D4"/>
    <w:rsid w:val="009909DF"/>
    <w:rsid w:val="009914A5"/>
    <w:rsid w:val="0099158D"/>
    <w:rsid w:val="00994091"/>
    <w:rsid w:val="0099548E"/>
    <w:rsid w:val="00996456"/>
    <w:rsid w:val="00996A12"/>
    <w:rsid w:val="00996AAA"/>
    <w:rsid w:val="00997B0F"/>
    <w:rsid w:val="009A1CAD"/>
    <w:rsid w:val="009A1ED3"/>
    <w:rsid w:val="009A3440"/>
    <w:rsid w:val="009A5832"/>
    <w:rsid w:val="009A6838"/>
    <w:rsid w:val="009A6925"/>
    <w:rsid w:val="009B24B5"/>
    <w:rsid w:val="009B4EBC"/>
    <w:rsid w:val="009B5ABB"/>
    <w:rsid w:val="009B73CE"/>
    <w:rsid w:val="009C2461"/>
    <w:rsid w:val="009C448D"/>
    <w:rsid w:val="009C6FE2"/>
    <w:rsid w:val="009C7674"/>
    <w:rsid w:val="009D004A"/>
    <w:rsid w:val="009D2EFB"/>
    <w:rsid w:val="009D5880"/>
    <w:rsid w:val="009E1FD4"/>
    <w:rsid w:val="009E3B07"/>
    <w:rsid w:val="009E51D1"/>
    <w:rsid w:val="009E5531"/>
    <w:rsid w:val="009F171E"/>
    <w:rsid w:val="009F3D2F"/>
    <w:rsid w:val="009F6E2E"/>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6FD2"/>
    <w:rsid w:val="00A3717A"/>
    <w:rsid w:val="00A4088C"/>
    <w:rsid w:val="00A42F91"/>
    <w:rsid w:val="00A4377A"/>
    <w:rsid w:val="00A4456B"/>
    <w:rsid w:val="00A448D4"/>
    <w:rsid w:val="00A452E0"/>
    <w:rsid w:val="00A50AB1"/>
    <w:rsid w:val="00A51EA5"/>
    <w:rsid w:val="00A53742"/>
    <w:rsid w:val="00A557A1"/>
    <w:rsid w:val="00A63059"/>
    <w:rsid w:val="00A63AE3"/>
    <w:rsid w:val="00A651A4"/>
    <w:rsid w:val="00A71361"/>
    <w:rsid w:val="00A746E2"/>
    <w:rsid w:val="00A7577E"/>
    <w:rsid w:val="00A759EE"/>
    <w:rsid w:val="00A81FF2"/>
    <w:rsid w:val="00A83904"/>
    <w:rsid w:val="00A90A79"/>
    <w:rsid w:val="00A96B30"/>
    <w:rsid w:val="00AA01C8"/>
    <w:rsid w:val="00AA26C3"/>
    <w:rsid w:val="00AA59B5"/>
    <w:rsid w:val="00AA7777"/>
    <w:rsid w:val="00AA7B84"/>
    <w:rsid w:val="00AB18F2"/>
    <w:rsid w:val="00AB6139"/>
    <w:rsid w:val="00AB637F"/>
    <w:rsid w:val="00AB66A2"/>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7E"/>
    <w:rsid w:val="00AF519F"/>
    <w:rsid w:val="00AF5387"/>
    <w:rsid w:val="00AF55F5"/>
    <w:rsid w:val="00AF7E86"/>
    <w:rsid w:val="00B00CB9"/>
    <w:rsid w:val="00B024B9"/>
    <w:rsid w:val="00B077FA"/>
    <w:rsid w:val="00B127D7"/>
    <w:rsid w:val="00B13B0C"/>
    <w:rsid w:val="00B1453A"/>
    <w:rsid w:val="00B20F82"/>
    <w:rsid w:val="00B25BD5"/>
    <w:rsid w:val="00B26D9F"/>
    <w:rsid w:val="00B34079"/>
    <w:rsid w:val="00B35AEC"/>
    <w:rsid w:val="00B3793A"/>
    <w:rsid w:val="00B401BA"/>
    <w:rsid w:val="00B407E4"/>
    <w:rsid w:val="00B425B6"/>
    <w:rsid w:val="00B42A72"/>
    <w:rsid w:val="00B441AE"/>
    <w:rsid w:val="00B45A65"/>
    <w:rsid w:val="00B45F33"/>
    <w:rsid w:val="00B46D50"/>
    <w:rsid w:val="00B53170"/>
    <w:rsid w:val="00B532E4"/>
    <w:rsid w:val="00B548B9"/>
    <w:rsid w:val="00B56DBE"/>
    <w:rsid w:val="00B6067E"/>
    <w:rsid w:val="00B60AC8"/>
    <w:rsid w:val="00B62999"/>
    <w:rsid w:val="00B63BE3"/>
    <w:rsid w:val="00B64885"/>
    <w:rsid w:val="00B66810"/>
    <w:rsid w:val="00B72BE3"/>
    <w:rsid w:val="00B72C1C"/>
    <w:rsid w:val="00B73B80"/>
    <w:rsid w:val="00B75E6B"/>
    <w:rsid w:val="00B770C7"/>
    <w:rsid w:val="00B80F26"/>
    <w:rsid w:val="00B822BD"/>
    <w:rsid w:val="00B842F4"/>
    <w:rsid w:val="00B91A7B"/>
    <w:rsid w:val="00B929DD"/>
    <w:rsid w:val="00B93AF6"/>
    <w:rsid w:val="00B95405"/>
    <w:rsid w:val="00B963F1"/>
    <w:rsid w:val="00BA020A"/>
    <w:rsid w:val="00BA7BAF"/>
    <w:rsid w:val="00BB02A4"/>
    <w:rsid w:val="00BB1270"/>
    <w:rsid w:val="00BB1E44"/>
    <w:rsid w:val="00BB5267"/>
    <w:rsid w:val="00BB52B8"/>
    <w:rsid w:val="00BB59D8"/>
    <w:rsid w:val="00BB7E69"/>
    <w:rsid w:val="00BC0E51"/>
    <w:rsid w:val="00BC3C1F"/>
    <w:rsid w:val="00BC7CE7"/>
    <w:rsid w:val="00BD1373"/>
    <w:rsid w:val="00BD295E"/>
    <w:rsid w:val="00BD4664"/>
    <w:rsid w:val="00BD58E7"/>
    <w:rsid w:val="00BE1193"/>
    <w:rsid w:val="00BF4849"/>
    <w:rsid w:val="00BF4B9E"/>
    <w:rsid w:val="00BF4EA7"/>
    <w:rsid w:val="00C00EDB"/>
    <w:rsid w:val="00C01F4A"/>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36D85"/>
    <w:rsid w:val="00C4069E"/>
    <w:rsid w:val="00C41ADC"/>
    <w:rsid w:val="00C44149"/>
    <w:rsid w:val="00C44410"/>
    <w:rsid w:val="00C44A15"/>
    <w:rsid w:val="00C44E13"/>
    <w:rsid w:val="00C4630A"/>
    <w:rsid w:val="00C51A50"/>
    <w:rsid w:val="00C523F0"/>
    <w:rsid w:val="00C526D2"/>
    <w:rsid w:val="00C53A91"/>
    <w:rsid w:val="00C5794E"/>
    <w:rsid w:val="00C60968"/>
    <w:rsid w:val="00C63D39"/>
    <w:rsid w:val="00C63EDD"/>
    <w:rsid w:val="00C65B36"/>
    <w:rsid w:val="00C7292E"/>
    <w:rsid w:val="00C74E88"/>
    <w:rsid w:val="00C80924"/>
    <w:rsid w:val="00C8286B"/>
    <w:rsid w:val="00C84656"/>
    <w:rsid w:val="00C913F5"/>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0FD2"/>
    <w:rsid w:val="00CD5A78"/>
    <w:rsid w:val="00CD7345"/>
    <w:rsid w:val="00CE372E"/>
    <w:rsid w:val="00CF0A1B"/>
    <w:rsid w:val="00CF19F6"/>
    <w:rsid w:val="00CF22DB"/>
    <w:rsid w:val="00CF2F4F"/>
    <w:rsid w:val="00CF536D"/>
    <w:rsid w:val="00D02E9D"/>
    <w:rsid w:val="00D03F54"/>
    <w:rsid w:val="00D10CB8"/>
    <w:rsid w:val="00D12806"/>
    <w:rsid w:val="00D12D44"/>
    <w:rsid w:val="00D15018"/>
    <w:rsid w:val="00D158AC"/>
    <w:rsid w:val="00D1650F"/>
    <w:rsid w:val="00D1694C"/>
    <w:rsid w:val="00D20F5E"/>
    <w:rsid w:val="00D23B76"/>
    <w:rsid w:val="00D23E49"/>
    <w:rsid w:val="00D24B4A"/>
    <w:rsid w:val="00D361E6"/>
    <w:rsid w:val="00D379A3"/>
    <w:rsid w:val="00D45FF3"/>
    <w:rsid w:val="00D512CF"/>
    <w:rsid w:val="00D528B9"/>
    <w:rsid w:val="00D53186"/>
    <w:rsid w:val="00D5487D"/>
    <w:rsid w:val="00D60140"/>
    <w:rsid w:val="00D6024A"/>
    <w:rsid w:val="00D608B5"/>
    <w:rsid w:val="00D64739"/>
    <w:rsid w:val="00D71F99"/>
    <w:rsid w:val="00D73CA4"/>
    <w:rsid w:val="00D73D71"/>
    <w:rsid w:val="00D740EC"/>
    <w:rsid w:val="00D74396"/>
    <w:rsid w:val="00D80284"/>
    <w:rsid w:val="00D81F71"/>
    <w:rsid w:val="00D8642D"/>
    <w:rsid w:val="00D87D9B"/>
    <w:rsid w:val="00D90A5E"/>
    <w:rsid w:val="00D91A68"/>
    <w:rsid w:val="00D95A68"/>
    <w:rsid w:val="00DA17C7"/>
    <w:rsid w:val="00DA6A9A"/>
    <w:rsid w:val="00DB109B"/>
    <w:rsid w:val="00DB1EFD"/>
    <w:rsid w:val="00DB3EAF"/>
    <w:rsid w:val="00DB46C6"/>
    <w:rsid w:val="00DC19FE"/>
    <w:rsid w:val="00DC1FE8"/>
    <w:rsid w:val="00DC3203"/>
    <w:rsid w:val="00DC3C99"/>
    <w:rsid w:val="00DC52F5"/>
    <w:rsid w:val="00DC5FD0"/>
    <w:rsid w:val="00DD0354"/>
    <w:rsid w:val="00DD27D7"/>
    <w:rsid w:val="00DD458C"/>
    <w:rsid w:val="00DD680C"/>
    <w:rsid w:val="00DD6DB6"/>
    <w:rsid w:val="00DD72E9"/>
    <w:rsid w:val="00DD7605"/>
    <w:rsid w:val="00DE2020"/>
    <w:rsid w:val="00DE3476"/>
    <w:rsid w:val="00DE7BEA"/>
    <w:rsid w:val="00DF5B84"/>
    <w:rsid w:val="00DF6D5B"/>
    <w:rsid w:val="00DF771B"/>
    <w:rsid w:val="00DF7EE2"/>
    <w:rsid w:val="00E01BAA"/>
    <w:rsid w:val="00E0282A"/>
    <w:rsid w:val="00E02F9B"/>
    <w:rsid w:val="00E075BB"/>
    <w:rsid w:val="00E07E14"/>
    <w:rsid w:val="00E12AA5"/>
    <w:rsid w:val="00E14F94"/>
    <w:rsid w:val="00E17336"/>
    <w:rsid w:val="00E17D15"/>
    <w:rsid w:val="00E22B95"/>
    <w:rsid w:val="00E30331"/>
    <w:rsid w:val="00E30BB8"/>
    <w:rsid w:val="00E31F9C"/>
    <w:rsid w:val="00E40488"/>
    <w:rsid w:val="00E50367"/>
    <w:rsid w:val="00E51ABA"/>
    <w:rsid w:val="00E524CB"/>
    <w:rsid w:val="00E53CAC"/>
    <w:rsid w:val="00E63C93"/>
    <w:rsid w:val="00E65184"/>
    <w:rsid w:val="00E65456"/>
    <w:rsid w:val="00E65A91"/>
    <w:rsid w:val="00E66188"/>
    <w:rsid w:val="00E664FB"/>
    <w:rsid w:val="00E672F0"/>
    <w:rsid w:val="00E70373"/>
    <w:rsid w:val="00E72E40"/>
    <w:rsid w:val="00E72FFE"/>
    <w:rsid w:val="00E735A7"/>
    <w:rsid w:val="00E73665"/>
    <w:rsid w:val="00E73999"/>
    <w:rsid w:val="00E73BDC"/>
    <w:rsid w:val="00E73E9E"/>
    <w:rsid w:val="00E80782"/>
    <w:rsid w:val="00E81660"/>
    <w:rsid w:val="00E82291"/>
    <w:rsid w:val="00E854FE"/>
    <w:rsid w:val="00E86361"/>
    <w:rsid w:val="00E906CC"/>
    <w:rsid w:val="00E939A0"/>
    <w:rsid w:val="00E97E4E"/>
    <w:rsid w:val="00EA0810"/>
    <w:rsid w:val="00EA1CC2"/>
    <w:rsid w:val="00EA2D76"/>
    <w:rsid w:val="00EA4644"/>
    <w:rsid w:val="00EA758A"/>
    <w:rsid w:val="00EB096F"/>
    <w:rsid w:val="00EB199F"/>
    <w:rsid w:val="00EB27C4"/>
    <w:rsid w:val="00EB2A15"/>
    <w:rsid w:val="00EB4339"/>
    <w:rsid w:val="00EB5387"/>
    <w:rsid w:val="00EB561E"/>
    <w:rsid w:val="00EB5C10"/>
    <w:rsid w:val="00EB7322"/>
    <w:rsid w:val="00EC0FE9"/>
    <w:rsid w:val="00EC198B"/>
    <w:rsid w:val="00EC1D51"/>
    <w:rsid w:val="00EC3144"/>
    <w:rsid w:val="00EC35CB"/>
    <w:rsid w:val="00EC426D"/>
    <w:rsid w:val="00EC571B"/>
    <w:rsid w:val="00EC57D7"/>
    <w:rsid w:val="00EC6385"/>
    <w:rsid w:val="00ED1DE9"/>
    <w:rsid w:val="00ED23D4"/>
    <w:rsid w:val="00ED5E0B"/>
    <w:rsid w:val="00EE30DF"/>
    <w:rsid w:val="00EE37B6"/>
    <w:rsid w:val="00EE486C"/>
    <w:rsid w:val="00EE722D"/>
    <w:rsid w:val="00EF0F45"/>
    <w:rsid w:val="00EF164B"/>
    <w:rsid w:val="00EF22F6"/>
    <w:rsid w:val="00EF7463"/>
    <w:rsid w:val="00EF7971"/>
    <w:rsid w:val="00F002EF"/>
    <w:rsid w:val="00F01EE9"/>
    <w:rsid w:val="00F03424"/>
    <w:rsid w:val="00F04900"/>
    <w:rsid w:val="00F065A4"/>
    <w:rsid w:val="00F10053"/>
    <w:rsid w:val="00F126B9"/>
    <w:rsid w:val="00F12715"/>
    <w:rsid w:val="00F144D5"/>
    <w:rsid w:val="00F146F0"/>
    <w:rsid w:val="00F15039"/>
    <w:rsid w:val="00F20FF3"/>
    <w:rsid w:val="00F2190B"/>
    <w:rsid w:val="00F2256D"/>
    <w:rsid w:val="00F228B5"/>
    <w:rsid w:val="00F2389C"/>
    <w:rsid w:val="00F25C67"/>
    <w:rsid w:val="00F30C3C"/>
    <w:rsid w:val="00F30D8B"/>
    <w:rsid w:val="00F30DFF"/>
    <w:rsid w:val="00F31EFD"/>
    <w:rsid w:val="00F32B80"/>
    <w:rsid w:val="00F340EB"/>
    <w:rsid w:val="00F35285"/>
    <w:rsid w:val="00F43B9D"/>
    <w:rsid w:val="00F44D5E"/>
    <w:rsid w:val="00F53A35"/>
    <w:rsid w:val="00F55A3D"/>
    <w:rsid w:val="00F5744B"/>
    <w:rsid w:val="00F61209"/>
    <w:rsid w:val="00F6259E"/>
    <w:rsid w:val="00F65DD4"/>
    <w:rsid w:val="00F672B2"/>
    <w:rsid w:val="00F74921"/>
    <w:rsid w:val="00F802DE"/>
    <w:rsid w:val="00F8158D"/>
    <w:rsid w:val="00F83973"/>
    <w:rsid w:val="00F84432"/>
    <w:rsid w:val="00F87FA3"/>
    <w:rsid w:val="00F900DA"/>
    <w:rsid w:val="00F91C33"/>
    <w:rsid w:val="00F91C95"/>
    <w:rsid w:val="00F93D8C"/>
    <w:rsid w:val="00FA3102"/>
    <w:rsid w:val="00FA48D4"/>
    <w:rsid w:val="00FA54FA"/>
    <w:rsid w:val="00FA6D39"/>
    <w:rsid w:val="00FA74F7"/>
    <w:rsid w:val="00FB227E"/>
    <w:rsid w:val="00FB3D61"/>
    <w:rsid w:val="00FB44CE"/>
    <w:rsid w:val="00FB5009"/>
    <w:rsid w:val="00FB76AB"/>
    <w:rsid w:val="00FD03FE"/>
    <w:rsid w:val="00FD126E"/>
    <w:rsid w:val="00FD3C36"/>
    <w:rsid w:val="00FD4D81"/>
    <w:rsid w:val="00FD7498"/>
    <w:rsid w:val="00FD7FB3"/>
    <w:rsid w:val="00FE4713"/>
    <w:rsid w:val="00FE5444"/>
    <w:rsid w:val="00FE76F2"/>
    <w:rsid w:val="00FF1F44"/>
    <w:rsid w:val="00FF225E"/>
    <w:rsid w:val="00FF549A"/>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onnector" idref="#_x0000_s1055"/>
        <o:r id="V:Rule2" type="connector" idref="#_x0000_s1056"/>
        <o:r id="V:Rule3" type="connector" idref="#_x0000_s1054"/>
      </o:rules>
    </o:shapelayout>
  </w:shapeDefaults>
  <w:decimalSymbol w:val="."/>
  <w:listSeparator w:val=","/>
  <w14:docId w14:val="517A3D60"/>
  <w15:docId w15:val="{44AE8304-3BED-4EB0-A64F-559E3D48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BalloonText">
    <w:name w:val="Balloon Text"/>
    <w:basedOn w:val="Normal"/>
    <w:link w:val="BalloonTextChar"/>
    <w:rsid w:val="0028417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8417F"/>
    <w:rPr>
      <w:rFonts w:ascii="Tahoma" w:hAnsi="Tahoma" w:cs="Tahoma"/>
      <w:sz w:val="16"/>
      <w:szCs w:val="16"/>
    </w:rPr>
  </w:style>
  <w:style w:type="paragraph" w:styleId="NoSpacing">
    <w:name w:val="No Spacing"/>
    <w:uiPriority w:val="1"/>
    <w:qFormat/>
    <w:rsid w:val="0028417F"/>
    <w:rPr>
      <w:rFonts w:asciiTheme="minorHAnsi" w:eastAsiaTheme="minorEastAsia" w:hAnsiTheme="minorHAnsi" w:cstheme="minorBidi"/>
      <w:sz w:val="22"/>
      <w:szCs w:val="22"/>
      <w:lang w:val="en-US" w:eastAsia="zh-CN"/>
    </w:rPr>
  </w:style>
  <w:style w:type="table" w:styleId="TableGrid">
    <w:name w:val="Table Grid"/>
    <w:basedOn w:val="TableNormal"/>
    <w:uiPriority w:val="59"/>
    <w:rsid w:val="004A3945"/>
    <w:rPr>
      <w:rFonts w:asciiTheme="minorHAnsi" w:eastAsiaTheme="minorEastAsia" w:hAnsiTheme="minorHAnsi" w:cstheme="minorBidi"/>
      <w:sz w:val="22"/>
      <w:szCs w:val="22"/>
      <w:lang w:val="ms-MY"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A4478"/>
    <w:rPr>
      <w:color w:val="0000FF" w:themeColor="hyperlink"/>
      <w:u w:val="single"/>
    </w:rPr>
  </w:style>
  <w:style w:type="character" w:styleId="FollowedHyperlink">
    <w:name w:val="FollowedHyperlink"/>
    <w:basedOn w:val="DefaultParagraphFont"/>
    <w:rsid w:val="004C103B"/>
    <w:rPr>
      <w:color w:val="800080" w:themeColor="followedHyperlink"/>
      <w:u w:val="single"/>
    </w:rPr>
  </w:style>
  <w:style w:type="character" w:styleId="LineNumber">
    <w:name w:val="line number"/>
    <w:basedOn w:val="DefaultParagraphFont"/>
    <w:semiHidden/>
    <w:unhideWhenUsed/>
    <w:rsid w:val="003F4BEF"/>
  </w:style>
  <w:style w:type="character" w:styleId="CommentReference">
    <w:name w:val="annotation reference"/>
    <w:basedOn w:val="DefaultParagraphFont"/>
    <w:semiHidden/>
    <w:unhideWhenUsed/>
    <w:rsid w:val="00C51A50"/>
    <w:rPr>
      <w:sz w:val="16"/>
      <w:szCs w:val="16"/>
    </w:rPr>
  </w:style>
  <w:style w:type="paragraph" w:styleId="CommentText">
    <w:name w:val="annotation text"/>
    <w:basedOn w:val="Normal"/>
    <w:link w:val="CommentTextChar"/>
    <w:semiHidden/>
    <w:unhideWhenUsed/>
    <w:rsid w:val="00C51A50"/>
    <w:pPr>
      <w:spacing w:line="240" w:lineRule="auto"/>
    </w:pPr>
    <w:rPr>
      <w:sz w:val="20"/>
      <w:szCs w:val="20"/>
    </w:rPr>
  </w:style>
  <w:style w:type="character" w:customStyle="1" w:styleId="CommentTextChar">
    <w:name w:val="Comment Text Char"/>
    <w:basedOn w:val="DefaultParagraphFont"/>
    <w:link w:val="CommentText"/>
    <w:semiHidden/>
    <w:rsid w:val="00C51A50"/>
  </w:style>
  <w:style w:type="paragraph" w:styleId="CommentSubject">
    <w:name w:val="annotation subject"/>
    <w:basedOn w:val="CommentText"/>
    <w:next w:val="CommentText"/>
    <w:link w:val="CommentSubjectChar"/>
    <w:semiHidden/>
    <w:unhideWhenUsed/>
    <w:rsid w:val="00C51A50"/>
    <w:rPr>
      <w:b/>
      <w:bCs/>
    </w:rPr>
  </w:style>
  <w:style w:type="character" w:customStyle="1" w:styleId="CommentSubjectChar">
    <w:name w:val="Comment Subject Char"/>
    <w:basedOn w:val="CommentTextChar"/>
    <w:link w:val="CommentSubject"/>
    <w:semiHidden/>
    <w:rsid w:val="00C51A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gure1%20(Wong%20Swe%20Cheng).tif" TargetMode="External"/><Relationship Id="rId13" Type="http://schemas.openxmlformats.org/officeDocument/2006/relationships/hyperlink" Target="Table2%20(Wong%20Swe%20Cheng).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Figure4%20(Wong%20Swe%20Cheng).ti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Table3%20(Wong%20Swe%20Cheng).docx" TargetMode="External"/><Relationship Id="rId10" Type="http://schemas.openxmlformats.org/officeDocument/2006/relationships/hyperlink" Target="Figure2%20(Wong%20Swe%20Cheng).ti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able1%20(Wong%20Swe%20Cheng).docx" TargetMode="External"/><Relationship Id="rId14" Type="http://schemas.openxmlformats.org/officeDocument/2006/relationships/hyperlink" Target="Figure3%20(Wong%20Swe%20Cheng).ti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1_TF_Template_Word_Windows_2007.zip\TF_Template_Word_Windows_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0DD91-1256-4CFC-A7A1-360576B8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TF_Template_Word_Windows_2007.dotx</Template>
  <TotalTime>6708</TotalTime>
  <Pages>1</Pages>
  <Words>5699</Words>
  <Characters>32487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TF_Template_Word_Windows_2007</vt:lpstr>
    </vt:vector>
  </TitlesOfParts>
  <Company>Toshiba</Company>
  <LinksUpToDate>false</LinksUpToDate>
  <CharactersWithSpaces>38110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TF_Template_Word_Windows_2007</dc:title>
  <dc:creator>User</dc:creator>
  <cp:lastModifiedBy>Gray, Andrew D.</cp:lastModifiedBy>
  <cp:revision>110</cp:revision>
  <cp:lastPrinted>2011-07-22T14:54:00Z</cp:lastPrinted>
  <dcterms:created xsi:type="dcterms:W3CDTF">2016-10-23T08:05:00Z</dcterms:created>
  <dcterms:modified xsi:type="dcterms:W3CDTF">2017-12-14T15:22:00Z</dcterms:modified>
</cp:coreProperties>
</file>