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43D" w:rsidRPr="00163252" w:rsidRDefault="0079740F" w:rsidP="00FF443D">
      <w:pPr>
        <w:rPr>
          <w:rFonts w:ascii="Arial" w:hAnsi="Arial" w:cs="Arial"/>
          <w:b/>
          <w:sz w:val="24"/>
          <w:szCs w:val="24"/>
        </w:rPr>
      </w:pPr>
      <w:r w:rsidRPr="00163252">
        <w:rPr>
          <w:rFonts w:ascii="Arial" w:hAnsi="Arial" w:cs="Arial"/>
          <w:b/>
          <w:sz w:val="24"/>
          <w:szCs w:val="24"/>
        </w:rPr>
        <w:t xml:space="preserve">A practical guide to the use of </w:t>
      </w:r>
      <w:r w:rsidR="00ED1DC6" w:rsidRPr="00163252">
        <w:rPr>
          <w:rFonts w:ascii="Arial" w:hAnsi="Arial" w:cs="Arial"/>
          <w:b/>
          <w:sz w:val="24"/>
          <w:szCs w:val="24"/>
        </w:rPr>
        <w:t>success/failure statistics in the estimation of prospect risk</w:t>
      </w:r>
    </w:p>
    <w:p w:rsidR="00192350" w:rsidRPr="00163252" w:rsidRDefault="00192350" w:rsidP="00192350">
      <w:pPr>
        <w:rPr>
          <w:rFonts w:ascii="Arial" w:hAnsi="Arial" w:cs="Arial"/>
          <w:sz w:val="24"/>
          <w:szCs w:val="24"/>
        </w:rPr>
      </w:pPr>
      <w:r w:rsidRPr="00163252">
        <w:rPr>
          <w:rFonts w:ascii="Arial" w:hAnsi="Arial" w:cs="Arial"/>
          <w:sz w:val="24"/>
          <w:szCs w:val="24"/>
        </w:rPr>
        <w:t>Frank J. Peel and John R. V. Brooks</w:t>
      </w:r>
    </w:p>
    <w:p w:rsidR="00204BB7" w:rsidRPr="00163252" w:rsidRDefault="00192350" w:rsidP="00FF443D">
      <w:pPr>
        <w:rPr>
          <w:rFonts w:ascii="Arial" w:hAnsi="Arial" w:cs="Arial"/>
          <w:b/>
          <w:sz w:val="24"/>
          <w:szCs w:val="24"/>
        </w:rPr>
      </w:pPr>
      <w:r w:rsidRPr="00163252">
        <w:rPr>
          <w:rFonts w:ascii="Arial" w:hAnsi="Arial" w:cs="Arial"/>
          <w:i/>
          <w:sz w:val="24"/>
          <w:szCs w:val="24"/>
        </w:rPr>
        <w:t>National Oceanography Centre, University of Southampton Waterfront Campus, European Way, Southampton SO14 3ZH, United Kingdom</w:t>
      </w:r>
    </w:p>
    <w:p w:rsidR="00F255E3" w:rsidRPr="00163252" w:rsidRDefault="00F255E3" w:rsidP="00FF443D">
      <w:pPr>
        <w:rPr>
          <w:rFonts w:ascii="Arial" w:hAnsi="Arial" w:cs="Arial"/>
          <w:b/>
          <w:sz w:val="24"/>
          <w:szCs w:val="24"/>
        </w:rPr>
      </w:pPr>
      <w:r w:rsidRPr="00163252">
        <w:rPr>
          <w:rFonts w:ascii="Arial" w:hAnsi="Arial" w:cs="Arial"/>
          <w:b/>
          <w:sz w:val="24"/>
          <w:szCs w:val="24"/>
        </w:rPr>
        <w:t>Introduction</w:t>
      </w:r>
    </w:p>
    <w:p w:rsidR="003F25C4" w:rsidRPr="00163252" w:rsidRDefault="00EA4825">
      <w:pPr>
        <w:rPr>
          <w:rFonts w:ascii="Arial" w:hAnsi="Arial" w:cs="Arial"/>
          <w:sz w:val="24"/>
          <w:szCs w:val="24"/>
        </w:rPr>
      </w:pPr>
      <w:r w:rsidRPr="00163252">
        <w:rPr>
          <w:rFonts w:ascii="Arial" w:hAnsi="Arial" w:cs="Arial"/>
          <w:sz w:val="24"/>
          <w:szCs w:val="24"/>
        </w:rPr>
        <w:t xml:space="preserve">Obtaining an estimate for the chance of success is an important part of the decision </w:t>
      </w:r>
      <w:r w:rsidR="001C7070" w:rsidRPr="00163252">
        <w:rPr>
          <w:rFonts w:ascii="Arial" w:hAnsi="Arial" w:cs="Arial"/>
          <w:sz w:val="24"/>
          <w:szCs w:val="24"/>
        </w:rPr>
        <w:t>to drill or not to drill</w:t>
      </w:r>
      <w:r w:rsidR="000E7626" w:rsidRPr="00163252">
        <w:rPr>
          <w:rFonts w:ascii="Arial" w:hAnsi="Arial" w:cs="Arial"/>
          <w:sz w:val="24"/>
          <w:szCs w:val="24"/>
        </w:rPr>
        <w:t xml:space="preserve"> a prospect</w:t>
      </w:r>
      <w:r w:rsidRPr="00163252">
        <w:rPr>
          <w:rFonts w:ascii="Arial" w:hAnsi="Arial" w:cs="Arial"/>
          <w:sz w:val="24"/>
          <w:szCs w:val="24"/>
        </w:rPr>
        <w:t xml:space="preserve">. There are </w:t>
      </w:r>
      <w:r w:rsidR="00CA3AFA" w:rsidRPr="00163252">
        <w:rPr>
          <w:rFonts w:ascii="Arial" w:hAnsi="Arial" w:cs="Arial"/>
          <w:sz w:val="24"/>
          <w:szCs w:val="24"/>
        </w:rPr>
        <w:t xml:space="preserve">many different methods used to obtain such an </w:t>
      </w:r>
      <w:r w:rsidR="00EE6165" w:rsidRPr="00163252">
        <w:rPr>
          <w:rFonts w:ascii="Arial" w:hAnsi="Arial" w:cs="Arial"/>
          <w:sz w:val="24"/>
          <w:szCs w:val="24"/>
        </w:rPr>
        <w:t xml:space="preserve">estimate (see, </w:t>
      </w:r>
      <w:r w:rsidR="00CA3AFA" w:rsidRPr="00163252">
        <w:rPr>
          <w:rFonts w:ascii="Arial" w:hAnsi="Arial" w:cs="Arial"/>
          <w:sz w:val="24"/>
          <w:szCs w:val="24"/>
        </w:rPr>
        <w:t xml:space="preserve">for example, White, 1993; Rose, 1987, </w:t>
      </w:r>
      <w:r w:rsidR="00D30F24" w:rsidRPr="00163252">
        <w:rPr>
          <w:rFonts w:ascii="Arial" w:hAnsi="Arial" w:cs="Arial"/>
          <w:sz w:val="24"/>
          <w:szCs w:val="24"/>
        </w:rPr>
        <w:t>1992, 2001)</w:t>
      </w:r>
      <w:r w:rsidR="00D30F24">
        <w:rPr>
          <w:rFonts w:ascii="Arial" w:hAnsi="Arial" w:cs="Arial"/>
          <w:sz w:val="24"/>
          <w:szCs w:val="24"/>
        </w:rPr>
        <w:t>.</w:t>
      </w:r>
      <w:r w:rsidR="003F25C4" w:rsidRPr="00163252">
        <w:rPr>
          <w:rFonts w:ascii="Arial" w:hAnsi="Arial" w:cs="Arial"/>
          <w:sz w:val="24"/>
          <w:szCs w:val="24"/>
        </w:rPr>
        <w:t xml:space="preserve"> </w:t>
      </w:r>
      <w:r w:rsidR="00EE6165" w:rsidRPr="00163252">
        <w:rPr>
          <w:rFonts w:ascii="Arial" w:hAnsi="Arial" w:cs="Arial"/>
          <w:sz w:val="24"/>
          <w:szCs w:val="24"/>
        </w:rPr>
        <w:t xml:space="preserve">These may involve weighing the strength of geological evidence for the essential components of the hydrocarbon system, and multiplying these to obtain an overall chance of success. They may involve </w:t>
      </w:r>
      <w:r w:rsidR="001C7070" w:rsidRPr="00163252">
        <w:rPr>
          <w:rFonts w:ascii="Arial" w:hAnsi="Arial" w:cs="Arial"/>
          <w:sz w:val="24"/>
          <w:szCs w:val="24"/>
        </w:rPr>
        <w:t>observing</w:t>
      </w:r>
      <w:r w:rsidR="00EE6165" w:rsidRPr="00163252">
        <w:rPr>
          <w:rFonts w:ascii="Arial" w:hAnsi="Arial" w:cs="Arial"/>
          <w:sz w:val="24"/>
          <w:szCs w:val="24"/>
        </w:rPr>
        <w:t xml:space="preserve"> </w:t>
      </w:r>
      <w:r w:rsidR="001C7070" w:rsidRPr="00163252">
        <w:rPr>
          <w:rFonts w:ascii="Arial" w:hAnsi="Arial" w:cs="Arial"/>
          <w:sz w:val="24"/>
          <w:szCs w:val="24"/>
        </w:rPr>
        <w:t>seismic attributes (e.g. Forrest et al., 2010) and combining these with a geological prior chance to derive an updated chance of success (e.g. Newendo</w:t>
      </w:r>
      <w:r w:rsidR="003F25C4" w:rsidRPr="00163252">
        <w:rPr>
          <w:rFonts w:ascii="Arial" w:hAnsi="Arial" w:cs="Arial"/>
          <w:sz w:val="24"/>
          <w:szCs w:val="24"/>
        </w:rPr>
        <w:t xml:space="preserve">rp, 1972) using Bayesian </w:t>
      </w:r>
      <w:r w:rsidR="00AE372C" w:rsidRPr="00163252">
        <w:rPr>
          <w:rFonts w:ascii="Arial" w:hAnsi="Arial" w:cs="Arial"/>
          <w:sz w:val="24"/>
          <w:szCs w:val="24"/>
        </w:rPr>
        <w:t>logic (</w:t>
      </w:r>
      <w:r w:rsidR="00AE372C" w:rsidRPr="00163252">
        <w:rPr>
          <w:rFonts w:ascii="Arial" w:hAnsi="Arial" w:cs="Arial"/>
          <w:sz w:val="24"/>
          <w:szCs w:val="24"/>
          <w:lang w:val="en"/>
        </w:rPr>
        <w:t>Bayes, 1763)</w:t>
      </w:r>
      <w:r w:rsidR="00AE372C" w:rsidRPr="00163252">
        <w:rPr>
          <w:rFonts w:ascii="Arial" w:hAnsi="Arial" w:cs="Arial"/>
          <w:sz w:val="24"/>
          <w:szCs w:val="24"/>
        </w:rPr>
        <w:t xml:space="preserve"> or other methods.</w:t>
      </w:r>
      <w:r w:rsidR="00767B16" w:rsidRPr="00163252">
        <w:rPr>
          <w:rFonts w:ascii="Arial" w:hAnsi="Arial" w:cs="Arial"/>
          <w:sz w:val="24"/>
          <w:szCs w:val="24"/>
        </w:rPr>
        <w:t xml:space="preserve"> Other tools include</w:t>
      </w:r>
      <w:r w:rsidR="00980032" w:rsidRPr="00163252">
        <w:rPr>
          <w:rFonts w:ascii="Arial" w:hAnsi="Arial" w:cs="Arial"/>
          <w:sz w:val="24"/>
          <w:szCs w:val="24"/>
        </w:rPr>
        <w:t xml:space="preserve"> use of</w:t>
      </w:r>
      <w:r w:rsidR="00767B16" w:rsidRPr="00163252">
        <w:rPr>
          <w:rFonts w:ascii="Arial" w:hAnsi="Arial" w:cs="Arial"/>
          <w:sz w:val="24"/>
          <w:szCs w:val="24"/>
        </w:rPr>
        <w:t xml:space="preserve"> the Sherman Kent Scale (Kent, 1964), developed by the CIA to translate verbal descriptions</w:t>
      </w:r>
      <w:r w:rsidR="00F3118A" w:rsidRPr="00163252">
        <w:rPr>
          <w:rFonts w:ascii="Arial" w:hAnsi="Arial" w:cs="Arial"/>
          <w:sz w:val="24"/>
          <w:szCs w:val="24"/>
        </w:rPr>
        <w:t xml:space="preserve"> of likelihood into</w:t>
      </w:r>
      <w:r w:rsidR="00767B16" w:rsidRPr="00163252">
        <w:rPr>
          <w:rFonts w:ascii="Arial" w:hAnsi="Arial" w:cs="Arial"/>
          <w:sz w:val="24"/>
          <w:szCs w:val="24"/>
        </w:rPr>
        <w:t xml:space="preserve"> numerical probability</w:t>
      </w:r>
      <w:r w:rsidR="00980032" w:rsidRPr="00163252">
        <w:rPr>
          <w:rFonts w:ascii="Arial" w:hAnsi="Arial" w:cs="Arial"/>
          <w:sz w:val="24"/>
          <w:szCs w:val="24"/>
        </w:rPr>
        <w:t xml:space="preserve">, the </w:t>
      </w:r>
      <w:r w:rsidR="00965B16" w:rsidRPr="00163252">
        <w:rPr>
          <w:rFonts w:ascii="Arial" w:hAnsi="Arial" w:cs="Arial"/>
          <w:sz w:val="24"/>
          <w:szCs w:val="24"/>
        </w:rPr>
        <w:t xml:space="preserve">solicitation </w:t>
      </w:r>
      <w:r w:rsidR="00980032" w:rsidRPr="00163252">
        <w:rPr>
          <w:rFonts w:ascii="Arial" w:hAnsi="Arial" w:cs="Arial"/>
          <w:sz w:val="24"/>
          <w:szCs w:val="24"/>
        </w:rPr>
        <w:t>of expert judgments (</w:t>
      </w:r>
      <w:r w:rsidR="00965B16" w:rsidRPr="00163252">
        <w:rPr>
          <w:rFonts w:ascii="Arial" w:hAnsi="Arial" w:cs="Arial"/>
          <w:sz w:val="24"/>
          <w:szCs w:val="24"/>
          <w:lang w:val="en"/>
        </w:rPr>
        <w:t xml:space="preserve">Hora, 2007), </w:t>
      </w:r>
      <w:r w:rsidR="00D86E0E" w:rsidRPr="00163252">
        <w:rPr>
          <w:rFonts w:ascii="Arial" w:hAnsi="Arial" w:cs="Arial"/>
          <w:sz w:val="24"/>
          <w:szCs w:val="24"/>
          <w:lang w:val="en"/>
        </w:rPr>
        <w:t xml:space="preserve">and aggregating the estimates of </w:t>
      </w:r>
      <w:r w:rsidR="0096641A" w:rsidRPr="00163252">
        <w:rPr>
          <w:rFonts w:ascii="Arial" w:hAnsi="Arial" w:cs="Arial"/>
          <w:sz w:val="24"/>
          <w:szCs w:val="24"/>
          <w:lang w:val="en"/>
        </w:rPr>
        <w:t>a set of</w:t>
      </w:r>
      <w:r w:rsidR="00D86E0E" w:rsidRPr="00163252">
        <w:rPr>
          <w:rFonts w:ascii="Arial" w:hAnsi="Arial" w:cs="Arial"/>
          <w:sz w:val="24"/>
          <w:szCs w:val="24"/>
          <w:lang w:val="en"/>
        </w:rPr>
        <w:t xml:space="preserve"> individuals within a group</w:t>
      </w:r>
      <w:r w:rsidR="00602CEC" w:rsidRPr="00163252">
        <w:rPr>
          <w:rFonts w:ascii="Arial" w:hAnsi="Arial" w:cs="Arial"/>
          <w:sz w:val="24"/>
          <w:szCs w:val="24"/>
          <w:lang w:val="en"/>
        </w:rPr>
        <w:t xml:space="preserve"> to produce a more robust estimate</w:t>
      </w:r>
      <w:r w:rsidR="00D86E0E" w:rsidRPr="00163252">
        <w:rPr>
          <w:rFonts w:ascii="Arial" w:hAnsi="Arial" w:cs="Arial"/>
          <w:sz w:val="24"/>
          <w:szCs w:val="24"/>
          <w:lang w:val="en"/>
        </w:rPr>
        <w:t xml:space="preserve"> (Hogarth, 1978), known as a “wisdom of crowds” approach (Surowiecki, 2004).</w:t>
      </w:r>
      <w:r w:rsidR="0096641A" w:rsidRPr="00163252">
        <w:rPr>
          <w:rFonts w:ascii="Arial" w:hAnsi="Arial" w:cs="Arial"/>
          <w:sz w:val="24"/>
          <w:szCs w:val="24"/>
          <w:lang w:val="en"/>
        </w:rPr>
        <w:t xml:space="preserve"> </w:t>
      </w:r>
      <w:r w:rsidR="00602CEC" w:rsidRPr="00163252">
        <w:rPr>
          <w:rFonts w:ascii="Arial" w:hAnsi="Arial" w:cs="Arial"/>
          <w:sz w:val="24"/>
          <w:szCs w:val="24"/>
          <w:lang w:val="en"/>
        </w:rPr>
        <w:t xml:space="preserve">The probability of a future outcome, </w:t>
      </w:r>
      <w:r w:rsidR="00AE372C" w:rsidRPr="00163252">
        <w:rPr>
          <w:rFonts w:ascii="Arial" w:hAnsi="Arial" w:cs="Arial"/>
          <w:sz w:val="24"/>
          <w:szCs w:val="24"/>
          <w:lang w:val="en"/>
        </w:rPr>
        <w:t>obtained from</w:t>
      </w:r>
      <w:r w:rsidR="00602CEC" w:rsidRPr="00163252">
        <w:rPr>
          <w:rFonts w:ascii="Arial" w:hAnsi="Arial" w:cs="Arial"/>
          <w:sz w:val="24"/>
          <w:szCs w:val="24"/>
          <w:lang w:val="en"/>
        </w:rPr>
        <w:t xml:space="preserve"> such methods of rational analysis, is known as inductive probability. </w:t>
      </w:r>
    </w:p>
    <w:p w:rsidR="007576E2" w:rsidRPr="00163252" w:rsidRDefault="003F25C4">
      <w:pPr>
        <w:rPr>
          <w:rFonts w:ascii="Arial" w:hAnsi="Arial" w:cs="Arial"/>
          <w:sz w:val="24"/>
          <w:szCs w:val="24"/>
          <w:lang w:val="en"/>
        </w:rPr>
      </w:pPr>
      <w:r w:rsidRPr="00163252">
        <w:rPr>
          <w:rFonts w:ascii="Arial" w:hAnsi="Arial" w:cs="Arial"/>
          <w:sz w:val="24"/>
          <w:szCs w:val="24"/>
        </w:rPr>
        <w:t xml:space="preserve">One of the most basic (and potentially most powerful tools) in </w:t>
      </w:r>
      <w:r w:rsidR="000B7E75" w:rsidRPr="00163252">
        <w:rPr>
          <w:rFonts w:ascii="Arial" w:hAnsi="Arial" w:cs="Arial"/>
          <w:sz w:val="24"/>
          <w:szCs w:val="24"/>
        </w:rPr>
        <w:t xml:space="preserve">the </w:t>
      </w:r>
      <w:r w:rsidRPr="00163252">
        <w:rPr>
          <w:rFonts w:ascii="Arial" w:hAnsi="Arial" w:cs="Arial"/>
          <w:sz w:val="24"/>
          <w:szCs w:val="24"/>
        </w:rPr>
        <w:t xml:space="preserve">armory of </w:t>
      </w:r>
      <w:proofErr w:type="gramStart"/>
      <w:r w:rsidRPr="00163252">
        <w:rPr>
          <w:rFonts w:ascii="Arial" w:hAnsi="Arial" w:cs="Arial"/>
          <w:sz w:val="24"/>
          <w:szCs w:val="24"/>
        </w:rPr>
        <w:t xml:space="preserve">methods  </w:t>
      </w:r>
      <w:r w:rsidR="000B7E75" w:rsidRPr="00163252">
        <w:rPr>
          <w:rFonts w:ascii="Arial" w:hAnsi="Arial" w:cs="Arial"/>
          <w:sz w:val="24"/>
          <w:szCs w:val="24"/>
        </w:rPr>
        <w:t>used</w:t>
      </w:r>
      <w:proofErr w:type="gramEnd"/>
      <w:r w:rsidR="000B7E75" w:rsidRPr="00163252">
        <w:rPr>
          <w:rFonts w:ascii="Arial" w:hAnsi="Arial" w:cs="Arial"/>
          <w:sz w:val="24"/>
          <w:szCs w:val="24"/>
        </w:rPr>
        <w:t xml:space="preserve"> to estimate the chance of future prospect success </w:t>
      </w:r>
      <w:r w:rsidRPr="00163252">
        <w:rPr>
          <w:rFonts w:ascii="Arial" w:hAnsi="Arial" w:cs="Arial"/>
          <w:sz w:val="24"/>
          <w:szCs w:val="24"/>
        </w:rPr>
        <w:t xml:space="preserve">is the statistical analysis of past rates of success or failure, either of prospects as a </w:t>
      </w:r>
      <w:r w:rsidR="0033207F" w:rsidRPr="00163252">
        <w:rPr>
          <w:rFonts w:ascii="Arial" w:hAnsi="Arial" w:cs="Arial"/>
          <w:sz w:val="24"/>
          <w:szCs w:val="24"/>
        </w:rPr>
        <w:t xml:space="preserve">whole (successes vs. dry holes), or </w:t>
      </w:r>
      <w:r w:rsidR="000E7626" w:rsidRPr="00163252">
        <w:rPr>
          <w:rFonts w:ascii="Arial" w:hAnsi="Arial" w:cs="Arial"/>
          <w:sz w:val="24"/>
          <w:szCs w:val="24"/>
        </w:rPr>
        <w:t xml:space="preserve">of a component of the hydrocarbon system. </w:t>
      </w:r>
      <w:r w:rsidR="007576E2" w:rsidRPr="00163252">
        <w:rPr>
          <w:rFonts w:ascii="Arial" w:hAnsi="Arial" w:cs="Arial"/>
          <w:sz w:val="24"/>
          <w:szCs w:val="24"/>
          <w:lang w:val="en"/>
        </w:rPr>
        <w:t xml:space="preserve">Baddeley et al. (2004) discuss the difference between </w:t>
      </w:r>
      <w:r w:rsidR="007576E2" w:rsidRPr="00163252">
        <w:rPr>
          <w:rFonts w:ascii="Arial" w:hAnsi="Arial" w:cs="Arial"/>
          <w:i/>
          <w:sz w:val="24"/>
          <w:szCs w:val="24"/>
          <w:lang w:val="en"/>
        </w:rPr>
        <w:t>statistical probability</w:t>
      </w:r>
      <w:r w:rsidR="007576E2" w:rsidRPr="00163252">
        <w:rPr>
          <w:rFonts w:ascii="Arial" w:hAnsi="Arial" w:cs="Arial"/>
          <w:sz w:val="24"/>
          <w:szCs w:val="24"/>
          <w:lang w:val="en"/>
        </w:rPr>
        <w:t xml:space="preserve"> obtained by look-back methods and </w:t>
      </w:r>
      <w:r w:rsidR="007576E2" w:rsidRPr="00163252">
        <w:rPr>
          <w:rFonts w:ascii="Arial" w:hAnsi="Arial" w:cs="Arial"/>
          <w:i/>
          <w:sz w:val="24"/>
          <w:szCs w:val="24"/>
          <w:lang w:val="en"/>
        </w:rPr>
        <w:t>inductive probability</w:t>
      </w:r>
      <w:r w:rsidR="007576E2" w:rsidRPr="00163252">
        <w:rPr>
          <w:rFonts w:ascii="Arial" w:hAnsi="Arial" w:cs="Arial"/>
          <w:sz w:val="24"/>
          <w:szCs w:val="24"/>
          <w:lang w:val="en"/>
        </w:rPr>
        <w:t xml:space="preserve"> derived from look-forward logic.</w:t>
      </w:r>
      <w:r w:rsidR="00AE372C" w:rsidRPr="00163252">
        <w:rPr>
          <w:rFonts w:ascii="Arial" w:hAnsi="Arial" w:cs="Arial"/>
          <w:sz w:val="24"/>
          <w:szCs w:val="24"/>
          <w:lang w:val="en"/>
        </w:rPr>
        <w:t xml:space="preserve"> For example, if we ascertain that cross-fault seal has failed in 6 out of a set of 60 tested prospects within a particular play fairway, the statistical</w:t>
      </w:r>
      <w:r w:rsidR="00E17FAF" w:rsidRPr="00163252">
        <w:rPr>
          <w:rFonts w:ascii="Arial" w:hAnsi="Arial" w:cs="Arial"/>
          <w:sz w:val="24"/>
          <w:szCs w:val="24"/>
          <w:lang w:val="en"/>
        </w:rPr>
        <w:t xml:space="preserve"> historical</w:t>
      </w:r>
      <w:r w:rsidR="00AE372C" w:rsidRPr="00163252">
        <w:rPr>
          <w:rFonts w:ascii="Arial" w:hAnsi="Arial" w:cs="Arial"/>
          <w:sz w:val="24"/>
          <w:szCs w:val="24"/>
          <w:lang w:val="en"/>
        </w:rPr>
        <w:t xml:space="preserve"> success rate</w:t>
      </w:r>
      <w:r w:rsidR="00E17FAF" w:rsidRPr="00163252">
        <w:rPr>
          <w:rFonts w:ascii="Arial" w:hAnsi="Arial" w:cs="Arial"/>
          <w:sz w:val="24"/>
          <w:szCs w:val="24"/>
          <w:lang w:val="en"/>
        </w:rPr>
        <w:t xml:space="preserve"> for that component of the prospect</w:t>
      </w:r>
      <w:r w:rsidR="00AE372C" w:rsidRPr="00163252">
        <w:rPr>
          <w:rFonts w:ascii="Arial" w:hAnsi="Arial" w:cs="Arial"/>
          <w:sz w:val="24"/>
          <w:szCs w:val="24"/>
          <w:lang w:val="en"/>
        </w:rPr>
        <w:t xml:space="preserve"> (0.9) </w:t>
      </w:r>
      <w:r w:rsidR="00E17FAF" w:rsidRPr="00163252">
        <w:rPr>
          <w:rFonts w:ascii="Arial" w:hAnsi="Arial" w:cs="Arial"/>
          <w:sz w:val="24"/>
          <w:szCs w:val="24"/>
          <w:lang w:val="en"/>
        </w:rPr>
        <w:t>could be used as a guide to our expectation of the likelihood of success of cross-fault seal in future well tests.</w:t>
      </w:r>
    </w:p>
    <w:p w:rsidR="00E17FAF" w:rsidRPr="00163252" w:rsidRDefault="00E17FAF" w:rsidP="00E17FAF">
      <w:pPr>
        <w:rPr>
          <w:rFonts w:ascii="Arial" w:hAnsi="Arial" w:cs="Arial"/>
          <w:sz w:val="24"/>
          <w:szCs w:val="24"/>
        </w:rPr>
      </w:pPr>
      <w:r w:rsidRPr="00163252">
        <w:rPr>
          <w:rFonts w:ascii="Arial" w:hAnsi="Arial" w:cs="Arial"/>
          <w:sz w:val="24"/>
          <w:szCs w:val="24"/>
        </w:rPr>
        <w:t>If we have good information on our prospect, and a good understanding of the geological factors which influence its chance of success, we may use the statistical probability as a check (but not a hard constraint) on our rational (inductive) estimate of that chance of success. For example, we may have information that indicates that the chance of cross-fault seal is better in our prospec</w:t>
      </w:r>
      <w:r w:rsidR="004F5E77" w:rsidRPr="00163252">
        <w:rPr>
          <w:rFonts w:ascii="Arial" w:hAnsi="Arial" w:cs="Arial"/>
          <w:sz w:val="24"/>
          <w:szCs w:val="24"/>
        </w:rPr>
        <w:t>t than it was in the prospects tested in the past.</w:t>
      </w:r>
    </w:p>
    <w:p w:rsidR="00E17FAF" w:rsidRPr="00163252" w:rsidRDefault="004F5E77">
      <w:pPr>
        <w:rPr>
          <w:rFonts w:ascii="Arial" w:hAnsi="Arial" w:cs="Arial"/>
          <w:sz w:val="24"/>
          <w:szCs w:val="24"/>
        </w:rPr>
      </w:pPr>
      <w:r w:rsidRPr="00163252">
        <w:rPr>
          <w:rFonts w:ascii="Arial" w:hAnsi="Arial" w:cs="Arial"/>
          <w:sz w:val="24"/>
          <w:szCs w:val="24"/>
        </w:rPr>
        <w:t xml:space="preserve">However, if we do not have the luxury of good data on our undrilled prospect, or we do not yet understand the geological factors which control the chance of success of </w:t>
      </w:r>
      <w:r w:rsidRPr="00163252">
        <w:rPr>
          <w:rFonts w:ascii="Arial" w:hAnsi="Arial" w:cs="Arial"/>
          <w:sz w:val="24"/>
          <w:szCs w:val="24"/>
        </w:rPr>
        <w:lastRenderedPageBreak/>
        <w:t>its component parts, we may have to come up with an estimate of that chance based on past statistics alone.</w:t>
      </w:r>
    </w:p>
    <w:p w:rsidR="00E17FAF" w:rsidRPr="00163252" w:rsidRDefault="004F5E77" w:rsidP="00FF443D">
      <w:pPr>
        <w:rPr>
          <w:rFonts w:ascii="Arial" w:hAnsi="Arial" w:cs="Arial"/>
          <w:sz w:val="24"/>
          <w:szCs w:val="24"/>
        </w:rPr>
      </w:pPr>
      <w:r w:rsidRPr="00163252">
        <w:rPr>
          <w:rFonts w:ascii="Arial" w:hAnsi="Arial" w:cs="Arial"/>
          <w:sz w:val="24"/>
          <w:szCs w:val="24"/>
        </w:rPr>
        <w:t>A</w:t>
      </w:r>
      <w:r w:rsidR="00E17FAF" w:rsidRPr="00163252">
        <w:rPr>
          <w:rFonts w:ascii="Arial" w:hAnsi="Arial" w:cs="Arial"/>
          <w:sz w:val="24"/>
          <w:szCs w:val="24"/>
        </w:rPr>
        <w:t>s noted by the Securities and Exchange Commission (2008)</w:t>
      </w:r>
      <w:r w:rsidRPr="00163252">
        <w:rPr>
          <w:rFonts w:ascii="Arial" w:hAnsi="Arial" w:cs="Arial"/>
          <w:sz w:val="24"/>
          <w:szCs w:val="24"/>
        </w:rPr>
        <w:t>,</w:t>
      </w:r>
      <w:r w:rsidR="00E17FAF" w:rsidRPr="00163252">
        <w:rPr>
          <w:rFonts w:ascii="Arial" w:hAnsi="Arial" w:cs="Arial"/>
          <w:sz w:val="24"/>
          <w:szCs w:val="24"/>
        </w:rPr>
        <w:t xml:space="preserve"> </w:t>
      </w:r>
      <w:r w:rsidR="00FE21A8" w:rsidRPr="00163252">
        <w:rPr>
          <w:rFonts w:ascii="Arial" w:hAnsi="Arial" w:cs="Arial"/>
          <w:sz w:val="24"/>
          <w:szCs w:val="24"/>
        </w:rPr>
        <w:t>“</w:t>
      </w:r>
      <w:r w:rsidR="0097520A" w:rsidRPr="00163252">
        <w:rPr>
          <w:rFonts w:ascii="Arial" w:hAnsi="Arial" w:cs="Arial"/>
          <w:sz w:val="24"/>
          <w:szCs w:val="24"/>
        </w:rPr>
        <w:t>Past performance does not guarantee future results</w:t>
      </w:r>
      <w:r w:rsidR="00FE21A8" w:rsidRPr="00163252">
        <w:rPr>
          <w:rFonts w:ascii="Arial" w:hAnsi="Arial" w:cs="Arial"/>
          <w:sz w:val="24"/>
          <w:szCs w:val="24"/>
        </w:rPr>
        <w:t>”</w:t>
      </w:r>
      <w:r w:rsidR="00E17FAF" w:rsidRPr="00163252">
        <w:rPr>
          <w:rFonts w:ascii="Arial" w:hAnsi="Arial" w:cs="Arial"/>
          <w:sz w:val="24"/>
          <w:szCs w:val="24"/>
        </w:rPr>
        <w:t>:</w:t>
      </w:r>
      <w:r w:rsidR="00BA6BC5" w:rsidRPr="00163252">
        <w:rPr>
          <w:rFonts w:ascii="Arial" w:hAnsi="Arial" w:cs="Arial"/>
          <w:sz w:val="24"/>
          <w:szCs w:val="24"/>
        </w:rPr>
        <w:t xml:space="preserve"> </w:t>
      </w:r>
      <w:r w:rsidR="00FE21A8" w:rsidRPr="00163252">
        <w:rPr>
          <w:rFonts w:ascii="Arial" w:hAnsi="Arial" w:cs="Arial"/>
          <w:sz w:val="24"/>
          <w:szCs w:val="24"/>
        </w:rPr>
        <w:t xml:space="preserve">this is true in </w:t>
      </w:r>
      <w:r w:rsidR="0097520A" w:rsidRPr="00163252">
        <w:rPr>
          <w:rFonts w:ascii="Arial" w:hAnsi="Arial" w:cs="Arial"/>
          <w:sz w:val="24"/>
          <w:szCs w:val="24"/>
        </w:rPr>
        <w:t xml:space="preserve">many fields, </w:t>
      </w:r>
      <w:r w:rsidR="00FE21A8" w:rsidRPr="00163252">
        <w:rPr>
          <w:rFonts w:ascii="Arial" w:hAnsi="Arial" w:cs="Arial"/>
          <w:sz w:val="24"/>
          <w:szCs w:val="24"/>
        </w:rPr>
        <w:t xml:space="preserve">from investment to hydrocarbon exploration, and this warning particularly needs to be borne in mind when we use the results from previous exploration wells to constrain our estimate of the chance of success of an undrilled exploration prospect. </w:t>
      </w:r>
    </w:p>
    <w:p w:rsidR="00C05FC3" w:rsidRPr="00163252" w:rsidRDefault="004F5E77" w:rsidP="00FF443D">
      <w:pPr>
        <w:rPr>
          <w:rFonts w:ascii="Arial" w:hAnsi="Arial" w:cs="Arial"/>
          <w:sz w:val="24"/>
          <w:szCs w:val="24"/>
          <w:lang w:val="en"/>
        </w:rPr>
      </w:pPr>
      <w:r w:rsidRPr="00163252">
        <w:rPr>
          <w:rFonts w:ascii="Arial" w:hAnsi="Arial" w:cs="Arial"/>
          <w:sz w:val="24"/>
          <w:szCs w:val="24"/>
        </w:rPr>
        <w:t>P</w:t>
      </w:r>
      <w:r w:rsidR="00DB116D" w:rsidRPr="00163252">
        <w:rPr>
          <w:rFonts w:ascii="Arial" w:hAnsi="Arial" w:cs="Arial"/>
          <w:sz w:val="24"/>
          <w:szCs w:val="24"/>
        </w:rPr>
        <w:t xml:space="preserve">ublically available literature contains </w:t>
      </w:r>
      <w:r w:rsidR="00C05FC3" w:rsidRPr="00163252">
        <w:rPr>
          <w:rFonts w:ascii="Arial" w:hAnsi="Arial" w:cs="Arial"/>
          <w:sz w:val="24"/>
          <w:szCs w:val="24"/>
        </w:rPr>
        <w:t xml:space="preserve">little </w:t>
      </w:r>
      <w:r w:rsidR="00DB116D" w:rsidRPr="00163252">
        <w:rPr>
          <w:rFonts w:ascii="Arial" w:hAnsi="Arial" w:cs="Arial"/>
          <w:sz w:val="24"/>
          <w:szCs w:val="24"/>
        </w:rPr>
        <w:t xml:space="preserve">practical </w:t>
      </w:r>
      <w:r w:rsidR="00DE3C23" w:rsidRPr="00163252">
        <w:rPr>
          <w:rFonts w:ascii="Arial" w:hAnsi="Arial" w:cs="Arial"/>
          <w:sz w:val="24"/>
          <w:szCs w:val="24"/>
        </w:rPr>
        <w:t xml:space="preserve">guidance as to how we should use the statistics from existing well data to guide prospect risking. </w:t>
      </w:r>
      <w:r w:rsidR="0091406A" w:rsidRPr="00163252">
        <w:rPr>
          <w:rFonts w:ascii="Arial" w:hAnsi="Arial" w:cs="Arial"/>
          <w:sz w:val="24"/>
          <w:szCs w:val="24"/>
        </w:rPr>
        <w:t>Existing publications tend to focus on a comparison of predicted pre-drill chance of success with actual success rate (e.g. Allais, 1956; Rose, 1987, 1992, 2001;</w:t>
      </w:r>
      <w:r w:rsidR="0091406A" w:rsidRPr="00163252">
        <w:rPr>
          <w:rFonts w:ascii="Arial" w:hAnsi="Arial" w:cs="Arial"/>
          <w:sz w:val="24"/>
          <w:szCs w:val="24"/>
          <w:lang w:val="en"/>
        </w:rPr>
        <w:t xml:space="preserve"> Alexander &amp; Lohr, 1998;</w:t>
      </w:r>
      <w:r w:rsidR="0091406A" w:rsidRPr="00163252">
        <w:rPr>
          <w:rFonts w:ascii="Arial" w:hAnsi="Arial" w:cs="Arial"/>
          <w:sz w:val="24"/>
          <w:szCs w:val="24"/>
        </w:rPr>
        <w:t xml:space="preserve"> Ofstad et al., 2000, Harper, 2000,) or comparing discovered volumes vs. predicted prospective resource (e.g. Rose, 1987, Capen, 1992, </w:t>
      </w:r>
      <w:r w:rsidR="0091406A" w:rsidRPr="00163252">
        <w:rPr>
          <w:rFonts w:ascii="Arial" w:hAnsi="Arial" w:cs="Arial"/>
          <w:sz w:val="24"/>
          <w:szCs w:val="24"/>
          <w:lang w:val="en"/>
        </w:rPr>
        <w:t xml:space="preserve">Ofstad </w:t>
      </w:r>
      <w:r w:rsidR="0091406A" w:rsidRPr="00163252">
        <w:rPr>
          <w:rFonts w:ascii="Arial" w:hAnsi="Arial" w:cs="Arial"/>
          <w:i/>
          <w:sz w:val="24"/>
          <w:szCs w:val="24"/>
          <w:lang w:val="en"/>
        </w:rPr>
        <w:t>et al</w:t>
      </w:r>
      <w:r w:rsidR="0091406A" w:rsidRPr="00163252">
        <w:rPr>
          <w:rFonts w:ascii="Arial" w:hAnsi="Arial" w:cs="Arial"/>
          <w:sz w:val="24"/>
          <w:szCs w:val="24"/>
          <w:lang w:val="en"/>
        </w:rPr>
        <w:t xml:space="preserve">., 2000a,b,c, Fosvold et al., 2000).  </w:t>
      </w:r>
      <w:r w:rsidR="002F6377" w:rsidRPr="00163252">
        <w:rPr>
          <w:rFonts w:ascii="Arial" w:hAnsi="Arial" w:cs="Arial"/>
          <w:sz w:val="24"/>
          <w:szCs w:val="24"/>
          <w:lang w:val="en"/>
        </w:rPr>
        <w:t xml:space="preserve">While these </w:t>
      </w:r>
      <w:r w:rsidR="00F22785" w:rsidRPr="00163252">
        <w:rPr>
          <w:rFonts w:ascii="Arial" w:hAnsi="Arial" w:cs="Arial"/>
          <w:sz w:val="24"/>
          <w:szCs w:val="24"/>
          <w:lang w:val="en"/>
        </w:rPr>
        <w:t>look</w:t>
      </w:r>
      <w:r w:rsidR="0072295A" w:rsidRPr="00163252">
        <w:rPr>
          <w:rFonts w:ascii="Arial" w:hAnsi="Arial" w:cs="Arial"/>
          <w:sz w:val="24"/>
          <w:szCs w:val="24"/>
          <w:lang w:val="en"/>
        </w:rPr>
        <w:t xml:space="preserve"> </w:t>
      </w:r>
      <w:r w:rsidR="00F22785" w:rsidRPr="00163252">
        <w:rPr>
          <w:rFonts w:ascii="Arial" w:hAnsi="Arial" w:cs="Arial"/>
          <w:sz w:val="24"/>
          <w:szCs w:val="24"/>
          <w:lang w:val="en"/>
        </w:rPr>
        <w:t xml:space="preserve">back studies </w:t>
      </w:r>
      <w:r w:rsidR="002F6377" w:rsidRPr="00163252">
        <w:rPr>
          <w:rFonts w:ascii="Arial" w:hAnsi="Arial" w:cs="Arial"/>
          <w:sz w:val="24"/>
          <w:szCs w:val="24"/>
          <w:lang w:val="en"/>
        </w:rPr>
        <w:t xml:space="preserve">provide very valuable lessons </w:t>
      </w:r>
      <w:r w:rsidR="00BA6BC5" w:rsidRPr="00163252">
        <w:rPr>
          <w:rFonts w:ascii="Arial" w:hAnsi="Arial" w:cs="Arial"/>
          <w:sz w:val="24"/>
          <w:szCs w:val="24"/>
          <w:lang w:val="en"/>
        </w:rPr>
        <w:t>about past performance, they are less helpful in suggesting how and when to use past well data to estimate the chance of success of a new prospect.</w:t>
      </w:r>
      <w:r w:rsidR="00F43A48" w:rsidRPr="00163252">
        <w:rPr>
          <w:rFonts w:ascii="Arial" w:hAnsi="Arial" w:cs="Arial"/>
          <w:sz w:val="24"/>
          <w:szCs w:val="24"/>
          <w:lang w:val="en"/>
        </w:rPr>
        <w:t xml:space="preserve"> It is our experience that many geoscientists in the petroleum exploration business simply equate past success rate to expected future chance of success – if they consider the past success/failure statistics at all. </w:t>
      </w:r>
    </w:p>
    <w:p w:rsidR="00940689" w:rsidRPr="00163252" w:rsidRDefault="0072295A" w:rsidP="00FF443D">
      <w:pPr>
        <w:rPr>
          <w:rFonts w:ascii="Arial" w:hAnsi="Arial" w:cs="Arial"/>
          <w:sz w:val="24"/>
          <w:szCs w:val="24"/>
          <w:lang w:val="en"/>
        </w:rPr>
      </w:pPr>
      <w:r w:rsidRPr="00163252">
        <w:rPr>
          <w:rFonts w:ascii="Arial" w:hAnsi="Arial" w:cs="Arial"/>
          <w:sz w:val="24"/>
          <w:szCs w:val="24"/>
          <w:lang w:val="en"/>
        </w:rPr>
        <w:t>T</w:t>
      </w:r>
      <w:r w:rsidR="00940689" w:rsidRPr="00163252">
        <w:rPr>
          <w:rFonts w:ascii="Arial" w:hAnsi="Arial" w:cs="Arial"/>
          <w:sz w:val="24"/>
          <w:szCs w:val="24"/>
          <w:lang w:val="en"/>
        </w:rPr>
        <w:t xml:space="preserve">here is a </w:t>
      </w:r>
      <w:r w:rsidRPr="00163252">
        <w:rPr>
          <w:rFonts w:ascii="Arial" w:hAnsi="Arial" w:cs="Arial"/>
          <w:sz w:val="24"/>
          <w:szCs w:val="24"/>
          <w:lang w:val="en"/>
        </w:rPr>
        <w:t>well-established</w:t>
      </w:r>
      <w:r w:rsidR="00940689" w:rsidRPr="00163252">
        <w:rPr>
          <w:rFonts w:ascii="Arial" w:hAnsi="Arial" w:cs="Arial"/>
          <w:sz w:val="24"/>
          <w:szCs w:val="24"/>
          <w:lang w:val="en"/>
        </w:rPr>
        <w:t xml:space="preserve"> mathematical reason why, even where we want to use past statistics to inform our</w:t>
      </w:r>
      <w:r w:rsidR="0041259F" w:rsidRPr="00163252">
        <w:rPr>
          <w:rFonts w:ascii="Arial" w:hAnsi="Arial" w:cs="Arial"/>
          <w:sz w:val="24"/>
          <w:szCs w:val="24"/>
          <w:lang w:val="en"/>
        </w:rPr>
        <w:t xml:space="preserve"> estimate of future chance, we cannot simply equate the frequency of past success to the expected chance of future success. Laplace (1774) demonstrated that if we have knowledge of a set of n tests, of which 100% were successful, we can calculate the most likely chance of success that would generate this result, and it is not 100%. This result has not been explicitly applied to the problem of prospect risking in the petroleum exploration business. More significantly, his result has not been developed into </w:t>
      </w:r>
      <w:proofErr w:type="gramStart"/>
      <w:r w:rsidR="0041259F" w:rsidRPr="00163252">
        <w:rPr>
          <w:rFonts w:ascii="Arial" w:hAnsi="Arial" w:cs="Arial"/>
          <w:sz w:val="24"/>
          <w:szCs w:val="24"/>
          <w:lang w:val="en"/>
        </w:rPr>
        <w:t>a</w:t>
      </w:r>
      <w:proofErr w:type="gramEnd"/>
      <w:r w:rsidR="0041259F" w:rsidRPr="00163252">
        <w:rPr>
          <w:rFonts w:ascii="Arial" w:hAnsi="Arial" w:cs="Arial"/>
          <w:sz w:val="24"/>
          <w:szCs w:val="24"/>
          <w:lang w:val="en"/>
        </w:rPr>
        <w:t xml:space="preserve"> “exploration-friendly” consideration of how to estimate future chance of success of a prospect based on a data set which includes some failures as well as successes. </w:t>
      </w:r>
    </w:p>
    <w:p w:rsidR="00904627" w:rsidRPr="00163252" w:rsidRDefault="00BA6BC5" w:rsidP="00FF443D">
      <w:pPr>
        <w:rPr>
          <w:rFonts w:ascii="Arial" w:hAnsi="Arial" w:cs="Arial"/>
          <w:sz w:val="24"/>
          <w:szCs w:val="24"/>
          <w:lang w:val="en"/>
        </w:rPr>
      </w:pPr>
      <w:r w:rsidRPr="00163252">
        <w:rPr>
          <w:rFonts w:ascii="Arial" w:hAnsi="Arial" w:cs="Arial"/>
          <w:sz w:val="24"/>
          <w:szCs w:val="24"/>
          <w:lang w:val="en"/>
        </w:rPr>
        <w:t>This brief article sets out some simple guidelines as to when and where a statistics-based risk approach may be valuable, where it may be mislead</w:t>
      </w:r>
      <w:r w:rsidR="000F4898" w:rsidRPr="00163252">
        <w:rPr>
          <w:rFonts w:ascii="Arial" w:hAnsi="Arial" w:cs="Arial"/>
          <w:sz w:val="24"/>
          <w:szCs w:val="24"/>
          <w:lang w:val="en"/>
        </w:rPr>
        <w:t>ing, and how best to use small data sets.</w:t>
      </w:r>
      <w:r w:rsidR="00024B40" w:rsidRPr="00163252">
        <w:rPr>
          <w:rFonts w:ascii="Arial" w:hAnsi="Arial" w:cs="Arial"/>
          <w:sz w:val="24"/>
          <w:szCs w:val="24"/>
          <w:lang w:val="en"/>
        </w:rPr>
        <w:t xml:space="preserve"> </w:t>
      </w:r>
    </w:p>
    <w:p w:rsidR="00904627" w:rsidRPr="00163252" w:rsidRDefault="00904627" w:rsidP="00FF443D">
      <w:pPr>
        <w:rPr>
          <w:rFonts w:ascii="Arial" w:hAnsi="Arial" w:cs="Arial"/>
          <w:sz w:val="24"/>
          <w:szCs w:val="24"/>
          <w:lang w:val="en"/>
        </w:rPr>
      </w:pPr>
      <w:r w:rsidRPr="00163252">
        <w:rPr>
          <w:rFonts w:ascii="Arial" w:hAnsi="Arial" w:cs="Arial"/>
          <w:sz w:val="24"/>
          <w:szCs w:val="24"/>
          <w:lang w:val="en"/>
        </w:rPr>
        <w:t>Although we should always look at the statistics of previous well results, and should always consider the lessons that can be drawn from those wells, there are common pitfalls. We will describe conditions in which the set of past tests should be representative of the remaining future opportunities, and the conditions in which we should expect future success rate to be different from the past statistics (e.g. due to crea</w:t>
      </w:r>
      <w:r w:rsidR="00503108" w:rsidRPr="00163252">
        <w:rPr>
          <w:rFonts w:ascii="Arial" w:hAnsi="Arial" w:cs="Arial"/>
          <w:sz w:val="24"/>
          <w:szCs w:val="24"/>
          <w:lang w:val="en"/>
        </w:rPr>
        <w:t xml:space="preserve">ming or to the effect of prospect-specific </w:t>
      </w:r>
      <w:r w:rsidRPr="00163252">
        <w:rPr>
          <w:rFonts w:ascii="Arial" w:hAnsi="Arial" w:cs="Arial"/>
          <w:sz w:val="24"/>
          <w:szCs w:val="24"/>
          <w:lang w:val="en"/>
        </w:rPr>
        <w:t>information)</w:t>
      </w:r>
    </w:p>
    <w:p w:rsidR="00904627" w:rsidRPr="00163252" w:rsidRDefault="00904627" w:rsidP="00FF443D">
      <w:pPr>
        <w:rPr>
          <w:rFonts w:ascii="Arial" w:hAnsi="Arial" w:cs="Arial"/>
          <w:sz w:val="24"/>
          <w:szCs w:val="24"/>
          <w:lang w:val="en"/>
        </w:rPr>
      </w:pPr>
      <w:r w:rsidRPr="00163252">
        <w:rPr>
          <w:rFonts w:ascii="Arial" w:hAnsi="Arial" w:cs="Arial"/>
          <w:sz w:val="24"/>
          <w:szCs w:val="24"/>
          <w:lang w:val="en"/>
        </w:rPr>
        <w:t xml:space="preserve">Even where the set of past tests is appropriately representative of the </w:t>
      </w:r>
      <w:r w:rsidR="00503108" w:rsidRPr="00163252">
        <w:rPr>
          <w:rFonts w:ascii="Arial" w:hAnsi="Arial" w:cs="Arial"/>
          <w:sz w:val="24"/>
          <w:szCs w:val="24"/>
          <w:lang w:val="en"/>
        </w:rPr>
        <w:t>remaining</w:t>
      </w:r>
      <w:r w:rsidRPr="00163252">
        <w:rPr>
          <w:rFonts w:ascii="Arial" w:hAnsi="Arial" w:cs="Arial"/>
          <w:sz w:val="24"/>
          <w:szCs w:val="24"/>
          <w:lang w:val="en"/>
        </w:rPr>
        <w:t xml:space="preserve"> opportunities, the </w:t>
      </w:r>
      <w:r w:rsidR="00503108" w:rsidRPr="00163252">
        <w:rPr>
          <w:rFonts w:ascii="Arial" w:hAnsi="Arial" w:cs="Arial"/>
          <w:sz w:val="24"/>
          <w:szCs w:val="24"/>
          <w:lang w:val="en"/>
        </w:rPr>
        <w:t xml:space="preserve">historic success rate is not equivalent to the expected future </w:t>
      </w:r>
      <w:r w:rsidR="00503108" w:rsidRPr="00163252">
        <w:rPr>
          <w:rFonts w:ascii="Arial" w:hAnsi="Arial" w:cs="Arial"/>
          <w:sz w:val="24"/>
          <w:szCs w:val="24"/>
          <w:lang w:val="en"/>
        </w:rPr>
        <w:lastRenderedPageBreak/>
        <w:t xml:space="preserve">chance, especially for small data sets, as shown by the coin-in-a-bag example described above. We set out a method for estimating the most appropriate future chance based on </w:t>
      </w:r>
      <w:proofErr w:type="gramStart"/>
      <w:r w:rsidR="00503108" w:rsidRPr="00163252">
        <w:rPr>
          <w:rFonts w:ascii="Arial" w:hAnsi="Arial" w:cs="Arial"/>
          <w:sz w:val="24"/>
          <w:szCs w:val="24"/>
          <w:lang w:val="en"/>
        </w:rPr>
        <w:t>small  (</w:t>
      </w:r>
      <w:proofErr w:type="gramEnd"/>
      <w:r w:rsidR="00503108" w:rsidRPr="00163252">
        <w:rPr>
          <w:rFonts w:ascii="Arial" w:hAnsi="Arial" w:cs="Arial"/>
          <w:sz w:val="24"/>
          <w:szCs w:val="24"/>
          <w:lang w:val="en"/>
        </w:rPr>
        <w:t xml:space="preserve">n&lt;10) data sets. </w:t>
      </w:r>
    </w:p>
    <w:p w:rsidR="00D6544D" w:rsidRPr="00163252" w:rsidRDefault="00D6544D" w:rsidP="00D6544D">
      <w:pPr>
        <w:rPr>
          <w:rFonts w:ascii="Arial" w:hAnsi="Arial" w:cs="Arial"/>
          <w:b/>
          <w:sz w:val="24"/>
          <w:szCs w:val="24"/>
          <w:lang w:val="en"/>
        </w:rPr>
      </w:pPr>
      <w:r w:rsidRPr="00163252">
        <w:rPr>
          <w:rFonts w:ascii="Arial" w:hAnsi="Arial" w:cs="Arial"/>
          <w:b/>
          <w:sz w:val="24"/>
          <w:szCs w:val="24"/>
          <w:lang w:val="en"/>
        </w:rPr>
        <w:t>Definition of terms</w:t>
      </w:r>
    </w:p>
    <w:p w:rsidR="009B6C0F" w:rsidRPr="00163252" w:rsidRDefault="009B6C0F" w:rsidP="00D6544D">
      <w:pPr>
        <w:rPr>
          <w:rFonts w:ascii="Arial" w:hAnsi="Arial" w:cs="Arial"/>
          <w:sz w:val="24"/>
          <w:szCs w:val="24"/>
          <w:lang w:val="en"/>
        </w:rPr>
      </w:pPr>
      <w:r w:rsidRPr="00163252">
        <w:rPr>
          <w:rFonts w:ascii="Arial" w:hAnsi="Arial" w:cs="Arial"/>
          <w:sz w:val="24"/>
          <w:szCs w:val="24"/>
          <w:lang w:val="en"/>
        </w:rPr>
        <w:t>The definition</w:t>
      </w:r>
      <w:r w:rsidR="007618A6">
        <w:rPr>
          <w:rFonts w:ascii="Arial" w:hAnsi="Arial" w:cs="Arial"/>
          <w:sz w:val="24"/>
          <w:szCs w:val="24"/>
          <w:lang w:val="en"/>
        </w:rPr>
        <w:t>s</w:t>
      </w:r>
      <w:r w:rsidRPr="00163252">
        <w:rPr>
          <w:rFonts w:ascii="Arial" w:hAnsi="Arial" w:cs="Arial"/>
          <w:sz w:val="24"/>
          <w:szCs w:val="24"/>
          <w:lang w:val="en"/>
        </w:rPr>
        <w:t xml:space="preserve"> used in this article are consistent with the usage in Peel and Brooks (in press) and Peel and White (in press) to which the reader is directed for further clarification.</w:t>
      </w:r>
    </w:p>
    <w:p w:rsidR="00D6544D" w:rsidRPr="00163252" w:rsidRDefault="00D6544D" w:rsidP="00D6544D">
      <w:pPr>
        <w:rPr>
          <w:rFonts w:ascii="Arial" w:hAnsi="Arial" w:cs="Arial"/>
          <w:sz w:val="24"/>
          <w:szCs w:val="24"/>
        </w:rPr>
      </w:pPr>
      <w:proofErr w:type="gramStart"/>
      <w:r w:rsidRPr="00163252">
        <w:rPr>
          <w:rFonts w:ascii="Arial" w:hAnsi="Arial" w:cs="Arial"/>
          <w:i/>
          <w:sz w:val="24"/>
          <w:szCs w:val="24"/>
          <w:u w:val="single"/>
          <w:lang w:val="en"/>
        </w:rPr>
        <w:t>Chance of geological success (Pg) of a prospect.</w:t>
      </w:r>
      <w:proofErr w:type="gramEnd"/>
      <w:r w:rsidRPr="00163252">
        <w:rPr>
          <w:rFonts w:ascii="Arial" w:hAnsi="Arial" w:cs="Arial"/>
          <w:sz w:val="24"/>
          <w:szCs w:val="24"/>
          <w:lang w:val="en"/>
        </w:rPr>
        <w:t xml:space="preserve"> A prospect model defines the geological conditions envisaged in the success case (e.g. trap type, age and nature of the reservoir, etc.) and a numerical range of the parameters such as reservoir thickness, porosity, hydrocarbon column height, etc.) </w:t>
      </w:r>
      <w:proofErr w:type="gramStart"/>
      <w:r w:rsidRPr="00163252">
        <w:rPr>
          <w:rFonts w:ascii="Arial" w:hAnsi="Arial" w:cs="Arial"/>
          <w:sz w:val="24"/>
          <w:szCs w:val="24"/>
          <w:lang w:val="en"/>
        </w:rPr>
        <w:t>that</w:t>
      </w:r>
      <w:proofErr w:type="gramEnd"/>
      <w:r w:rsidRPr="00163252">
        <w:rPr>
          <w:rFonts w:ascii="Arial" w:hAnsi="Arial" w:cs="Arial"/>
          <w:sz w:val="24"/>
          <w:szCs w:val="24"/>
          <w:lang w:val="en"/>
        </w:rPr>
        <w:t xml:space="preserve"> the success case is expected to deliver. The chance of success of a prospect is the current opinion, based on the knowledge and data currently available, that the geological model applies</w:t>
      </w:r>
      <w:r w:rsidR="009D60BA" w:rsidRPr="00163252">
        <w:rPr>
          <w:rFonts w:ascii="Arial" w:hAnsi="Arial" w:cs="Arial"/>
          <w:sz w:val="24"/>
          <w:szCs w:val="24"/>
          <w:lang w:val="en"/>
        </w:rPr>
        <w:t>,</w:t>
      </w:r>
      <w:r w:rsidRPr="00163252">
        <w:rPr>
          <w:rFonts w:ascii="Arial" w:hAnsi="Arial" w:cs="Arial"/>
          <w:sz w:val="24"/>
          <w:szCs w:val="24"/>
          <w:lang w:val="en"/>
        </w:rPr>
        <w:t xml:space="preserve"> and that the value of the parameters that exist in the subsurface is correctly represented by the ranges defined in the prospect model. We use the notation Pg to represent the chance of geological success of a prospect, following Rose </w:t>
      </w:r>
      <w:r w:rsidRPr="00163252">
        <w:rPr>
          <w:rFonts w:ascii="Arial" w:hAnsi="Arial" w:cs="Arial"/>
          <w:sz w:val="24"/>
          <w:szCs w:val="24"/>
        </w:rPr>
        <w:t xml:space="preserve">(1987, 1992, </w:t>
      </w:r>
      <w:proofErr w:type="gramStart"/>
      <w:r w:rsidRPr="00163252">
        <w:rPr>
          <w:rFonts w:ascii="Arial" w:hAnsi="Arial" w:cs="Arial"/>
          <w:sz w:val="24"/>
          <w:szCs w:val="24"/>
        </w:rPr>
        <w:t>2001</w:t>
      </w:r>
      <w:proofErr w:type="gramEnd"/>
      <w:r w:rsidRPr="00163252">
        <w:rPr>
          <w:rFonts w:ascii="Arial" w:hAnsi="Arial" w:cs="Arial"/>
          <w:sz w:val="24"/>
          <w:szCs w:val="24"/>
        </w:rPr>
        <w:t>); other notations are also used in the literature</w:t>
      </w:r>
      <w:r w:rsidR="009B6C0F" w:rsidRPr="00163252">
        <w:rPr>
          <w:rFonts w:ascii="Arial" w:hAnsi="Arial" w:cs="Arial"/>
          <w:sz w:val="24"/>
          <w:szCs w:val="24"/>
        </w:rPr>
        <w:t xml:space="preserve"> (see </w:t>
      </w:r>
      <w:r w:rsidR="009B6C0F" w:rsidRPr="00163252">
        <w:rPr>
          <w:rFonts w:ascii="Arial" w:hAnsi="Arial" w:cs="Arial"/>
          <w:sz w:val="24"/>
          <w:szCs w:val="24"/>
          <w:lang w:val="en"/>
        </w:rPr>
        <w:t>Peel and Brooks, in press)</w:t>
      </w:r>
    </w:p>
    <w:p w:rsidR="009D60BA" w:rsidRPr="00163252" w:rsidRDefault="009D60BA" w:rsidP="00D6544D">
      <w:pPr>
        <w:rPr>
          <w:rFonts w:ascii="Arial" w:hAnsi="Arial" w:cs="Arial"/>
          <w:sz w:val="24"/>
          <w:szCs w:val="24"/>
        </w:rPr>
      </w:pPr>
      <w:r w:rsidRPr="00163252">
        <w:rPr>
          <w:rFonts w:ascii="Arial" w:hAnsi="Arial" w:cs="Arial"/>
          <w:sz w:val="24"/>
          <w:szCs w:val="24"/>
        </w:rPr>
        <w:t xml:space="preserve">There are many methods which can be used to </w:t>
      </w:r>
      <w:r w:rsidR="009213CC" w:rsidRPr="00163252">
        <w:rPr>
          <w:rFonts w:ascii="Arial" w:hAnsi="Arial" w:cs="Arial"/>
          <w:sz w:val="24"/>
          <w:szCs w:val="24"/>
        </w:rPr>
        <w:t>estimate Pg (e.g. Megill, 1977; Rose, 1987</w:t>
      </w:r>
      <w:r w:rsidR="001132F9" w:rsidRPr="00163252">
        <w:rPr>
          <w:rFonts w:ascii="Arial" w:hAnsi="Arial" w:cs="Arial"/>
          <w:sz w:val="24"/>
          <w:szCs w:val="24"/>
        </w:rPr>
        <w:t xml:space="preserve">, </w:t>
      </w:r>
      <w:r w:rsidR="009213CC" w:rsidRPr="00163252">
        <w:rPr>
          <w:rFonts w:ascii="Arial" w:hAnsi="Arial" w:cs="Arial"/>
          <w:sz w:val="24"/>
          <w:szCs w:val="24"/>
        </w:rPr>
        <w:t>1992; White, 1993), many of which involve consideration of a diverse range of geological data and knowledge as well as past statistics. In this article we focus only on the use of past performance statistics with the aim of better understanding how to use them; this does not im</w:t>
      </w:r>
      <w:r w:rsidR="00A013D1" w:rsidRPr="00163252">
        <w:rPr>
          <w:rFonts w:ascii="Arial" w:hAnsi="Arial" w:cs="Arial"/>
          <w:sz w:val="24"/>
          <w:szCs w:val="24"/>
        </w:rPr>
        <w:t>ply that we do not recognize the value of the other inputs and methods.</w:t>
      </w:r>
    </w:p>
    <w:p w:rsidR="00D6544D" w:rsidRPr="00163252" w:rsidRDefault="00D6544D" w:rsidP="00D6544D">
      <w:pPr>
        <w:rPr>
          <w:rFonts w:ascii="Arial" w:hAnsi="Arial" w:cs="Arial"/>
          <w:sz w:val="24"/>
          <w:szCs w:val="24"/>
          <w:lang w:val="en"/>
        </w:rPr>
      </w:pPr>
      <w:proofErr w:type="gramStart"/>
      <w:r w:rsidRPr="00163252">
        <w:rPr>
          <w:rFonts w:ascii="Arial" w:hAnsi="Arial" w:cs="Arial"/>
          <w:i/>
          <w:sz w:val="24"/>
          <w:szCs w:val="24"/>
          <w:u w:val="single"/>
        </w:rPr>
        <w:t>Geological success (of a prospect, or of a risk component of a prospect).</w:t>
      </w:r>
      <w:proofErr w:type="gramEnd"/>
      <w:r w:rsidRPr="00163252">
        <w:rPr>
          <w:rFonts w:ascii="Arial" w:hAnsi="Arial" w:cs="Arial"/>
          <w:sz w:val="24"/>
          <w:szCs w:val="24"/>
        </w:rPr>
        <w:t xml:space="preserve"> Geological success means that the geological model defined as the prospect success case exists in the subsurface; the general geological description is valid, and the actual value of the components falls within prognosed range. For the prospect as a whole, success means that all these components combine to give rise to a hydrocarbon accumulation that falls within the prognosed volume range. We can consider the component elements separately, so that a well may test a successful outcome for (say) the reservoir model, even if another component fails and the prospect as a whole is not a success.</w:t>
      </w:r>
    </w:p>
    <w:p w:rsidR="00D6544D" w:rsidRPr="00163252" w:rsidRDefault="00D6544D" w:rsidP="00FF443D">
      <w:pPr>
        <w:rPr>
          <w:rFonts w:ascii="Arial" w:hAnsi="Arial" w:cs="Arial"/>
          <w:sz w:val="24"/>
          <w:szCs w:val="24"/>
          <w:lang w:val="en"/>
        </w:rPr>
      </w:pPr>
      <w:r w:rsidRPr="00163252">
        <w:rPr>
          <w:rFonts w:ascii="Arial" w:hAnsi="Arial" w:cs="Arial"/>
          <w:sz w:val="24"/>
          <w:szCs w:val="24"/>
          <w:lang w:val="en"/>
        </w:rPr>
        <w:t>It is common to produce statistics that consider both the historical success rates of prospect as a whole (e.g. Rose 1987; Harper, 2000) and of the individual key geological components of the prosp</w:t>
      </w:r>
      <w:r w:rsidR="00C33F55" w:rsidRPr="00163252">
        <w:rPr>
          <w:rFonts w:ascii="Arial" w:hAnsi="Arial" w:cs="Arial"/>
          <w:sz w:val="24"/>
          <w:szCs w:val="24"/>
          <w:lang w:val="en"/>
        </w:rPr>
        <w:t>ect (e.g. Ofstad et al. 2000c).</w:t>
      </w:r>
    </w:p>
    <w:p w:rsidR="00BC358B" w:rsidRPr="00163252" w:rsidRDefault="00632D1D" w:rsidP="00FF443D">
      <w:pPr>
        <w:rPr>
          <w:rFonts w:ascii="Arial" w:hAnsi="Arial" w:cs="Arial"/>
          <w:b/>
          <w:sz w:val="24"/>
          <w:szCs w:val="24"/>
          <w:lang w:val="en"/>
        </w:rPr>
      </w:pPr>
      <w:r w:rsidRPr="00163252">
        <w:rPr>
          <w:rFonts w:ascii="Arial" w:hAnsi="Arial" w:cs="Arial"/>
          <w:b/>
          <w:sz w:val="24"/>
          <w:szCs w:val="24"/>
          <w:lang w:val="en"/>
        </w:rPr>
        <w:t>Estimating future p</w:t>
      </w:r>
      <w:r w:rsidR="00C33F55" w:rsidRPr="00163252">
        <w:rPr>
          <w:rFonts w:ascii="Arial" w:hAnsi="Arial" w:cs="Arial"/>
          <w:b/>
          <w:sz w:val="24"/>
          <w:szCs w:val="24"/>
          <w:lang w:val="en"/>
        </w:rPr>
        <w:t>robability from past statistics</w:t>
      </w:r>
    </w:p>
    <w:p w:rsidR="00C44AA1" w:rsidRDefault="00632D1D" w:rsidP="00C44AA1">
      <w:pPr>
        <w:rPr>
          <w:noProof/>
          <w:lang w:eastAsia="en-GB"/>
        </w:rPr>
      </w:pPr>
      <w:r w:rsidRPr="00163252">
        <w:rPr>
          <w:rFonts w:ascii="Arial" w:hAnsi="Arial" w:cs="Arial"/>
          <w:sz w:val="24"/>
          <w:szCs w:val="24"/>
          <w:lang w:val="en"/>
        </w:rPr>
        <w:t>If the only information we have to base our estimate of the chance of</w:t>
      </w:r>
      <w:r w:rsidR="00C76713" w:rsidRPr="00163252">
        <w:rPr>
          <w:rFonts w:ascii="Arial" w:hAnsi="Arial" w:cs="Arial"/>
          <w:sz w:val="24"/>
          <w:szCs w:val="24"/>
          <w:lang w:val="en"/>
        </w:rPr>
        <w:t xml:space="preserve"> future</w:t>
      </w:r>
      <w:r w:rsidRPr="00163252">
        <w:rPr>
          <w:rFonts w:ascii="Arial" w:hAnsi="Arial" w:cs="Arial"/>
          <w:sz w:val="24"/>
          <w:szCs w:val="24"/>
          <w:lang w:val="en"/>
        </w:rPr>
        <w:t xml:space="preserve"> success on is the past s</w:t>
      </w:r>
      <w:r w:rsidR="0033486C" w:rsidRPr="00163252">
        <w:rPr>
          <w:rFonts w:ascii="Arial" w:hAnsi="Arial" w:cs="Arial"/>
          <w:sz w:val="24"/>
          <w:szCs w:val="24"/>
          <w:lang w:val="en"/>
        </w:rPr>
        <w:t xml:space="preserve">tatistics (Figure 1), </w:t>
      </w:r>
      <w:r w:rsidRPr="00163252">
        <w:rPr>
          <w:rFonts w:ascii="Arial" w:hAnsi="Arial" w:cs="Arial"/>
          <w:sz w:val="24"/>
          <w:szCs w:val="24"/>
          <w:lang w:val="en"/>
        </w:rPr>
        <w:t xml:space="preserve">there is a rigorous method for calculating the </w:t>
      </w:r>
      <w:r w:rsidRPr="00163252">
        <w:rPr>
          <w:rFonts w:ascii="Arial" w:hAnsi="Arial" w:cs="Arial"/>
          <w:sz w:val="24"/>
          <w:szCs w:val="24"/>
          <w:lang w:val="en"/>
        </w:rPr>
        <w:lastRenderedPageBreak/>
        <w:t xml:space="preserve">odds, and it is quite non-intuitive. </w:t>
      </w:r>
      <w:r w:rsidR="00BC358B" w:rsidRPr="00163252">
        <w:rPr>
          <w:rFonts w:ascii="Arial" w:hAnsi="Arial" w:cs="Arial"/>
          <w:sz w:val="24"/>
          <w:szCs w:val="24"/>
          <w:lang w:val="en"/>
        </w:rPr>
        <w:t xml:space="preserve">There are many circumstances in which the frequency of past success is not a good approximation of the chance of future success. </w:t>
      </w:r>
      <w:r w:rsidRPr="00163252">
        <w:rPr>
          <w:rFonts w:ascii="Arial" w:hAnsi="Arial" w:cs="Arial"/>
          <w:sz w:val="24"/>
          <w:szCs w:val="24"/>
          <w:lang w:val="en"/>
        </w:rPr>
        <w:t>If our data set consists of 10 wells, of which 9 were successes, we might</w:t>
      </w:r>
      <w:r w:rsidR="0020247A" w:rsidRPr="00163252">
        <w:rPr>
          <w:rFonts w:ascii="Arial" w:hAnsi="Arial" w:cs="Arial"/>
          <w:sz w:val="24"/>
          <w:szCs w:val="24"/>
          <w:lang w:val="en"/>
        </w:rPr>
        <w:t xml:space="preserve"> intuitively</w:t>
      </w:r>
      <w:r w:rsidRPr="00163252">
        <w:rPr>
          <w:rFonts w:ascii="Arial" w:hAnsi="Arial" w:cs="Arial"/>
          <w:sz w:val="24"/>
          <w:szCs w:val="24"/>
          <w:lang w:val="en"/>
        </w:rPr>
        <w:t xml:space="preserve"> think that the appropriate chance of success would be 9/10 = 0.9, but this is not correct</w:t>
      </w:r>
      <w:r w:rsidR="00C76713" w:rsidRPr="00163252">
        <w:rPr>
          <w:rFonts w:ascii="Arial" w:hAnsi="Arial" w:cs="Arial"/>
          <w:sz w:val="24"/>
          <w:szCs w:val="24"/>
          <w:lang w:val="en"/>
        </w:rPr>
        <w:t xml:space="preserve"> (the best estimate is in fact 0.833). If our data set consists of 3 wells, of which 3 were successes, we might think the appropriate chance of success would be 3/3 = 1, but this also is not correct (the best estimate is 0.804). It is more intuitive if we consider a data set consisting of only 1 well, which was a success: the past success rate is 1/1, but any experienced explorer knows that one good result does not prove that the next well will work (the best estimate is 0.67).</w:t>
      </w:r>
      <w:r w:rsidR="00BC358B" w:rsidRPr="00163252">
        <w:rPr>
          <w:rFonts w:ascii="Arial" w:hAnsi="Arial" w:cs="Arial"/>
          <w:sz w:val="24"/>
          <w:szCs w:val="24"/>
          <w:lang w:val="en"/>
        </w:rPr>
        <w:t xml:space="preserve"> The method we use to obtain these best estimates is set out below.</w:t>
      </w:r>
      <w:r w:rsidR="00624A3C" w:rsidRPr="00624A3C">
        <w:rPr>
          <w:noProof/>
          <w:lang w:eastAsia="en-GB"/>
        </w:rPr>
        <w:t xml:space="preserve"> </w:t>
      </w:r>
    </w:p>
    <w:p w:rsidR="00632D1D" w:rsidRDefault="00624A3C" w:rsidP="00C44AA1">
      <w:pPr>
        <w:jc w:val="center"/>
        <w:rPr>
          <w:noProof/>
          <w:lang w:eastAsia="en-GB"/>
        </w:rPr>
      </w:pPr>
      <w:r w:rsidRPr="00624A3C">
        <w:drawing>
          <wp:inline distT="0" distB="0" distL="0" distR="0" wp14:anchorId="76AB9E70" wp14:editId="30EA2B25">
            <wp:extent cx="3700221" cy="1819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98582" cy="1818469"/>
                    </a:xfrm>
                    <a:prstGeom prst="rect">
                      <a:avLst/>
                    </a:prstGeom>
                  </pic:spPr>
                </pic:pic>
              </a:graphicData>
            </a:graphic>
          </wp:inline>
        </w:drawing>
      </w:r>
    </w:p>
    <w:p w:rsidR="00624A3C" w:rsidRPr="0008211B" w:rsidRDefault="00624A3C" w:rsidP="00624A3C">
      <w:pPr>
        <w:rPr>
          <w:rFonts w:ascii="Arial" w:hAnsi="Arial" w:cs="Arial"/>
          <w:i/>
          <w:sz w:val="24"/>
          <w:szCs w:val="24"/>
          <w:u w:val="single"/>
          <w:lang w:val="en"/>
        </w:rPr>
      </w:pPr>
      <w:proofErr w:type="gramStart"/>
      <w:r w:rsidRPr="003443D1">
        <w:rPr>
          <w:rFonts w:ascii="Arial" w:hAnsi="Arial" w:cs="Arial"/>
          <w:i/>
          <w:sz w:val="24"/>
          <w:szCs w:val="24"/>
          <w:u w:val="single"/>
          <w:lang w:val="en"/>
        </w:rPr>
        <w:t>Figure 1.</w:t>
      </w:r>
      <w:proofErr w:type="gramEnd"/>
      <w:r w:rsidRPr="003443D1">
        <w:rPr>
          <w:rFonts w:ascii="Arial" w:hAnsi="Arial" w:cs="Arial"/>
          <w:i/>
          <w:sz w:val="24"/>
          <w:szCs w:val="24"/>
          <w:u w:val="single"/>
          <w:lang w:val="en"/>
        </w:rPr>
        <w:t xml:space="preserve"> Problem: if all the information we have to go on is the raw success/failure statistics of an analogous set of wells, how do we translate the number (75%) representing the frequency of past success into a go-forward prediction of the chance of suc</w:t>
      </w:r>
      <w:r>
        <w:rPr>
          <w:rFonts w:ascii="Arial" w:hAnsi="Arial" w:cs="Arial"/>
          <w:i/>
          <w:sz w:val="24"/>
          <w:szCs w:val="24"/>
          <w:u w:val="single"/>
          <w:lang w:val="en"/>
        </w:rPr>
        <w:t xml:space="preserve">cess of an undrilled prospect? </w:t>
      </w:r>
    </w:p>
    <w:p w:rsidR="00624A3C" w:rsidRPr="00163252" w:rsidRDefault="00624A3C" w:rsidP="00FF443D">
      <w:pPr>
        <w:rPr>
          <w:rFonts w:ascii="Arial" w:hAnsi="Arial" w:cs="Arial"/>
          <w:sz w:val="24"/>
          <w:szCs w:val="24"/>
          <w:lang w:val="en"/>
        </w:rPr>
      </w:pPr>
    </w:p>
    <w:p w:rsidR="00C76713" w:rsidRPr="00163252" w:rsidRDefault="0020247A" w:rsidP="00FF443D">
      <w:pPr>
        <w:rPr>
          <w:rFonts w:ascii="Arial" w:hAnsi="Arial" w:cs="Arial"/>
          <w:sz w:val="24"/>
          <w:szCs w:val="24"/>
          <w:lang w:val="en"/>
        </w:rPr>
      </w:pPr>
      <w:r w:rsidRPr="00163252">
        <w:rPr>
          <w:rFonts w:ascii="Arial" w:hAnsi="Arial" w:cs="Arial"/>
          <w:sz w:val="24"/>
          <w:szCs w:val="24"/>
          <w:lang w:val="en"/>
        </w:rPr>
        <w:t>The reason for this</w:t>
      </w:r>
      <w:r w:rsidR="00BC358B" w:rsidRPr="00163252">
        <w:rPr>
          <w:rFonts w:ascii="Arial" w:hAnsi="Arial" w:cs="Arial"/>
          <w:sz w:val="24"/>
          <w:szCs w:val="24"/>
          <w:lang w:val="en"/>
        </w:rPr>
        <w:t xml:space="preserve"> difference </w:t>
      </w:r>
      <w:r w:rsidR="00703DD7" w:rsidRPr="00163252">
        <w:rPr>
          <w:rFonts w:ascii="Arial" w:hAnsi="Arial" w:cs="Arial"/>
          <w:sz w:val="24"/>
          <w:szCs w:val="24"/>
          <w:lang w:val="en"/>
        </w:rPr>
        <w:t>between</w:t>
      </w:r>
      <w:r w:rsidR="00BC358B" w:rsidRPr="00163252">
        <w:rPr>
          <w:rFonts w:ascii="Arial" w:hAnsi="Arial" w:cs="Arial"/>
          <w:sz w:val="24"/>
          <w:szCs w:val="24"/>
          <w:lang w:val="en"/>
        </w:rPr>
        <w:t xml:space="preserve"> past frequency and future chance</w:t>
      </w:r>
      <w:r w:rsidRPr="00163252">
        <w:rPr>
          <w:rFonts w:ascii="Arial" w:hAnsi="Arial" w:cs="Arial"/>
          <w:sz w:val="24"/>
          <w:szCs w:val="24"/>
          <w:lang w:val="en"/>
        </w:rPr>
        <w:t xml:space="preserve"> is that we are not trying to find the proportion of past success or failure; we are, instead, trying to find the most likely chance of success that would deliver that proportion, and this is not the same number.</w:t>
      </w:r>
      <w:r w:rsidR="00BA4B98" w:rsidRPr="00163252">
        <w:rPr>
          <w:rFonts w:ascii="Arial" w:hAnsi="Arial" w:cs="Arial"/>
          <w:sz w:val="24"/>
          <w:szCs w:val="24"/>
          <w:lang w:val="en"/>
        </w:rPr>
        <w:t xml:space="preserve"> </w:t>
      </w:r>
    </w:p>
    <w:p w:rsidR="00872368" w:rsidRPr="00163252" w:rsidRDefault="00806D45" w:rsidP="00BA4B98">
      <w:pPr>
        <w:rPr>
          <w:rFonts w:ascii="Arial" w:hAnsi="Arial" w:cs="Arial"/>
          <w:sz w:val="24"/>
          <w:szCs w:val="24"/>
          <w:lang w:val="en"/>
        </w:rPr>
      </w:pPr>
      <w:r w:rsidRPr="00163252">
        <w:rPr>
          <w:rFonts w:ascii="Arial" w:hAnsi="Arial" w:cs="Arial"/>
          <w:sz w:val="24"/>
          <w:szCs w:val="24"/>
          <w:lang w:val="en"/>
        </w:rPr>
        <w:t xml:space="preserve">This can be illustrated by a </w:t>
      </w:r>
      <w:r w:rsidR="007618A6" w:rsidRPr="00163252">
        <w:rPr>
          <w:rFonts w:ascii="Arial" w:hAnsi="Arial" w:cs="Arial"/>
          <w:sz w:val="24"/>
          <w:szCs w:val="24"/>
          <w:lang w:val="en"/>
        </w:rPr>
        <w:t>question used</w:t>
      </w:r>
      <w:r w:rsidR="00872368" w:rsidRPr="00163252">
        <w:rPr>
          <w:rFonts w:ascii="Arial" w:hAnsi="Arial" w:cs="Arial"/>
          <w:sz w:val="24"/>
          <w:szCs w:val="24"/>
          <w:lang w:val="en"/>
        </w:rPr>
        <w:t xml:space="preserve"> in in</w:t>
      </w:r>
      <w:r w:rsidR="00DA1C18" w:rsidRPr="00163252">
        <w:rPr>
          <w:rFonts w:ascii="Arial" w:hAnsi="Arial" w:cs="Arial"/>
          <w:sz w:val="24"/>
          <w:szCs w:val="24"/>
          <w:lang w:val="en"/>
        </w:rPr>
        <w:t xml:space="preserve">terviews for financial traders </w:t>
      </w:r>
      <w:r w:rsidR="00872368" w:rsidRPr="00163252">
        <w:rPr>
          <w:rFonts w:ascii="Arial" w:hAnsi="Arial" w:cs="Arial"/>
          <w:sz w:val="24"/>
          <w:szCs w:val="24"/>
          <w:lang w:val="en"/>
        </w:rPr>
        <w:t>(</w:t>
      </w:r>
      <w:hyperlink r:id="rId10" w:history="1">
        <w:r w:rsidR="00872368" w:rsidRPr="00163252">
          <w:rPr>
            <w:rStyle w:val="Hyperlink"/>
            <w:rFonts w:ascii="Arial" w:hAnsi="Arial" w:cs="Arial"/>
            <w:sz w:val="24"/>
            <w:szCs w:val="24"/>
            <w:lang w:val="en"/>
          </w:rPr>
          <w:t>http://www.glassdoor.co.uk/Interview</w:t>
        </w:r>
      </w:hyperlink>
      <w:r w:rsidR="00872368" w:rsidRPr="00163252">
        <w:rPr>
          <w:rFonts w:ascii="Arial" w:hAnsi="Arial" w:cs="Arial"/>
          <w:sz w:val="24"/>
          <w:szCs w:val="24"/>
          <w:lang w:val="en"/>
        </w:rPr>
        <w:t xml:space="preserve">); a variant was used as a Car Talk® puzzler (http://www.cartalk.com/content). </w:t>
      </w:r>
      <w:r w:rsidR="00BA4B98" w:rsidRPr="00163252">
        <w:rPr>
          <w:rFonts w:ascii="Arial" w:hAnsi="Arial" w:cs="Arial"/>
          <w:sz w:val="24"/>
          <w:szCs w:val="24"/>
          <w:lang w:val="en"/>
        </w:rPr>
        <w:t>: “There are 3 coins in a</w:t>
      </w:r>
      <w:r w:rsidR="00864D8C" w:rsidRPr="00163252">
        <w:rPr>
          <w:rFonts w:ascii="Arial" w:hAnsi="Arial" w:cs="Arial"/>
          <w:sz w:val="24"/>
          <w:szCs w:val="24"/>
          <w:lang w:val="en"/>
        </w:rPr>
        <w:t xml:space="preserve"> </w:t>
      </w:r>
      <w:r w:rsidR="00BA4B98" w:rsidRPr="00163252">
        <w:rPr>
          <w:rFonts w:ascii="Arial" w:hAnsi="Arial" w:cs="Arial"/>
          <w:sz w:val="24"/>
          <w:szCs w:val="24"/>
          <w:lang w:val="en"/>
        </w:rPr>
        <w:t>bag</w:t>
      </w:r>
      <w:r w:rsidR="001813DB" w:rsidRPr="00163252">
        <w:rPr>
          <w:rFonts w:ascii="Arial" w:hAnsi="Arial" w:cs="Arial"/>
          <w:sz w:val="24"/>
          <w:szCs w:val="24"/>
          <w:lang w:val="en"/>
        </w:rPr>
        <w:t>. Coin 1</w:t>
      </w:r>
      <w:r w:rsidR="00BA4B98" w:rsidRPr="00163252">
        <w:rPr>
          <w:rFonts w:ascii="Arial" w:hAnsi="Arial" w:cs="Arial"/>
          <w:sz w:val="24"/>
          <w:szCs w:val="24"/>
          <w:lang w:val="en"/>
        </w:rPr>
        <w:t xml:space="preserve"> has</w:t>
      </w:r>
      <w:r w:rsidR="001813DB" w:rsidRPr="00163252">
        <w:rPr>
          <w:rFonts w:ascii="Arial" w:hAnsi="Arial" w:cs="Arial"/>
          <w:sz w:val="24"/>
          <w:szCs w:val="24"/>
          <w:lang w:val="en"/>
        </w:rPr>
        <w:t xml:space="preserve"> tails</w:t>
      </w:r>
      <w:r w:rsidR="00BA4B98" w:rsidRPr="00163252">
        <w:rPr>
          <w:rFonts w:ascii="Arial" w:hAnsi="Arial" w:cs="Arial"/>
          <w:sz w:val="24"/>
          <w:szCs w:val="24"/>
          <w:lang w:val="en"/>
        </w:rPr>
        <w:t xml:space="preserve"> on both sides, </w:t>
      </w:r>
      <w:r w:rsidR="001813DB" w:rsidRPr="00163252">
        <w:rPr>
          <w:rFonts w:ascii="Arial" w:hAnsi="Arial" w:cs="Arial"/>
          <w:sz w:val="24"/>
          <w:szCs w:val="24"/>
          <w:lang w:val="en"/>
        </w:rPr>
        <w:t>coin 2</w:t>
      </w:r>
      <w:r w:rsidR="00BA4B98" w:rsidRPr="00163252">
        <w:rPr>
          <w:rFonts w:ascii="Arial" w:hAnsi="Arial" w:cs="Arial"/>
          <w:sz w:val="24"/>
          <w:szCs w:val="24"/>
          <w:lang w:val="en"/>
        </w:rPr>
        <w:t xml:space="preserve"> </w:t>
      </w:r>
      <w:r w:rsidR="001813DB" w:rsidRPr="00163252">
        <w:rPr>
          <w:rFonts w:ascii="Arial" w:hAnsi="Arial" w:cs="Arial"/>
          <w:sz w:val="24"/>
          <w:szCs w:val="24"/>
          <w:lang w:val="en"/>
        </w:rPr>
        <w:t xml:space="preserve">has head on one side and tail on the other side, and coin 3 </w:t>
      </w:r>
      <w:r w:rsidR="00BA4B98" w:rsidRPr="00163252">
        <w:rPr>
          <w:rFonts w:ascii="Arial" w:hAnsi="Arial" w:cs="Arial"/>
          <w:sz w:val="24"/>
          <w:szCs w:val="24"/>
          <w:lang w:val="en"/>
        </w:rPr>
        <w:t xml:space="preserve">has </w:t>
      </w:r>
      <w:r w:rsidR="00872368" w:rsidRPr="00163252">
        <w:rPr>
          <w:rFonts w:ascii="Arial" w:hAnsi="Arial" w:cs="Arial"/>
          <w:sz w:val="24"/>
          <w:szCs w:val="24"/>
          <w:lang w:val="en"/>
        </w:rPr>
        <w:t xml:space="preserve">heads </w:t>
      </w:r>
      <w:r w:rsidR="00BA4B98" w:rsidRPr="00163252">
        <w:rPr>
          <w:rFonts w:ascii="Arial" w:hAnsi="Arial" w:cs="Arial"/>
          <w:sz w:val="24"/>
          <w:szCs w:val="24"/>
          <w:lang w:val="en"/>
        </w:rPr>
        <w:t>on both sides. I pick one coin from the bag and toss</w:t>
      </w:r>
      <w:r w:rsidR="00864D8C" w:rsidRPr="00163252">
        <w:rPr>
          <w:rFonts w:ascii="Arial" w:hAnsi="Arial" w:cs="Arial"/>
          <w:sz w:val="24"/>
          <w:szCs w:val="24"/>
          <w:lang w:val="en"/>
        </w:rPr>
        <w:t xml:space="preserve"> it</w:t>
      </w:r>
      <w:r w:rsidR="00BA4B98" w:rsidRPr="00163252">
        <w:rPr>
          <w:rFonts w:ascii="Arial" w:hAnsi="Arial" w:cs="Arial"/>
          <w:sz w:val="24"/>
          <w:szCs w:val="24"/>
          <w:lang w:val="en"/>
        </w:rPr>
        <w:t>. I get head</w:t>
      </w:r>
      <w:r w:rsidR="00864D8C" w:rsidRPr="00163252">
        <w:rPr>
          <w:rFonts w:ascii="Arial" w:hAnsi="Arial" w:cs="Arial"/>
          <w:sz w:val="24"/>
          <w:szCs w:val="24"/>
          <w:lang w:val="en"/>
        </w:rPr>
        <w:t>s</w:t>
      </w:r>
      <w:r w:rsidR="00BA4B98" w:rsidRPr="00163252">
        <w:rPr>
          <w:rFonts w:ascii="Arial" w:hAnsi="Arial" w:cs="Arial"/>
          <w:sz w:val="24"/>
          <w:szCs w:val="24"/>
          <w:lang w:val="en"/>
        </w:rPr>
        <w:t xml:space="preserve">. What is the chance that the </w:t>
      </w:r>
      <w:r w:rsidR="001813DB" w:rsidRPr="00163252">
        <w:rPr>
          <w:rFonts w:ascii="Arial" w:hAnsi="Arial" w:cs="Arial"/>
          <w:sz w:val="24"/>
          <w:szCs w:val="24"/>
          <w:lang w:val="en"/>
        </w:rPr>
        <w:t xml:space="preserve">same </w:t>
      </w:r>
      <w:r w:rsidR="00BA4B98" w:rsidRPr="00163252">
        <w:rPr>
          <w:rFonts w:ascii="Arial" w:hAnsi="Arial" w:cs="Arial"/>
          <w:sz w:val="24"/>
          <w:szCs w:val="24"/>
          <w:lang w:val="en"/>
        </w:rPr>
        <w:t xml:space="preserve">coin </w:t>
      </w:r>
      <w:r w:rsidR="00864D8C" w:rsidRPr="00163252">
        <w:rPr>
          <w:rFonts w:ascii="Arial" w:hAnsi="Arial" w:cs="Arial"/>
          <w:sz w:val="24"/>
          <w:szCs w:val="24"/>
          <w:lang w:val="en"/>
        </w:rPr>
        <w:t xml:space="preserve">will land heads if </w:t>
      </w:r>
      <w:r w:rsidR="001813DB" w:rsidRPr="00163252">
        <w:rPr>
          <w:rFonts w:ascii="Arial" w:hAnsi="Arial" w:cs="Arial"/>
          <w:sz w:val="24"/>
          <w:szCs w:val="24"/>
          <w:lang w:val="en"/>
        </w:rPr>
        <w:t xml:space="preserve">I toss it </w:t>
      </w:r>
      <w:r w:rsidR="00864D8C" w:rsidRPr="00163252">
        <w:rPr>
          <w:rFonts w:ascii="Arial" w:hAnsi="Arial" w:cs="Arial"/>
          <w:sz w:val="24"/>
          <w:szCs w:val="24"/>
          <w:lang w:val="en"/>
        </w:rPr>
        <w:t>again</w:t>
      </w:r>
      <w:r w:rsidR="00BA4B98" w:rsidRPr="00163252">
        <w:rPr>
          <w:rFonts w:ascii="Arial" w:hAnsi="Arial" w:cs="Arial"/>
          <w:sz w:val="24"/>
          <w:szCs w:val="24"/>
          <w:lang w:val="en"/>
        </w:rPr>
        <w:t>?</w:t>
      </w:r>
      <w:r w:rsidR="00864D8C" w:rsidRPr="00163252">
        <w:rPr>
          <w:rFonts w:ascii="Arial" w:hAnsi="Arial" w:cs="Arial"/>
          <w:sz w:val="24"/>
          <w:szCs w:val="24"/>
          <w:lang w:val="en"/>
        </w:rPr>
        <w:t xml:space="preserve">”  </w:t>
      </w:r>
    </w:p>
    <w:p w:rsidR="00872368" w:rsidRDefault="00872368" w:rsidP="00BA4B98">
      <w:pPr>
        <w:rPr>
          <w:rFonts w:ascii="Arial" w:hAnsi="Arial" w:cs="Arial"/>
          <w:sz w:val="24"/>
          <w:szCs w:val="24"/>
          <w:lang w:val="en"/>
        </w:rPr>
      </w:pPr>
      <w:r w:rsidRPr="00163252">
        <w:rPr>
          <w:rFonts w:ascii="Arial" w:hAnsi="Arial" w:cs="Arial"/>
          <w:sz w:val="24"/>
          <w:szCs w:val="24"/>
          <w:lang w:val="en"/>
        </w:rPr>
        <w:t xml:space="preserve">In this example, we know that each coin has a different probability of landing heads-up (0, 0.5 and 1.0) but we </w:t>
      </w:r>
      <w:r w:rsidR="00DA1C18" w:rsidRPr="00163252">
        <w:rPr>
          <w:rFonts w:ascii="Arial" w:hAnsi="Arial" w:cs="Arial"/>
          <w:sz w:val="24"/>
          <w:szCs w:val="24"/>
          <w:lang w:val="en"/>
        </w:rPr>
        <w:t>do not know which coin we have selected, so we do not know what the probability is for that coin. We can use the one test result to come up with a best estimate of that probability.</w:t>
      </w:r>
    </w:p>
    <w:p w:rsidR="00624A3C" w:rsidRDefault="00624A3C" w:rsidP="00890667">
      <w:pPr>
        <w:jc w:val="center"/>
        <w:rPr>
          <w:rFonts w:ascii="Arial" w:hAnsi="Arial" w:cs="Arial"/>
          <w:sz w:val="24"/>
          <w:szCs w:val="24"/>
          <w:lang w:val="en"/>
        </w:rPr>
      </w:pPr>
      <w:r w:rsidRPr="00624A3C">
        <w:lastRenderedPageBreak/>
        <w:drawing>
          <wp:inline distT="0" distB="0" distL="0" distR="0" wp14:anchorId="122F52BA" wp14:editId="3C855986">
            <wp:extent cx="3743325" cy="344257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741667" cy="3441054"/>
                    </a:xfrm>
                    <a:prstGeom prst="rect">
                      <a:avLst/>
                    </a:prstGeom>
                  </pic:spPr>
                </pic:pic>
              </a:graphicData>
            </a:graphic>
          </wp:inline>
        </w:drawing>
      </w:r>
      <w:bookmarkStart w:id="0" w:name="_GoBack"/>
      <w:bookmarkEnd w:id="0"/>
    </w:p>
    <w:p w:rsidR="00624A3C" w:rsidRPr="0008211B" w:rsidRDefault="00624A3C" w:rsidP="00624A3C">
      <w:pPr>
        <w:rPr>
          <w:rFonts w:ascii="Arial" w:hAnsi="Arial" w:cs="Arial"/>
          <w:i/>
          <w:sz w:val="24"/>
          <w:szCs w:val="24"/>
          <w:u w:val="single"/>
          <w:lang w:val="en"/>
        </w:rPr>
      </w:pPr>
      <w:r w:rsidRPr="003443D1">
        <w:rPr>
          <w:rFonts w:ascii="Arial" w:hAnsi="Arial" w:cs="Arial"/>
          <w:i/>
          <w:sz w:val="24"/>
          <w:szCs w:val="24"/>
          <w:u w:val="single"/>
          <w:lang w:val="en"/>
        </w:rPr>
        <w:t>Figure 2 graphical solution of the 3-coin problem: reverse-estimating the go-forward pr</w:t>
      </w:r>
      <w:r>
        <w:rPr>
          <w:rFonts w:ascii="Arial" w:hAnsi="Arial" w:cs="Arial"/>
          <w:i/>
          <w:sz w:val="24"/>
          <w:szCs w:val="24"/>
          <w:u w:val="single"/>
          <w:lang w:val="en"/>
        </w:rPr>
        <w:t>obability from one observation.</w:t>
      </w:r>
    </w:p>
    <w:p w:rsidR="00624A3C" w:rsidRPr="00163252" w:rsidRDefault="00624A3C" w:rsidP="00BA4B98">
      <w:pPr>
        <w:rPr>
          <w:rFonts w:ascii="Arial" w:hAnsi="Arial" w:cs="Arial"/>
          <w:sz w:val="24"/>
          <w:szCs w:val="24"/>
          <w:lang w:val="en"/>
        </w:rPr>
      </w:pPr>
    </w:p>
    <w:p w:rsidR="00B50396" w:rsidRPr="00163252" w:rsidRDefault="00DA1C18" w:rsidP="00BA4B98">
      <w:pPr>
        <w:rPr>
          <w:rFonts w:ascii="Arial" w:hAnsi="Arial" w:cs="Arial"/>
          <w:sz w:val="24"/>
          <w:szCs w:val="24"/>
          <w:lang w:val="en"/>
        </w:rPr>
      </w:pPr>
      <w:r w:rsidRPr="00163252">
        <w:rPr>
          <w:rFonts w:ascii="Arial" w:hAnsi="Arial" w:cs="Arial"/>
          <w:sz w:val="24"/>
          <w:szCs w:val="24"/>
          <w:lang w:val="en"/>
        </w:rPr>
        <w:t>We</w:t>
      </w:r>
      <w:r w:rsidR="00864D8C" w:rsidRPr="00163252">
        <w:rPr>
          <w:rFonts w:ascii="Arial" w:hAnsi="Arial" w:cs="Arial"/>
          <w:sz w:val="24"/>
          <w:szCs w:val="24"/>
          <w:lang w:val="en"/>
        </w:rPr>
        <w:t xml:space="preserve"> know one result of one trial of the coin, and 100% of our trials found a head, but this does not mean that we can apply that same historic success rate as the chance of success for the next throw</w:t>
      </w:r>
      <w:r w:rsidR="00184226" w:rsidRPr="00163252">
        <w:rPr>
          <w:rFonts w:ascii="Arial" w:hAnsi="Arial" w:cs="Arial"/>
          <w:sz w:val="24"/>
          <w:szCs w:val="24"/>
          <w:lang w:val="en"/>
        </w:rPr>
        <w:t>. A simple “frequentist”</w:t>
      </w:r>
      <w:r w:rsidR="00BC358B" w:rsidRPr="00163252">
        <w:rPr>
          <w:rFonts w:ascii="Arial" w:hAnsi="Arial" w:cs="Arial"/>
          <w:sz w:val="24"/>
          <w:szCs w:val="24"/>
          <w:lang w:val="en"/>
        </w:rPr>
        <w:t xml:space="preserve"> approach </w:t>
      </w:r>
      <w:r w:rsidR="00184226" w:rsidRPr="00163252">
        <w:rPr>
          <w:rFonts w:ascii="Arial" w:hAnsi="Arial" w:cs="Arial"/>
          <w:sz w:val="24"/>
          <w:szCs w:val="24"/>
          <w:lang w:val="en"/>
        </w:rPr>
        <w:t xml:space="preserve">(i.e. using the frequency of past success) </w:t>
      </w:r>
      <w:r w:rsidR="00BC358B" w:rsidRPr="00163252">
        <w:rPr>
          <w:rFonts w:ascii="Arial" w:hAnsi="Arial" w:cs="Arial"/>
          <w:sz w:val="24"/>
          <w:szCs w:val="24"/>
          <w:lang w:val="en"/>
        </w:rPr>
        <w:t>would suggest past rate = 1.0 = prediction of future chance</w:t>
      </w:r>
      <w:r w:rsidR="00A013D1" w:rsidRPr="00163252">
        <w:rPr>
          <w:rFonts w:ascii="Arial" w:hAnsi="Arial" w:cs="Arial"/>
          <w:sz w:val="24"/>
          <w:szCs w:val="24"/>
          <w:lang w:val="en"/>
        </w:rPr>
        <w:t xml:space="preserve"> – but it is intuitively obvious that this result is false</w:t>
      </w:r>
      <w:r w:rsidR="00864D8C" w:rsidRPr="00163252">
        <w:rPr>
          <w:rFonts w:ascii="Arial" w:hAnsi="Arial" w:cs="Arial"/>
          <w:sz w:val="24"/>
          <w:szCs w:val="24"/>
          <w:lang w:val="en"/>
        </w:rPr>
        <w:t xml:space="preserve">. </w:t>
      </w:r>
      <w:r w:rsidR="00184226" w:rsidRPr="00163252">
        <w:rPr>
          <w:rFonts w:ascii="Arial" w:hAnsi="Arial" w:cs="Arial"/>
          <w:sz w:val="24"/>
          <w:szCs w:val="24"/>
          <w:lang w:val="en"/>
        </w:rPr>
        <w:t xml:space="preserve">A more </w:t>
      </w:r>
      <w:r w:rsidR="00A013D1" w:rsidRPr="00163252">
        <w:rPr>
          <w:rFonts w:ascii="Arial" w:hAnsi="Arial" w:cs="Arial"/>
          <w:sz w:val="24"/>
          <w:szCs w:val="24"/>
          <w:lang w:val="en"/>
        </w:rPr>
        <w:t>appropriate</w:t>
      </w:r>
      <w:r w:rsidR="00184226" w:rsidRPr="00163252">
        <w:rPr>
          <w:rFonts w:ascii="Arial" w:hAnsi="Arial" w:cs="Arial"/>
          <w:sz w:val="24"/>
          <w:szCs w:val="24"/>
          <w:lang w:val="en"/>
        </w:rPr>
        <w:t xml:space="preserve"> “probabilist” approach</w:t>
      </w:r>
      <w:r w:rsidR="001813DB" w:rsidRPr="00163252">
        <w:rPr>
          <w:rFonts w:ascii="Arial" w:hAnsi="Arial" w:cs="Arial"/>
          <w:sz w:val="24"/>
          <w:szCs w:val="24"/>
          <w:lang w:val="en"/>
        </w:rPr>
        <w:t xml:space="preserve"> reverse-estimate</w:t>
      </w:r>
      <w:r w:rsidR="00184226" w:rsidRPr="00163252">
        <w:rPr>
          <w:rFonts w:ascii="Arial" w:hAnsi="Arial" w:cs="Arial"/>
          <w:sz w:val="24"/>
          <w:szCs w:val="24"/>
          <w:lang w:val="en"/>
        </w:rPr>
        <w:t>s</w:t>
      </w:r>
      <w:r w:rsidR="001813DB" w:rsidRPr="00163252">
        <w:rPr>
          <w:rFonts w:ascii="Arial" w:hAnsi="Arial" w:cs="Arial"/>
          <w:sz w:val="24"/>
          <w:szCs w:val="24"/>
          <w:lang w:val="en"/>
        </w:rPr>
        <w:t xml:space="preserve"> that chance from the information we have (Figure 1). </w:t>
      </w:r>
      <w:r w:rsidR="00864D8C" w:rsidRPr="00163252">
        <w:rPr>
          <w:rFonts w:ascii="Arial" w:hAnsi="Arial" w:cs="Arial"/>
          <w:sz w:val="24"/>
          <w:szCs w:val="24"/>
          <w:lang w:val="en"/>
        </w:rPr>
        <w:t xml:space="preserve">We know the range of possible chances for the three coins – 0, 0.5 and 1.0 – but we do not know which coin we have. </w:t>
      </w:r>
      <w:r w:rsidR="001813DB" w:rsidRPr="00163252">
        <w:rPr>
          <w:rFonts w:ascii="Arial" w:hAnsi="Arial" w:cs="Arial"/>
          <w:sz w:val="24"/>
          <w:szCs w:val="24"/>
          <w:lang w:val="en"/>
        </w:rPr>
        <w:t>The coins in the bag have six faces.</w:t>
      </w:r>
      <w:r w:rsidR="00BC358B" w:rsidRPr="00163252">
        <w:rPr>
          <w:rFonts w:ascii="Arial" w:hAnsi="Arial" w:cs="Arial"/>
          <w:sz w:val="24"/>
          <w:szCs w:val="24"/>
          <w:lang w:val="en"/>
        </w:rPr>
        <w:t xml:space="preserve"> </w:t>
      </w:r>
      <w:r w:rsidR="001813DB" w:rsidRPr="00163252">
        <w:rPr>
          <w:rFonts w:ascii="Arial" w:hAnsi="Arial" w:cs="Arial"/>
          <w:sz w:val="24"/>
          <w:szCs w:val="24"/>
          <w:lang w:val="en"/>
        </w:rPr>
        <w:t xml:space="preserve">1/3 of the heads lie on coin 2, and 2/3 on coin 3. The likelihood that we selected coin 1 is zero (it has no head), the likelihood it is coin 2 is 1/3, and the likelihood it is coin 3 is 2/3. To obtain the go-forward chance of a head, we calculate the mean chance from the two coins – 1/3 x 0.5 + 2/3 x 1.0 = 5/6. The important </w:t>
      </w:r>
      <w:r w:rsidR="007618A6" w:rsidRPr="00163252">
        <w:rPr>
          <w:rFonts w:ascii="Arial" w:hAnsi="Arial" w:cs="Arial"/>
          <w:sz w:val="24"/>
          <w:szCs w:val="24"/>
          <w:lang w:val="en"/>
        </w:rPr>
        <w:t>lessons of</w:t>
      </w:r>
      <w:r w:rsidR="001813DB" w:rsidRPr="00163252">
        <w:rPr>
          <w:rFonts w:ascii="Arial" w:hAnsi="Arial" w:cs="Arial"/>
          <w:sz w:val="24"/>
          <w:szCs w:val="24"/>
          <w:lang w:val="en"/>
        </w:rPr>
        <w:t xml:space="preserve"> this </w:t>
      </w:r>
      <w:r w:rsidR="00BC358B" w:rsidRPr="00163252">
        <w:rPr>
          <w:rFonts w:ascii="Arial" w:hAnsi="Arial" w:cs="Arial"/>
          <w:sz w:val="24"/>
          <w:szCs w:val="24"/>
          <w:lang w:val="en"/>
        </w:rPr>
        <w:t>exercise</w:t>
      </w:r>
      <w:r w:rsidR="001813DB" w:rsidRPr="00163252">
        <w:rPr>
          <w:rFonts w:ascii="Arial" w:hAnsi="Arial" w:cs="Arial"/>
          <w:sz w:val="24"/>
          <w:szCs w:val="24"/>
          <w:lang w:val="en"/>
        </w:rPr>
        <w:t xml:space="preserve"> for petroleum exploration are that</w:t>
      </w:r>
      <w:r w:rsidR="00B50396" w:rsidRPr="00163252">
        <w:rPr>
          <w:rFonts w:ascii="Arial" w:hAnsi="Arial" w:cs="Arial"/>
          <w:sz w:val="24"/>
          <w:szCs w:val="24"/>
          <w:lang w:val="en"/>
        </w:rPr>
        <w:t>:</w:t>
      </w:r>
      <w:r w:rsidR="001813DB" w:rsidRPr="00163252">
        <w:rPr>
          <w:rFonts w:ascii="Arial" w:hAnsi="Arial" w:cs="Arial"/>
          <w:sz w:val="24"/>
          <w:szCs w:val="24"/>
          <w:lang w:val="en"/>
        </w:rPr>
        <w:t xml:space="preserve"> </w:t>
      </w:r>
    </w:p>
    <w:p w:rsidR="00DA1C18" w:rsidRPr="00163252" w:rsidRDefault="00DA1C18" w:rsidP="00163252">
      <w:pPr>
        <w:pStyle w:val="ListParagraph"/>
        <w:numPr>
          <w:ilvl w:val="0"/>
          <w:numId w:val="5"/>
        </w:numPr>
        <w:rPr>
          <w:rFonts w:ascii="Arial" w:hAnsi="Arial" w:cs="Arial"/>
          <w:sz w:val="24"/>
          <w:szCs w:val="24"/>
          <w:lang w:val="en"/>
        </w:rPr>
      </w:pPr>
      <w:r w:rsidRPr="00163252">
        <w:rPr>
          <w:rFonts w:ascii="Arial" w:hAnsi="Arial" w:cs="Arial"/>
          <w:sz w:val="24"/>
          <w:szCs w:val="24"/>
          <w:lang w:val="en"/>
        </w:rPr>
        <w:t>past success rate is not numerically equivalent to  predicted future chance;</w:t>
      </w:r>
    </w:p>
    <w:p w:rsidR="00DA1C18" w:rsidRPr="00163252" w:rsidRDefault="00DA1C18" w:rsidP="00DA1C18">
      <w:pPr>
        <w:rPr>
          <w:rFonts w:ascii="Arial" w:hAnsi="Arial" w:cs="Arial"/>
          <w:sz w:val="24"/>
          <w:szCs w:val="24"/>
          <w:lang w:val="en"/>
        </w:rPr>
      </w:pPr>
      <w:r w:rsidRPr="00163252">
        <w:rPr>
          <w:rFonts w:ascii="Arial" w:hAnsi="Arial" w:cs="Arial"/>
          <w:sz w:val="24"/>
          <w:szCs w:val="24"/>
          <w:lang w:val="en"/>
        </w:rPr>
        <w:t xml:space="preserve">(ii) </w:t>
      </w:r>
      <w:proofErr w:type="gramStart"/>
      <w:r w:rsidRPr="00163252">
        <w:rPr>
          <w:rFonts w:ascii="Arial" w:hAnsi="Arial" w:cs="Arial"/>
          <w:sz w:val="24"/>
          <w:szCs w:val="24"/>
          <w:lang w:val="en"/>
        </w:rPr>
        <w:t>it</w:t>
      </w:r>
      <w:proofErr w:type="gramEnd"/>
      <w:r w:rsidRPr="00163252">
        <w:rPr>
          <w:rFonts w:ascii="Arial" w:hAnsi="Arial" w:cs="Arial"/>
          <w:sz w:val="24"/>
          <w:szCs w:val="24"/>
          <w:lang w:val="en"/>
        </w:rPr>
        <w:t xml:space="preserve"> is possible to estimate that future chance using relatively basic logic and simple arithmetic.</w:t>
      </w:r>
    </w:p>
    <w:p w:rsidR="00703DD7" w:rsidRPr="00163252" w:rsidRDefault="00A013D1" w:rsidP="00BA4B98">
      <w:pPr>
        <w:rPr>
          <w:rFonts w:ascii="Arial" w:hAnsi="Arial" w:cs="Arial"/>
          <w:b/>
          <w:sz w:val="24"/>
          <w:szCs w:val="24"/>
          <w:lang w:val="en"/>
        </w:rPr>
      </w:pPr>
      <w:r w:rsidRPr="00163252">
        <w:rPr>
          <w:rFonts w:ascii="Arial" w:hAnsi="Arial" w:cs="Arial"/>
          <w:b/>
          <w:sz w:val="24"/>
          <w:szCs w:val="24"/>
          <w:lang w:val="en"/>
        </w:rPr>
        <w:t xml:space="preserve">Estimation of Pg from small </w:t>
      </w:r>
      <w:r w:rsidR="001132F9" w:rsidRPr="00163252">
        <w:rPr>
          <w:rFonts w:ascii="Arial" w:hAnsi="Arial" w:cs="Arial"/>
          <w:b/>
          <w:sz w:val="24"/>
          <w:szCs w:val="24"/>
          <w:lang w:val="en"/>
        </w:rPr>
        <w:t xml:space="preserve">success/failure </w:t>
      </w:r>
      <w:r w:rsidRPr="00163252">
        <w:rPr>
          <w:rFonts w:ascii="Arial" w:hAnsi="Arial" w:cs="Arial"/>
          <w:b/>
          <w:sz w:val="24"/>
          <w:szCs w:val="24"/>
          <w:lang w:val="en"/>
        </w:rPr>
        <w:t>data sets</w:t>
      </w:r>
    </w:p>
    <w:p w:rsidR="0022231A" w:rsidRPr="00163252" w:rsidRDefault="0022231A" w:rsidP="0022231A">
      <w:pPr>
        <w:rPr>
          <w:rFonts w:ascii="Arial" w:hAnsi="Arial" w:cs="Arial"/>
          <w:sz w:val="24"/>
          <w:szCs w:val="24"/>
        </w:rPr>
      </w:pPr>
      <w:r w:rsidRPr="00163252">
        <w:rPr>
          <w:rFonts w:ascii="Arial" w:hAnsi="Arial" w:cs="Arial"/>
          <w:sz w:val="24"/>
          <w:szCs w:val="24"/>
        </w:rPr>
        <w:t xml:space="preserve">We can apply a similar approach to the real-world situation of estimating the chance of success of a future prospect test, using only the knowledge of the results of </w:t>
      </w:r>
      <w:r w:rsidRPr="00163252">
        <w:rPr>
          <w:rFonts w:ascii="Arial" w:hAnsi="Arial" w:cs="Arial"/>
          <w:sz w:val="24"/>
          <w:szCs w:val="24"/>
        </w:rPr>
        <w:lastRenderedPageBreak/>
        <w:t>previously tested prospects in the same play. We first make the assumption that, in the absence of prospect-specific information, each of the drilled prospects had the same pre-drill chance of success, and the undrilled prospect has the same chance of success. We do not know what that chance of success was/is, but we have a record of past success rate, and we can use simple arithmetic to back-calculate what chance of success would be most likely to have generated the observed results.</w:t>
      </w:r>
    </w:p>
    <w:p w:rsidR="0022231A" w:rsidRDefault="0022231A" w:rsidP="0022231A">
      <w:pPr>
        <w:rPr>
          <w:rFonts w:ascii="Arial" w:hAnsi="Arial" w:cs="Arial"/>
          <w:sz w:val="24"/>
          <w:szCs w:val="24"/>
        </w:rPr>
      </w:pPr>
      <w:r w:rsidRPr="00163252">
        <w:rPr>
          <w:rFonts w:ascii="Arial" w:hAnsi="Arial" w:cs="Arial"/>
          <w:sz w:val="24"/>
          <w:szCs w:val="24"/>
        </w:rPr>
        <w:t>This problem is not new, nor is it unique to petroleum exploration; it was first described by Price in the preface to Bayes (1763). Laplace (1774) considered the same question in a classic analysis known as the Sunrise Theorem. This addressed the following question: what would you estimate the chance of the sun rising successfully tomorrow to be, if the only information that you had available was that the sun has risen every day of your life so far (</w:t>
      </w:r>
      <w:r w:rsidRPr="00163252">
        <w:rPr>
          <w:rFonts w:ascii="Arial" w:hAnsi="Arial" w:cs="Arial"/>
          <w:i/>
          <w:sz w:val="24"/>
          <w:szCs w:val="24"/>
        </w:rPr>
        <w:t>n</w:t>
      </w:r>
      <w:r w:rsidRPr="00163252">
        <w:rPr>
          <w:rFonts w:ascii="Arial" w:hAnsi="Arial" w:cs="Arial"/>
          <w:sz w:val="24"/>
          <w:szCs w:val="24"/>
        </w:rPr>
        <w:t xml:space="preserve"> days)? To answer this, he assumed that every day had the same chance of success, P</w:t>
      </w:r>
      <w:r w:rsidRPr="00163252">
        <w:rPr>
          <w:rFonts w:ascii="Arial" w:hAnsi="Arial" w:cs="Arial"/>
          <w:sz w:val="24"/>
          <w:szCs w:val="24"/>
          <w:vertAlign w:val="subscript"/>
        </w:rPr>
        <w:t>sunrise</w:t>
      </w:r>
      <w:r w:rsidRPr="00163252">
        <w:rPr>
          <w:rFonts w:ascii="Arial" w:hAnsi="Arial" w:cs="Arial"/>
          <w:sz w:val="24"/>
          <w:szCs w:val="24"/>
        </w:rPr>
        <w:t xml:space="preserve">. For each possible value of the probability, he calculated the chance that this particular value could give rise to the observation of </w:t>
      </w:r>
      <w:r w:rsidRPr="00163252">
        <w:rPr>
          <w:rFonts w:ascii="Arial" w:hAnsi="Arial" w:cs="Arial"/>
          <w:i/>
          <w:sz w:val="24"/>
          <w:szCs w:val="24"/>
        </w:rPr>
        <w:t>n</w:t>
      </w:r>
      <w:r w:rsidRPr="00163252">
        <w:rPr>
          <w:rFonts w:ascii="Arial" w:hAnsi="Arial" w:cs="Arial"/>
          <w:sz w:val="24"/>
          <w:szCs w:val="24"/>
        </w:rPr>
        <w:t xml:space="preserve"> successive successful sunrises. From this, he calculated the mean value probability P</w:t>
      </w:r>
      <w:r w:rsidRPr="00163252">
        <w:rPr>
          <w:rFonts w:ascii="Arial" w:hAnsi="Arial" w:cs="Arial"/>
          <w:sz w:val="24"/>
          <w:szCs w:val="24"/>
          <w:vertAlign w:val="subscript"/>
        </w:rPr>
        <w:t>sunrise</w:t>
      </w:r>
      <w:r w:rsidRPr="00163252">
        <w:rPr>
          <w:rFonts w:ascii="Arial" w:hAnsi="Arial" w:cs="Arial"/>
          <w:sz w:val="24"/>
          <w:szCs w:val="24"/>
        </w:rPr>
        <w:t xml:space="preserve"> that gives rise to the observed sequence: P</w:t>
      </w:r>
      <w:r w:rsidRPr="00163252">
        <w:rPr>
          <w:rFonts w:ascii="Arial" w:hAnsi="Arial" w:cs="Arial"/>
          <w:sz w:val="24"/>
          <w:szCs w:val="24"/>
          <w:vertAlign w:val="subscript"/>
        </w:rPr>
        <w:t>sunrise</w:t>
      </w:r>
      <w:r w:rsidRPr="00163252">
        <w:rPr>
          <w:rFonts w:ascii="Arial" w:hAnsi="Arial" w:cs="Arial"/>
          <w:sz w:val="24"/>
          <w:szCs w:val="24"/>
        </w:rPr>
        <w:t xml:space="preserve"> </w:t>
      </w:r>
      <w:proofErr w:type="gramStart"/>
      <w:r w:rsidRPr="00163252">
        <w:rPr>
          <w:rFonts w:ascii="Arial" w:hAnsi="Arial" w:cs="Arial"/>
          <w:sz w:val="24"/>
          <w:szCs w:val="24"/>
        </w:rPr>
        <w:t>=(</w:t>
      </w:r>
      <w:proofErr w:type="gramEnd"/>
      <w:r w:rsidRPr="00163252">
        <w:rPr>
          <w:rFonts w:ascii="Arial" w:hAnsi="Arial" w:cs="Arial"/>
          <w:sz w:val="24"/>
          <w:szCs w:val="24"/>
        </w:rPr>
        <w:t>n+1)/n+2) .</w:t>
      </w:r>
    </w:p>
    <w:p w:rsidR="00624A3C" w:rsidRDefault="00624A3C" w:rsidP="0022231A">
      <w:pPr>
        <w:rPr>
          <w:rFonts w:ascii="Arial" w:hAnsi="Arial" w:cs="Arial"/>
          <w:sz w:val="24"/>
          <w:szCs w:val="24"/>
        </w:rPr>
      </w:pPr>
      <w:r w:rsidRPr="00624A3C">
        <w:drawing>
          <wp:inline distT="0" distB="0" distL="0" distR="0" wp14:anchorId="0645D402" wp14:editId="3FE3040E">
            <wp:extent cx="5731510" cy="26146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2614695"/>
                    </a:xfrm>
                    <a:prstGeom prst="rect">
                      <a:avLst/>
                    </a:prstGeom>
                  </pic:spPr>
                </pic:pic>
              </a:graphicData>
            </a:graphic>
          </wp:inline>
        </w:drawing>
      </w:r>
    </w:p>
    <w:p w:rsidR="00624A3C" w:rsidRPr="0008211B" w:rsidRDefault="00624A3C" w:rsidP="00624A3C">
      <w:pPr>
        <w:rPr>
          <w:rFonts w:ascii="Arial" w:hAnsi="Arial" w:cs="Arial"/>
          <w:i/>
          <w:sz w:val="24"/>
          <w:szCs w:val="24"/>
          <w:u w:val="single"/>
          <w:lang w:val="en"/>
        </w:rPr>
      </w:pPr>
      <w:r w:rsidRPr="003443D1">
        <w:rPr>
          <w:rFonts w:ascii="Arial" w:hAnsi="Arial" w:cs="Arial"/>
          <w:i/>
          <w:sz w:val="24"/>
          <w:szCs w:val="24"/>
          <w:u w:val="single"/>
          <w:lang w:val="en"/>
        </w:rPr>
        <w:t xml:space="preserve">Figure 3 a, application of Laplace (1774) Sunrise Problem, estimating the mean chance of success from the observation of a succession of 1 to 11 successful results; b, </w:t>
      </w:r>
      <w:r>
        <w:rPr>
          <w:rFonts w:ascii="Arial" w:hAnsi="Arial" w:cs="Arial"/>
          <w:i/>
          <w:sz w:val="24"/>
          <w:szCs w:val="24"/>
          <w:u w:val="single"/>
          <w:lang w:val="en"/>
        </w:rPr>
        <w:t xml:space="preserve">application of the Rule of </w:t>
      </w:r>
      <w:proofErr w:type="gramStart"/>
      <w:r>
        <w:rPr>
          <w:rFonts w:ascii="Arial" w:hAnsi="Arial" w:cs="Arial"/>
          <w:i/>
          <w:sz w:val="24"/>
          <w:szCs w:val="24"/>
          <w:u w:val="single"/>
          <w:lang w:val="en"/>
        </w:rPr>
        <w:t xml:space="preserve">Succession </w:t>
      </w:r>
      <w:r w:rsidRPr="003443D1">
        <w:rPr>
          <w:rFonts w:ascii="Arial" w:hAnsi="Arial" w:cs="Arial"/>
          <w:i/>
          <w:sz w:val="24"/>
          <w:szCs w:val="24"/>
          <w:u w:val="single"/>
          <w:lang w:val="en"/>
        </w:rPr>
        <w:t xml:space="preserve"> to</w:t>
      </w:r>
      <w:proofErr w:type="gramEnd"/>
      <w:r w:rsidRPr="003443D1">
        <w:rPr>
          <w:rFonts w:ascii="Arial" w:hAnsi="Arial" w:cs="Arial"/>
          <w:i/>
          <w:sz w:val="24"/>
          <w:szCs w:val="24"/>
          <w:u w:val="single"/>
          <w:lang w:val="en"/>
        </w:rPr>
        <w:t xml:space="preserve"> estimate the mean chance of success based on a series of 1 to 11 results, including success and failure outcomes.</w:t>
      </w:r>
    </w:p>
    <w:p w:rsidR="00624A3C" w:rsidRPr="00163252" w:rsidRDefault="00624A3C" w:rsidP="0022231A">
      <w:pPr>
        <w:rPr>
          <w:rFonts w:ascii="Arial" w:hAnsi="Arial" w:cs="Arial"/>
          <w:sz w:val="24"/>
          <w:szCs w:val="24"/>
        </w:rPr>
      </w:pPr>
    </w:p>
    <w:p w:rsidR="0022231A" w:rsidRPr="00163252" w:rsidRDefault="0022231A" w:rsidP="0022231A">
      <w:pPr>
        <w:rPr>
          <w:rFonts w:ascii="Arial" w:hAnsi="Arial" w:cs="Arial"/>
          <w:sz w:val="24"/>
          <w:szCs w:val="24"/>
        </w:rPr>
      </w:pPr>
      <w:r w:rsidRPr="00163252">
        <w:rPr>
          <w:rFonts w:ascii="Arial" w:hAnsi="Arial" w:cs="Arial"/>
          <w:sz w:val="24"/>
          <w:szCs w:val="24"/>
        </w:rPr>
        <w:t>Applying this to petroleum exploration, we can use the Sunrise Theorem to calculate the mean chance of prospect success, Pg, that would give rise to an uninterrupted string of n successes: Pg</w:t>
      </w:r>
      <w:proofErr w:type="gramStart"/>
      <w:r w:rsidRPr="00163252">
        <w:rPr>
          <w:rFonts w:ascii="Arial" w:hAnsi="Arial" w:cs="Arial"/>
          <w:sz w:val="24"/>
          <w:szCs w:val="24"/>
        </w:rPr>
        <w:t>=(</w:t>
      </w:r>
      <w:proofErr w:type="gramEnd"/>
      <w:r w:rsidRPr="00163252">
        <w:rPr>
          <w:rFonts w:ascii="Arial" w:hAnsi="Arial" w:cs="Arial"/>
          <w:sz w:val="24"/>
          <w:szCs w:val="24"/>
        </w:rPr>
        <w:t xml:space="preserve">n+1)/n+2). If we have no other information on which to base an inductive estimate, this mean chance is the appropriate estimate of Pg to </w:t>
      </w:r>
      <w:r w:rsidRPr="00163252">
        <w:rPr>
          <w:rFonts w:ascii="Arial" w:hAnsi="Arial" w:cs="Arial"/>
          <w:sz w:val="24"/>
          <w:szCs w:val="24"/>
        </w:rPr>
        <w:lastRenderedPageBreak/>
        <w:t xml:space="preserve">use for our next prospect. The results are shown in Figure 3a, and tabulated in the first column of Table 1. </w:t>
      </w:r>
    </w:p>
    <w:p w:rsidR="0022231A" w:rsidRPr="00163252" w:rsidRDefault="0022231A" w:rsidP="0022231A">
      <w:pPr>
        <w:rPr>
          <w:rFonts w:ascii="Arial" w:hAnsi="Arial" w:cs="Arial"/>
          <w:sz w:val="24"/>
          <w:szCs w:val="24"/>
        </w:rPr>
      </w:pPr>
      <w:r w:rsidRPr="00163252">
        <w:rPr>
          <w:rFonts w:ascii="Arial" w:hAnsi="Arial" w:cs="Arial"/>
          <w:sz w:val="24"/>
          <w:szCs w:val="24"/>
        </w:rPr>
        <w:t>Laplace (1774) went on to develop the more general Rule of Succession, which considers the mean chance that generates</w:t>
      </w:r>
      <w:r w:rsidRPr="00163252">
        <w:rPr>
          <w:rFonts w:ascii="Arial" w:hAnsi="Arial" w:cs="Arial"/>
          <w:i/>
          <w:sz w:val="24"/>
          <w:szCs w:val="24"/>
        </w:rPr>
        <w:t xml:space="preserve"> s</w:t>
      </w:r>
      <w:r w:rsidRPr="00163252">
        <w:rPr>
          <w:rFonts w:ascii="Arial" w:hAnsi="Arial" w:cs="Arial"/>
          <w:sz w:val="24"/>
          <w:szCs w:val="24"/>
        </w:rPr>
        <w:t xml:space="preserve"> successes out of</w:t>
      </w:r>
      <w:r w:rsidRPr="00163252">
        <w:rPr>
          <w:rFonts w:ascii="Arial" w:hAnsi="Arial" w:cs="Arial"/>
          <w:i/>
          <w:sz w:val="24"/>
          <w:szCs w:val="24"/>
        </w:rPr>
        <w:t xml:space="preserve"> n</w:t>
      </w:r>
      <w:r w:rsidRPr="00163252">
        <w:rPr>
          <w:rFonts w:ascii="Arial" w:hAnsi="Arial" w:cs="Arial"/>
          <w:sz w:val="24"/>
          <w:szCs w:val="24"/>
        </w:rPr>
        <w:t xml:space="preserve"> trials, obtaining the solution Pmean = (s+1)/(n+2). An alternate, graphical method of deriving the same value is shown in the Appendix; it is included because this derivation may be more intuitive to our readers.</w:t>
      </w:r>
    </w:p>
    <w:p w:rsidR="0022231A" w:rsidRPr="00163252" w:rsidRDefault="0022231A" w:rsidP="0022231A">
      <w:pPr>
        <w:rPr>
          <w:rFonts w:ascii="Arial" w:hAnsi="Arial" w:cs="Arial"/>
          <w:sz w:val="24"/>
          <w:szCs w:val="24"/>
        </w:rPr>
      </w:pPr>
      <w:r w:rsidRPr="00163252">
        <w:rPr>
          <w:rFonts w:ascii="Arial" w:hAnsi="Arial" w:cs="Arial"/>
          <w:sz w:val="24"/>
          <w:szCs w:val="24"/>
        </w:rPr>
        <w:t xml:space="preserve">Applying this to petroleum exploration , we can calculate the mean chance of success, Pg, that gives rise to </w:t>
      </w:r>
      <w:r w:rsidRPr="00163252">
        <w:rPr>
          <w:rFonts w:ascii="Arial" w:hAnsi="Arial" w:cs="Arial"/>
          <w:i/>
          <w:sz w:val="24"/>
          <w:szCs w:val="24"/>
        </w:rPr>
        <w:t xml:space="preserve">s </w:t>
      </w:r>
      <w:r w:rsidRPr="00163252">
        <w:rPr>
          <w:rFonts w:ascii="Arial" w:hAnsi="Arial" w:cs="Arial"/>
          <w:sz w:val="24"/>
          <w:szCs w:val="24"/>
        </w:rPr>
        <w:t xml:space="preserve">successes out of a data set of </w:t>
      </w:r>
      <w:r w:rsidRPr="00163252">
        <w:rPr>
          <w:rFonts w:ascii="Arial" w:hAnsi="Arial" w:cs="Arial"/>
          <w:i/>
          <w:sz w:val="24"/>
          <w:szCs w:val="24"/>
        </w:rPr>
        <w:t>n</w:t>
      </w:r>
      <w:r w:rsidRPr="00163252">
        <w:rPr>
          <w:rFonts w:ascii="Arial" w:hAnsi="Arial" w:cs="Arial"/>
          <w:sz w:val="24"/>
          <w:szCs w:val="24"/>
        </w:rPr>
        <w:t xml:space="preserve"> tests, Pg =(s+1)/(n+2). Again, if we have no other information on which to base an inductive estimate, this mean chance is the appropriate estimate of Pg to use for our next prospect. The results are shown in Figure 3b and in Table 1.</w:t>
      </w:r>
    </w:p>
    <w:p w:rsidR="001813DB" w:rsidRPr="00163252" w:rsidRDefault="00CB2312" w:rsidP="00BA4B98">
      <w:pPr>
        <w:rPr>
          <w:rFonts w:ascii="Arial" w:hAnsi="Arial" w:cs="Arial"/>
          <w:sz w:val="24"/>
          <w:szCs w:val="24"/>
          <w:lang w:val="en"/>
        </w:rPr>
      </w:pPr>
      <w:r w:rsidRPr="00163252">
        <w:rPr>
          <w:rFonts w:ascii="Arial" w:hAnsi="Arial" w:cs="Arial"/>
          <w:sz w:val="24"/>
          <w:szCs w:val="24"/>
          <w:lang w:val="en"/>
        </w:rPr>
        <w:t>We suggest that the results shown in table 1 can be used by exploration geoscientists as a simple method to translate past statistics into an estimate of Pg, where this is appropriate, and that this should be used in place of a simple frequency approach.</w:t>
      </w:r>
    </w:p>
    <w:p w:rsidR="001132F9" w:rsidRPr="00163252" w:rsidRDefault="001132F9" w:rsidP="00BA4B98">
      <w:pPr>
        <w:rPr>
          <w:rFonts w:ascii="Arial" w:hAnsi="Arial" w:cs="Arial"/>
          <w:sz w:val="24"/>
          <w:szCs w:val="24"/>
          <w:lang w:val="en"/>
        </w:rPr>
      </w:pPr>
      <w:r w:rsidRPr="00163252">
        <w:rPr>
          <w:rFonts w:ascii="Arial" w:hAnsi="Arial" w:cs="Arial"/>
          <w:sz w:val="24"/>
          <w:szCs w:val="24"/>
          <w:lang w:val="en"/>
        </w:rPr>
        <w:t xml:space="preserve">This approach can be used for Pg, the chance of success of the prospect as a whole, if the only information we have is that the historical data set consists of dry holes vs. hydrocarbon discoveries. The same approach can also be used to obtain estimates of the chance of success of one or more of the independent risk components (such as </w:t>
      </w:r>
      <w:r w:rsidR="001B2999" w:rsidRPr="00163252">
        <w:rPr>
          <w:rFonts w:ascii="Arial" w:hAnsi="Arial" w:cs="Arial"/>
          <w:sz w:val="24"/>
          <w:szCs w:val="24"/>
          <w:lang w:val="en"/>
        </w:rPr>
        <w:t>charge</w:t>
      </w:r>
      <w:r w:rsidRPr="00163252">
        <w:rPr>
          <w:rFonts w:ascii="Arial" w:hAnsi="Arial" w:cs="Arial"/>
          <w:sz w:val="24"/>
          <w:szCs w:val="24"/>
          <w:lang w:val="en"/>
        </w:rPr>
        <w:t>, reservoir, trap and seal) that are multiplied together to derive the overall Pg value.</w:t>
      </w:r>
      <w:r w:rsidR="001B2999" w:rsidRPr="00163252">
        <w:rPr>
          <w:rFonts w:ascii="Arial" w:hAnsi="Arial" w:cs="Arial"/>
          <w:sz w:val="24"/>
          <w:szCs w:val="24"/>
          <w:lang w:val="en"/>
        </w:rPr>
        <w:t xml:space="preserve"> For example, we may have sound inductive probability estimates derived from geological data for </w:t>
      </w:r>
      <w:proofErr w:type="gramStart"/>
      <w:r w:rsidR="001B2999" w:rsidRPr="00163252">
        <w:rPr>
          <w:rFonts w:ascii="Arial" w:hAnsi="Arial" w:cs="Arial"/>
          <w:sz w:val="24"/>
          <w:szCs w:val="24"/>
          <w:lang w:val="en"/>
        </w:rPr>
        <w:t>charge ,</w:t>
      </w:r>
      <w:proofErr w:type="gramEnd"/>
      <w:r w:rsidR="001B2999" w:rsidRPr="00163252">
        <w:rPr>
          <w:rFonts w:ascii="Arial" w:hAnsi="Arial" w:cs="Arial"/>
          <w:sz w:val="24"/>
          <w:szCs w:val="24"/>
          <w:lang w:val="en"/>
        </w:rPr>
        <w:t xml:space="preserve"> trap, and seal, but if the only information available for reservoir is that the reservoir is absent in 1 out of 10 well tests, we should use Table 1 to </w:t>
      </w:r>
      <w:r w:rsidR="008E5C6B" w:rsidRPr="00163252">
        <w:rPr>
          <w:rFonts w:ascii="Arial" w:hAnsi="Arial" w:cs="Arial"/>
          <w:sz w:val="24"/>
          <w:szCs w:val="24"/>
          <w:lang w:val="en"/>
        </w:rPr>
        <w:t>obtain</w:t>
      </w:r>
      <w:r w:rsidR="001B2999" w:rsidRPr="00163252">
        <w:rPr>
          <w:rFonts w:ascii="Arial" w:hAnsi="Arial" w:cs="Arial"/>
          <w:sz w:val="24"/>
          <w:szCs w:val="24"/>
          <w:lang w:val="en"/>
        </w:rPr>
        <w:t xml:space="preserve"> an estimate of the chance of reservoir</w:t>
      </w:r>
      <w:r w:rsidR="008E5C6B" w:rsidRPr="00163252">
        <w:rPr>
          <w:rFonts w:ascii="Arial" w:hAnsi="Arial" w:cs="Arial"/>
          <w:sz w:val="24"/>
          <w:szCs w:val="24"/>
          <w:lang w:val="en"/>
        </w:rPr>
        <w:t xml:space="preserve"> presence</w:t>
      </w:r>
      <w:r w:rsidR="001B2999" w:rsidRPr="00163252">
        <w:rPr>
          <w:rFonts w:ascii="Arial" w:hAnsi="Arial" w:cs="Arial"/>
          <w:sz w:val="24"/>
          <w:szCs w:val="24"/>
          <w:lang w:val="en"/>
        </w:rPr>
        <w:t xml:space="preserve"> as 0.83, </w:t>
      </w:r>
      <w:r w:rsidR="008E5C6B" w:rsidRPr="00163252">
        <w:rPr>
          <w:rFonts w:ascii="Arial" w:hAnsi="Arial" w:cs="Arial"/>
          <w:sz w:val="24"/>
          <w:szCs w:val="24"/>
          <w:lang w:val="en"/>
        </w:rPr>
        <w:t>(or calculate this value using</w:t>
      </w:r>
      <w:r w:rsidR="001B2999" w:rsidRPr="00163252">
        <w:rPr>
          <w:rFonts w:ascii="Arial" w:hAnsi="Arial" w:cs="Arial"/>
          <w:sz w:val="24"/>
          <w:szCs w:val="24"/>
          <w:lang w:val="en"/>
        </w:rPr>
        <w:t xml:space="preserve"> the Rule of Succession</w:t>
      </w:r>
      <w:r w:rsidR="008E5C6B" w:rsidRPr="00163252">
        <w:rPr>
          <w:rFonts w:ascii="Arial" w:hAnsi="Arial" w:cs="Arial"/>
          <w:sz w:val="24"/>
          <w:szCs w:val="24"/>
          <w:lang w:val="en"/>
        </w:rPr>
        <w:t>)</w:t>
      </w:r>
      <w:r w:rsidR="001B2999" w:rsidRPr="00163252">
        <w:rPr>
          <w:rFonts w:ascii="Arial" w:hAnsi="Arial" w:cs="Arial"/>
          <w:sz w:val="24"/>
          <w:szCs w:val="24"/>
          <w:lang w:val="en"/>
        </w:rPr>
        <w:t>.</w:t>
      </w:r>
    </w:p>
    <w:p w:rsidR="00BC358B" w:rsidRPr="00163252" w:rsidRDefault="00BC358B" w:rsidP="00466E46">
      <w:pPr>
        <w:rPr>
          <w:rFonts w:ascii="Arial" w:hAnsi="Arial" w:cs="Arial"/>
          <w:sz w:val="24"/>
          <w:szCs w:val="24"/>
          <w:lang w:val="en"/>
        </w:rPr>
      </w:pPr>
      <w:r w:rsidRPr="00163252">
        <w:rPr>
          <w:rFonts w:ascii="Arial" w:hAnsi="Arial" w:cs="Arial"/>
          <w:sz w:val="24"/>
          <w:szCs w:val="24"/>
          <w:lang w:val="en"/>
        </w:rPr>
        <w:t xml:space="preserve">The main assumptions implicit to this approach are the same as those that constrain the general binomial probability formula: it depends on </w:t>
      </w:r>
      <w:r w:rsidR="00703DD7" w:rsidRPr="00163252">
        <w:rPr>
          <w:rFonts w:ascii="Arial" w:hAnsi="Arial" w:cs="Arial"/>
          <w:sz w:val="24"/>
          <w:szCs w:val="24"/>
          <w:lang w:val="en"/>
        </w:rPr>
        <w:t xml:space="preserve">(i) </w:t>
      </w:r>
      <w:r w:rsidRPr="00163252">
        <w:rPr>
          <w:rFonts w:ascii="Arial" w:hAnsi="Arial" w:cs="Arial"/>
          <w:sz w:val="24"/>
          <w:szCs w:val="24"/>
          <w:lang w:val="en"/>
        </w:rPr>
        <w:t xml:space="preserve">the </w:t>
      </w:r>
      <w:r w:rsidR="00703DD7" w:rsidRPr="00163252">
        <w:rPr>
          <w:rFonts w:ascii="Arial" w:hAnsi="Arial" w:cs="Arial"/>
          <w:sz w:val="24"/>
          <w:szCs w:val="24"/>
          <w:lang w:val="en"/>
        </w:rPr>
        <w:t>trials</w:t>
      </w:r>
      <w:r w:rsidRPr="00163252">
        <w:rPr>
          <w:rFonts w:ascii="Arial" w:hAnsi="Arial" w:cs="Arial"/>
          <w:sz w:val="24"/>
          <w:szCs w:val="24"/>
          <w:lang w:val="en"/>
        </w:rPr>
        <w:t xml:space="preserve"> being independent, </w:t>
      </w:r>
      <w:r w:rsidR="00703DD7" w:rsidRPr="00163252">
        <w:rPr>
          <w:rFonts w:ascii="Arial" w:hAnsi="Arial" w:cs="Arial"/>
          <w:sz w:val="24"/>
          <w:szCs w:val="24"/>
          <w:lang w:val="en"/>
        </w:rPr>
        <w:t xml:space="preserve">(ii) </w:t>
      </w:r>
      <w:r w:rsidRPr="00163252">
        <w:rPr>
          <w:rFonts w:ascii="Arial" w:hAnsi="Arial" w:cs="Arial"/>
          <w:sz w:val="24"/>
          <w:szCs w:val="24"/>
          <w:lang w:val="en"/>
        </w:rPr>
        <w:t xml:space="preserve">that there are only two possible outcomes of each </w:t>
      </w:r>
      <w:r w:rsidR="00703DD7" w:rsidRPr="00163252">
        <w:rPr>
          <w:rFonts w:ascii="Arial" w:hAnsi="Arial" w:cs="Arial"/>
          <w:sz w:val="24"/>
          <w:szCs w:val="24"/>
          <w:lang w:val="en"/>
        </w:rPr>
        <w:t>trial (in the petroleum exploration world, these are success vs. failure), and (ii</w:t>
      </w:r>
      <w:r w:rsidR="00564000" w:rsidRPr="00163252">
        <w:rPr>
          <w:rFonts w:ascii="Arial" w:hAnsi="Arial" w:cs="Arial"/>
          <w:sz w:val="24"/>
          <w:szCs w:val="24"/>
          <w:lang w:val="en"/>
        </w:rPr>
        <w:t>i</w:t>
      </w:r>
      <w:r w:rsidR="00703DD7" w:rsidRPr="00163252">
        <w:rPr>
          <w:rFonts w:ascii="Arial" w:hAnsi="Arial" w:cs="Arial"/>
          <w:sz w:val="24"/>
          <w:szCs w:val="24"/>
          <w:lang w:val="en"/>
        </w:rPr>
        <w:t>) that the prior probability of success is the same for each trial. We know that no two exploration prospects are the same, and so we know that assumption (iii) is unlikely to be true in the petroleum exploration world; however, there are many situations in which we know so little about the details of the geology that the method may be a useful first step in the process of risking a prospect; and there are some situations where we know so little that it is the only method available to us.</w:t>
      </w:r>
    </w:p>
    <w:p w:rsidR="00F259CE" w:rsidRPr="00163252" w:rsidRDefault="00F22785" w:rsidP="006A04AB">
      <w:pPr>
        <w:rPr>
          <w:rFonts w:ascii="Arial" w:hAnsi="Arial" w:cs="Arial"/>
          <w:sz w:val="24"/>
          <w:szCs w:val="24"/>
          <w:lang w:val="en"/>
        </w:rPr>
      </w:pPr>
      <w:r w:rsidRPr="00163252">
        <w:rPr>
          <w:rFonts w:ascii="Arial" w:hAnsi="Arial" w:cs="Arial"/>
          <w:sz w:val="24"/>
          <w:szCs w:val="24"/>
          <w:lang w:val="en"/>
        </w:rPr>
        <w:t xml:space="preserve">The calculated mean probability shown in Table 1 can be compared with the simple frequency (= </w:t>
      </w:r>
      <w:r w:rsidR="008E5C6B" w:rsidRPr="00163252">
        <w:rPr>
          <w:rFonts w:ascii="Arial" w:hAnsi="Arial" w:cs="Arial"/>
          <w:sz w:val="24"/>
          <w:szCs w:val="24"/>
          <w:lang w:val="en"/>
        </w:rPr>
        <w:t>s</w:t>
      </w:r>
      <w:r w:rsidRPr="00163252">
        <w:rPr>
          <w:rFonts w:ascii="Arial" w:hAnsi="Arial" w:cs="Arial"/>
          <w:sz w:val="24"/>
          <w:szCs w:val="24"/>
          <w:lang w:val="en"/>
        </w:rPr>
        <w:t>/n) for the same n tests, as shown in Table 2.</w:t>
      </w:r>
    </w:p>
    <w:p w:rsidR="001132F9" w:rsidRPr="00163252" w:rsidRDefault="00F22785" w:rsidP="006A04AB">
      <w:pPr>
        <w:rPr>
          <w:rFonts w:ascii="Arial" w:hAnsi="Arial" w:cs="Arial"/>
          <w:sz w:val="24"/>
          <w:szCs w:val="24"/>
          <w:lang w:val="en"/>
        </w:rPr>
      </w:pPr>
      <w:r w:rsidRPr="00163252">
        <w:rPr>
          <w:rFonts w:ascii="Arial" w:hAnsi="Arial" w:cs="Arial"/>
          <w:sz w:val="24"/>
          <w:szCs w:val="24"/>
          <w:lang w:val="en"/>
        </w:rPr>
        <w:lastRenderedPageBreak/>
        <w:t>Table 3</w:t>
      </w:r>
      <w:r w:rsidR="00CB2312" w:rsidRPr="00163252">
        <w:rPr>
          <w:rFonts w:ascii="Arial" w:hAnsi="Arial" w:cs="Arial"/>
          <w:sz w:val="24"/>
          <w:szCs w:val="24"/>
          <w:lang w:val="en"/>
        </w:rPr>
        <w:t xml:space="preserve"> shows </w:t>
      </w:r>
      <w:r w:rsidR="00C95241" w:rsidRPr="00163252">
        <w:rPr>
          <w:rFonts w:ascii="Arial" w:hAnsi="Arial" w:cs="Arial"/>
          <w:sz w:val="24"/>
          <w:szCs w:val="24"/>
          <w:lang w:val="en"/>
        </w:rPr>
        <w:t xml:space="preserve">a comparison of the calculated mean Pg using the </w:t>
      </w:r>
      <w:r w:rsidR="00B330BE" w:rsidRPr="00163252">
        <w:rPr>
          <w:rFonts w:ascii="Arial" w:hAnsi="Arial" w:cs="Arial"/>
          <w:sz w:val="24"/>
          <w:szCs w:val="24"/>
          <w:lang w:val="en"/>
        </w:rPr>
        <w:t>Rule of Succession</w:t>
      </w:r>
      <w:r w:rsidR="00C95241" w:rsidRPr="00163252">
        <w:rPr>
          <w:rFonts w:ascii="Arial" w:hAnsi="Arial" w:cs="Arial"/>
          <w:sz w:val="24"/>
          <w:szCs w:val="24"/>
          <w:lang w:val="en"/>
        </w:rPr>
        <w:t xml:space="preserve"> with the values that are obtained simply by taking the past frequency </w:t>
      </w:r>
      <w:r w:rsidR="00CB2312" w:rsidRPr="00163252">
        <w:rPr>
          <w:rFonts w:ascii="Arial" w:hAnsi="Arial" w:cs="Arial"/>
          <w:sz w:val="24"/>
          <w:szCs w:val="24"/>
          <w:lang w:val="en"/>
        </w:rPr>
        <w:t xml:space="preserve">of success cases </w:t>
      </w:r>
      <w:r w:rsidR="00015EB1" w:rsidRPr="00163252">
        <w:rPr>
          <w:rFonts w:ascii="Arial" w:hAnsi="Arial" w:cs="Arial"/>
          <w:sz w:val="24"/>
          <w:szCs w:val="24"/>
          <w:lang w:val="en"/>
        </w:rPr>
        <w:t>(=</w:t>
      </w:r>
      <w:r w:rsidR="009A5562" w:rsidRPr="00163252">
        <w:rPr>
          <w:rFonts w:ascii="Arial" w:hAnsi="Arial" w:cs="Arial"/>
          <w:sz w:val="24"/>
          <w:szCs w:val="24"/>
          <w:lang w:val="en"/>
        </w:rPr>
        <w:t>s</w:t>
      </w:r>
      <w:r w:rsidR="00C95241" w:rsidRPr="00163252">
        <w:rPr>
          <w:rFonts w:ascii="Arial" w:hAnsi="Arial" w:cs="Arial"/>
          <w:sz w:val="24"/>
          <w:szCs w:val="24"/>
          <w:lang w:val="en"/>
        </w:rPr>
        <w:t>/n)</w:t>
      </w:r>
      <w:r w:rsidR="009A5562" w:rsidRPr="00163252">
        <w:rPr>
          <w:rFonts w:ascii="Arial" w:hAnsi="Arial" w:cs="Arial"/>
          <w:sz w:val="24"/>
          <w:szCs w:val="24"/>
          <w:lang w:val="en"/>
        </w:rPr>
        <w:t xml:space="preserve">. The comparison shows </w:t>
      </w:r>
      <w:r w:rsidR="00C95241" w:rsidRPr="00163252">
        <w:rPr>
          <w:rFonts w:ascii="Arial" w:hAnsi="Arial" w:cs="Arial"/>
          <w:sz w:val="24"/>
          <w:szCs w:val="24"/>
          <w:lang w:val="en"/>
        </w:rPr>
        <w:t xml:space="preserve">that for larger data sets (n&gt;8), the chance predicted by the two methods is similar (difference less than 0.1), and probably either method is an acceptable approximation for the purpose of estimating prospect risk. However, for smaller data sets, especially those consisting of mostly successes or mostly failures, the difference is considerable, and the </w:t>
      </w:r>
      <w:r w:rsidR="007E43C0" w:rsidRPr="00163252">
        <w:rPr>
          <w:rFonts w:ascii="Arial" w:hAnsi="Arial" w:cs="Arial"/>
          <w:sz w:val="24"/>
          <w:szCs w:val="24"/>
          <w:lang w:val="en"/>
        </w:rPr>
        <w:t xml:space="preserve">unmodified </w:t>
      </w:r>
      <w:r w:rsidR="00015EB1" w:rsidRPr="00163252">
        <w:rPr>
          <w:rFonts w:ascii="Arial" w:hAnsi="Arial" w:cs="Arial"/>
          <w:sz w:val="24"/>
          <w:szCs w:val="24"/>
          <w:lang w:val="en"/>
        </w:rPr>
        <w:t>past</w:t>
      </w:r>
      <w:r w:rsidR="00C95241" w:rsidRPr="00163252">
        <w:rPr>
          <w:rFonts w:ascii="Arial" w:hAnsi="Arial" w:cs="Arial"/>
          <w:sz w:val="24"/>
          <w:szCs w:val="24"/>
          <w:lang w:val="en"/>
        </w:rPr>
        <w:t xml:space="preserve"> frequency is not </w:t>
      </w:r>
      <w:r w:rsidR="00CB2312" w:rsidRPr="00163252">
        <w:rPr>
          <w:rFonts w:ascii="Arial" w:hAnsi="Arial" w:cs="Arial"/>
          <w:sz w:val="24"/>
          <w:szCs w:val="24"/>
          <w:lang w:val="en"/>
        </w:rPr>
        <w:t>an acceptable approximation</w:t>
      </w:r>
      <w:r w:rsidR="00015EB1" w:rsidRPr="00163252">
        <w:rPr>
          <w:rFonts w:ascii="Arial" w:hAnsi="Arial" w:cs="Arial"/>
          <w:sz w:val="24"/>
          <w:szCs w:val="24"/>
          <w:lang w:val="en"/>
        </w:rPr>
        <w:t xml:space="preserve"> of future probability.</w:t>
      </w:r>
    </w:p>
    <w:p w:rsidR="00CB2312" w:rsidRPr="00163252" w:rsidRDefault="00CB2312" w:rsidP="006A04AB">
      <w:pPr>
        <w:rPr>
          <w:rFonts w:ascii="Arial" w:hAnsi="Arial" w:cs="Arial"/>
          <w:b/>
          <w:sz w:val="24"/>
          <w:szCs w:val="24"/>
          <w:lang w:val="en"/>
        </w:rPr>
      </w:pPr>
      <w:r w:rsidRPr="00163252">
        <w:rPr>
          <w:rFonts w:ascii="Arial" w:hAnsi="Arial" w:cs="Arial"/>
          <w:b/>
          <w:sz w:val="24"/>
          <w:szCs w:val="24"/>
          <w:lang w:val="en"/>
        </w:rPr>
        <w:t>Example: estimating the chance of a salt weld sealing</w:t>
      </w:r>
    </w:p>
    <w:p w:rsidR="009C37BA" w:rsidRDefault="001132F9" w:rsidP="006A04AB">
      <w:pPr>
        <w:rPr>
          <w:noProof/>
          <w:lang w:eastAsia="en-GB"/>
        </w:rPr>
      </w:pPr>
      <w:r w:rsidRPr="00163252">
        <w:rPr>
          <w:rFonts w:ascii="Arial" w:hAnsi="Arial" w:cs="Arial"/>
          <w:sz w:val="24"/>
          <w:szCs w:val="24"/>
          <w:lang w:val="en"/>
        </w:rPr>
        <w:t xml:space="preserve">Using look back statistics to estimate chance of success </w:t>
      </w:r>
      <w:r w:rsidR="009C37BA" w:rsidRPr="00163252">
        <w:rPr>
          <w:rFonts w:ascii="Arial" w:hAnsi="Arial" w:cs="Arial"/>
          <w:sz w:val="24"/>
          <w:szCs w:val="24"/>
          <w:lang w:val="en"/>
        </w:rPr>
        <w:t>may be</w:t>
      </w:r>
      <w:r w:rsidRPr="00163252">
        <w:rPr>
          <w:rFonts w:ascii="Arial" w:hAnsi="Arial" w:cs="Arial"/>
          <w:sz w:val="24"/>
          <w:szCs w:val="24"/>
          <w:lang w:val="en"/>
        </w:rPr>
        <w:t xml:space="preserve"> particularly important</w:t>
      </w:r>
      <w:r w:rsidR="009C37BA" w:rsidRPr="00163252">
        <w:rPr>
          <w:rFonts w:ascii="Arial" w:hAnsi="Arial" w:cs="Arial"/>
          <w:sz w:val="24"/>
          <w:szCs w:val="24"/>
          <w:lang w:val="en"/>
        </w:rPr>
        <w:t xml:space="preserve"> in situations where we have historical well </w:t>
      </w:r>
      <w:proofErr w:type="gramStart"/>
      <w:r w:rsidR="009C37BA" w:rsidRPr="00163252">
        <w:rPr>
          <w:rFonts w:ascii="Arial" w:hAnsi="Arial" w:cs="Arial"/>
          <w:sz w:val="24"/>
          <w:szCs w:val="24"/>
          <w:lang w:val="en"/>
        </w:rPr>
        <w:t>data ,</w:t>
      </w:r>
      <w:proofErr w:type="gramEnd"/>
      <w:r w:rsidR="009C37BA" w:rsidRPr="00163252">
        <w:rPr>
          <w:rFonts w:ascii="Arial" w:hAnsi="Arial" w:cs="Arial"/>
          <w:sz w:val="24"/>
          <w:szCs w:val="24"/>
          <w:lang w:val="en"/>
        </w:rPr>
        <w:t xml:space="preserve"> but  very limited information on some aspect of the prospect, or we have weak understanding of the geological factors which determine the chance of success. As a result, it may be difficult to create an inductive estimate based on sound local observations and geological reasoning, but possible to derive a valid estimate based on the past performance statistics.</w:t>
      </w:r>
      <w:r w:rsidR="00624A3C" w:rsidRPr="00624A3C">
        <w:rPr>
          <w:noProof/>
          <w:lang w:eastAsia="en-GB"/>
        </w:rPr>
        <w:t xml:space="preserve"> </w:t>
      </w:r>
      <w:r w:rsidR="00624A3C" w:rsidRPr="00624A3C">
        <w:drawing>
          <wp:inline distT="0" distB="0" distL="0" distR="0" wp14:anchorId="2E692ED2" wp14:editId="14360150">
            <wp:extent cx="5731510" cy="1699858"/>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1510" cy="1699858"/>
                    </a:xfrm>
                    <a:prstGeom prst="rect">
                      <a:avLst/>
                    </a:prstGeom>
                  </pic:spPr>
                </pic:pic>
              </a:graphicData>
            </a:graphic>
          </wp:inline>
        </w:drawing>
      </w:r>
    </w:p>
    <w:p w:rsidR="00624A3C" w:rsidRPr="0008211B" w:rsidRDefault="00624A3C" w:rsidP="00624A3C">
      <w:pPr>
        <w:rPr>
          <w:rFonts w:ascii="Arial" w:hAnsi="Arial" w:cs="Arial"/>
          <w:i/>
          <w:sz w:val="24"/>
          <w:szCs w:val="24"/>
          <w:u w:val="single"/>
          <w:lang w:val="en"/>
        </w:rPr>
      </w:pPr>
      <w:proofErr w:type="gramStart"/>
      <w:r w:rsidRPr="003443D1">
        <w:rPr>
          <w:rFonts w:ascii="Arial" w:hAnsi="Arial" w:cs="Arial"/>
          <w:i/>
          <w:sz w:val="24"/>
          <w:szCs w:val="24"/>
          <w:u w:val="single"/>
          <w:lang w:val="en"/>
        </w:rPr>
        <w:t>Figure 4.</w:t>
      </w:r>
      <w:proofErr w:type="gramEnd"/>
      <w:r w:rsidRPr="003443D1">
        <w:rPr>
          <w:rFonts w:ascii="Arial" w:hAnsi="Arial" w:cs="Arial"/>
          <w:i/>
          <w:sz w:val="24"/>
          <w:szCs w:val="24"/>
          <w:u w:val="single"/>
          <w:lang w:val="en"/>
        </w:rPr>
        <w:t xml:space="preserve"> </w:t>
      </w:r>
      <w:proofErr w:type="gramStart"/>
      <w:r w:rsidRPr="003443D1">
        <w:rPr>
          <w:rFonts w:ascii="Arial" w:hAnsi="Arial" w:cs="Arial"/>
          <w:i/>
          <w:sz w:val="24"/>
          <w:szCs w:val="24"/>
          <w:u w:val="single"/>
          <w:lang w:val="en"/>
        </w:rPr>
        <w:t xml:space="preserve">Use of limited well statistics to estimate the chance of a component of prospect risk (the </w:t>
      </w:r>
      <w:r>
        <w:rPr>
          <w:rFonts w:ascii="Arial" w:hAnsi="Arial" w:cs="Arial"/>
          <w:i/>
          <w:sz w:val="24"/>
          <w:szCs w:val="24"/>
          <w:u w:val="single"/>
          <w:lang w:val="en"/>
        </w:rPr>
        <w:t>chance of a salt weld sealing).</w:t>
      </w:r>
      <w:proofErr w:type="gramEnd"/>
    </w:p>
    <w:p w:rsidR="00624A3C" w:rsidRPr="00163252" w:rsidRDefault="00624A3C" w:rsidP="006A04AB">
      <w:pPr>
        <w:rPr>
          <w:rFonts w:ascii="Arial" w:hAnsi="Arial" w:cs="Arial"/>
          <w:sz w:val="24"/>
          <w:szCs w:val="24"/>
          <w:lang w:val="en"/>
        </w:rPr>
      </w:pPr>
    </w:p>
    <w:p w:rsidR="00FD70A0" w:rsidRPr="00163252" w:rsidRDefault="008158BE" w:rsidP="006A04AB">
      <w:pPr>
        <w:rPr>
          <w:rFonts w:ascii="Arial" w:hAnsi="Arial" w:cs="Arial"/>
          <w:sz w:val="24"/>
          <w:szCs w:val="24"/>
          <w:lang w:val="en"/>
        </w:rPr>
      </w:pPr>
      <w:r w:rsidRPr="00163252">
        <w:rPr>
          <w:rFonts w:ascii="Arial" w:hAnsi="Arial" w:cs="Arial"/>
          <w:sz w:val="24"/>
          <w:szCs w:val="24"/>
          <w:lang w:val="en"/>
        </w:rPr>
        <w:t>A situation in which this commonly arises</w:t>
      </w:r>
      <w:r w:rsidR="009C37BA" w:rsidRPr="00163252">
        <w:rPr>
          <w:rFonts w:ascii="Arial" w:hAnsi="Arial" w:cs="Arial"/>
          <w:sz w:val="24"/>
          <w:szCs w:val="24"/>
          <w:lang w:val="en"/>
        </w:rPr>
        <w:t xml:space="preserve"> is</w:t>
      </w:r>
      <w:r w:rsidRPr="00163252">
        <w:rPr>
          <w:rFonts w:ascii="Arial" w:hAnsi="Arial" w:cs="Arial"/>
          <w:sz w:val="24"/>
          <w:szCs w:val="24"/>
          <w:lang w:val="en"/>
        </w:rPr>
        <w:t xml:space="preserve"> in the risking of subsalt prospects, where a critical part of the trap is poorly imaged. One such situation is s</w:t>
      </w:r>
      <w:r w:rsidR="00015EB1" w:rsidRPr="00163252">
        <w:rPr>
          <w:rFonts w:ascii="Arial" w:hAnsi="Arial" w:cs="Arial"/>
          <w:sz w:val="24"/>
          <w:szCs w:val="24"/>
          <w:lang w:val="en"/>
        </w:rPr>
        <w:t>hown schematically in Figure 4</w:t>
      </w:r>
      <w:r w:rsidRPr="00163252">
        <w:rPr>
          <w:rFonts w:ascii="Arial" w:hAnsi="Arial" w:cs="Arial"/>
          <w:sz w:val="24"/>
          <w:szCs w:val="24"/>
          <w:lang w:val="en"/>
        </w:rPr>
        <w:t xml:space="preserve">, showing a subsalt </w:t>
      </w:r>
      <w:r w:rsidR="009C37BA" w:rsidRPr="00163252">
        <w:rPr>
          <w:rFonts w:ascii="Arial" w:hAnsi="Arial" w:cs="Arial"/>
          <w:sz w:val="24"/>
          <w:szCs w:val="24"/>
          <w:lang w:val="en"/>
        </w:rPr>
        <w:t>prospect which</w:t>
      </w:r>
      <w:r w:rsidRPr="00163252">
        <w:rPr>
          <w:rFonts w:ascii="Arial" w:hAnsi="Arial" w:cs="Arial"/>
          <w:sz w:val="24"/>
          <w:szCs w:val="24"/>
          <w:lang w:val="en"/>
        </w:rPr>
        <w:t xml:space="preserve"> depends on a salt weld to seal. </w:t>
      </w:r>
      <w:r w:rsidR="0091406A" w:rsidRPr="00163252">
        <w:rPr>
          <w:rFonts w:ascii="Arial" w:hAnsi="Arial" w:cs="Arial"/>
          <w:sz w:val="24"/>
          <w:szCs w:val="24"/>
          <w:lang w:val="en"/>
        </w:rPr>
        <w:t xml:space="preserve">Given the difficulty of imaging the critical region, coupled with the current poor understanding of what conditions enable a salt weld to seal or allow it to leak, we may be unable to create a strong case for the chance of seal success based on local direct information, and a small data set of success/failure statistics may be the only tool available to guide our risk estimate. </w:t>
      </w:r>
      <w:r w:rsidR="00F22785" w:rsidRPr="00163252">
        <w:rPr>
          <w:rFonts w:ascii="Arial" w:hAnsi="Arial" w:cs="Arial"/>
          <w:sz w:val="24"/>
          <w:szCs w:val="24"/>
          <w:lang w:val="en"/>
        </w:rPr>
        <w:t xml:space="preserve">In the case shown in </w:t>
      </w:r>
      <w:r w:rsidR="00015EB1" w:rsidRPr="00163252">
        <w:rPr>
          <w:rFonts w:ascii="Arial" w:hAnsi="Arial" w:cs="Arial"/>
          <w:sz w:val="24"/>
          <w:szCs w:val="24"/>
          <w:lang w:val="en"/>
        </w:rPr>
        <w:t xml:space="preserve">Figure 4, our analog data consists of only four </w:t>
      </w:r>
      <w:r w:rsidR="00FD70A0" w:rsidRPr="00163252">
        <w:rPr>
          <w:rFonts w:ascii="Arial" w:hAnsi="Arial" w:cs="Arial"/>
          <w:sz w:val="24"/>
          <w:szCs w:val="24"/>
          <w:lang w:val="en"/>
        </w:rPr>
        <w:t>tests, which we believe are similar enough to our prospect to use for comparison</w:t>
      </w:r>
      <w:r w:rsidR="00015EB1" w:rsidRPr="00163252">
        <w:rPr>
          <w:rFonts w:ascii="Arial" w:hAnsi="Arial" w:cs="Arial"/>
          <w:sz w:val="24"/>
          <w:szCs w:val="24"/>
          <w:lang w:val="en"/>
        </w:rPr>
        <w:t xml:space="preserve">: three cases in which we know a similar salt weld has worked as a sealing interface (prospects A, C and D) and one in which we believe that the weld interface failed to seal (prospect B).From this limited information, we know the </w:t>
      </w:r>
      <w:r w:rsidR="00015EB1" w:rsidRPr="00163252">
        <w:rPr>
          <w:rFonts w:ascii="Arial" w:hAnsi="Arial" w:cs="Arial"/>
          <w:sz w:val="24"/>
          <w:szCs w:val="24"/>
          <w:lang w:val="en"/>
        </w:rPr>
        <w:lastRenderedPageBreak/>
        <w:t>frequency of past success (</w:t>
      </w:r>
      <w:r w:rsidR="00FD70A0" w:rsidRPr="00163252">
        <w:rPr>
          <w:rFonts w:ascii="Arial" w:hAnsi="Arial" w:cs="Arial"/>
          <w:sz w:val="24"/>
          <w:szCs w:val="24"/>
          <w:lang w:val="en"/>
        </w:rPr>
        <w:t>s</w:t>
      </w:r>
      <w:r w:rsidR="00015EB1" w:rsidRPr="00163252">
        <w:rPr>
          <w:rFonts w:ascii="Arial" w:hAnsi="Arial" w:cs="Arial"/>
          <w:sz w:val="24"/>
          <w:szCs w:val="24"/>
          <w:lang w:val="en"/>
        </w:rPr>
        <w:t xml:space="preserve">/n = 0.75) and we can use table 1 to look up the mean probability which would give rise to this outcome (P(seal) = 0.67). </w:t>
      </w:r>
    </w:p>
    <w:p w:rsidR="00FD70A0" w:rsidRPr="00163252" w:rsidRDefault="00015EB1" w:rsidP="006A04AB">
      <w:pPr>
        <w:rPr>
          <w:rFonts w:ascii="Arial" w:hAnsi="Arial" w:cs="Arial"/>
          <w:sz w:val="24"/>
          <w:szCs w:val="24"/>
          <w:lang w:val="en"/>
        </w:rPr>
      </w:pPr>
      <w:r w:rsidRPr="00163252">
        <w:rPr>
          <w:rFonts w:ascii="Arial" w:hAnsi="Arial" w:cs="Arial"/>
          <w:sz w:val="24"/>
          <w:szCs w:val="24"/>
          <w:lang w:val="en"/>
        </w:rPr>
        <w:t xml:space="preserve">Thus if we wish to use the past statistics as a guide to </w:t>
      </w:r>
      <w:r w:rsidR="00324CEA" w:rsidRPr="00163252">
        <w:rPr>
          <w:rFonts w:ascii="Arial" w:hAnsi="Arial" w:cs="Arial"/>
          <w:sz w:val="24"/>
          <w:szCs w:val="24"/>
          <w:lang w:val="en"/>
        </w:rPr>
        <w:t xml:space="preserve">future chance, we should use the chance of success of the seal component as </w:t>
      </w:r>
      <w:proofErr w:type="gramStart"/>
      <w:r w:rsidR="00FA0DF0" w:rsidRPr="00163252">
        <w:rPr>
          <w:rFonts w:ascii="Arial" w:hAnsi="Arial" w:cs="Arial"/>
          <w:sz w:val="24"/>
          <w:szCs w:val="24"/>
          <w:lang w:val="en"/>
        </w:rPr>
        <w:t>P(</w:t>
      </w:r>
      <w:proofErr w:type="gramEnd"/>
      <w:r w:rsidR="00FA0DF0" w:rsidRPr="00163252">
        <w:rPr>
          <w:rFonts w:ascii="Arial" w:hAnsi="Arial" w:cs="Arial"/>
          <w:sz w:val="24"/>
          <w:szCs w:val="24"/>
          <w:lang w:val="en"/>
        </w:rPr>
        <w:t xml:space="preserve">seal) = </w:t>
      </w:r>
      <w:r w:rsidR="00324CEA" w:rsidRPr="00163252">
        <w:rPr>
          <w:rFonts w:ascii="Arial" w:hAnsi="Arial" w:cs="Arial"/>
          <w:sz w:val="24"/>
          <w:szCs w:val="24"/>
          <w:lang w:val="en"/>
        </w:rPr>
        <w:t xml:space="preserve">0.67 </w:t>
      </w:r>
      <w:r w:rsidR="00FD70A0" w:rsidRPr="00163252">
        <w:rPr>
          <w:rFonts w:ascii="Arial" w:hAnsi="Arial" w:cs="Arial"/>
          <w:sz w:val="24"/>
          <w:szCs w:val="24"/>
          <w:lang w:val="en"/>
        </w:rPr>
        <w:t xml:space="preserve">Combining this probability by multiplication with  the chance estimated for other independent risk components (such as charge, trap and seal) in the normal way </w:t>
      </w:r>
      <w:r w:rsidR="00FA0DF0" w:rsidRPr="00163252">
        <w:rPr>
          <w:rFonts w:ascii="Arial" w:hAnsi="Arial" w:cs="Arial"/>
          <w:sz w:val="24"/>
          <w:szCs w:val="24"/>
          <w:lang w:val="en"/>
        </w:rPr>
        <w:t>allows us to calculate the overall chance of success (Pg).</w:t>
      </w:r>
    </w:p>
    <w:p w:rsidR="005F028E" w:rsidRPr="00163252" w:rsidRDefault="00E42428" w:rsidP="00FF443D">
      <w:pPr>
        <w:rPr>
          <w:rFonts w:ascii="Arial" w:hAnsi="Arial" w:cs="Arial"/>
          <w:b/>
          <w:sz w:val="24"/>
          <w:szCs w:val="24"/>
          <w:lang w:val="en"/>
        </w:rPr>
      </w:pPr>
      <w:r w:rsidRPr="00163252">
        <w:rPr>
          <w:rFonts w:ascii="Arial" w:hAnsi="Arial" w:cs="Arial"/>
          <w:b/>
          <w:sz w:val="24"/>
          <w:szCs w:val="24"/>
          <w:lang w:val="en"/>
        </w:rPr>
        <w:t>Conditions</w:t>
      </w:r>
      <w:r w:rsidR="00D6544D" w:rsidRPr="00163252">
        <w:rPr>
          <w:rFonts w:ascii="Arial" w:hAnsi="Arial" w:cs="Arial"/>
          <w:b/>
          <w:sz w:val="24"/>
          <w:szCs w:val="24"/>
          <w:lang w:val="en"/>
        </w:rPr>
        <w:t xml:space="preserve"> in which look</w:t>
      </w:r>
      <w:r w:rsidR="00503108" w:rsidRPr="00163252">
        <w:rPr>
          <w:rFonts w:ascii="Arial" w:hAnsi="Arial" w:cs="Arial"/>
          <w:b/>
          <w:sz w:val="24"/>
          <w:szCs w:val="24"/>
          <w:lang w:val="en"/>
        </w:rPr>
        <w:t xml:space="preserve"> </w:t>
      </w:r>
      <w:r w:rsidR="00D6544D" w:rsidRPr="00163252">
        <w:rPr>
          <w:rFonts w:ascii="Arial" w:hAnsi="Arial" w:cs="Arial"/>
          <w:b/>
          <w:sz w:val="24"/>
          <w:szCs w:val="24"/>
          <w:lang w:val="en"/>
        </w:rPr>
        <w:t xml:space="preserve">back statistics, converted to an estimate of </w:t>
      </w:r>
      <w:r w:rsidR="00240411" w:rsidRPr="00163252">
        <w:rPr>
          <w:rFonts w:ascii="Arial" w:hAnsi="Arial" w:cs="Arial"/>
          <w:b/>
          <w:sz w:val="24"/>
          <w:szCs w:val="24"/>
          <w:lang w:val="en"/>
        </w:rPr>
        <w:t>future chance</w:t>
      </w:r>
      <w:r w:rsidR="009A4B67" w:rsidRPr="00163252">
        <w:rPr>
          <w:rFonts w:ascii="Arial" w:hAnsi="Arial" w:cs="Arial"/>
          <w:b/>
          <w:sz w:val="24"/>
          <w:szCs w:val="24"/>
          <w:lang w:val="en"/>
        </w:rPr>
        <w:t xml:space="preserve">, may be </w:t>
      </w:r>
      <w:r w:rsidR="00AD61E1" w:rsidRPr="00163252">
        <w:rPr>
          <w:rFonts w:ascii="Arial" w:hAnsi="Arial" w:cs="Arial"/>
          <w:b/>
          <w:sz w:val="24"/>
          <w:szCs w:val="24"/>
          <w:lang w:val="en"/>
        </w:rPr>
        <w:t>appropriate as a</w:t>
      </w:r>
      <w:r w:rsidRPr="00163252">
        <w:rPr>
          <w:rFonts w:ascii="Arial" w:hAnsi="Arial" w:cs="Arial"/>
          <w:b/>
          <w:sz w:val="24"/>
          <w:szCs w:val="24"/>
          <w:lang w:val="en"/>
        </w:rPr>
        <w:t xml:space="preserve"> guide to future expectation</w:t>
      </w:r>
    </w:p>
    <w:p w:rsidR="00AD61E1" w:rsidRPr="00163252" w:rsidRDefault="007E43C0" w:rsidP="00AD61E1">
      <w:pPr>
        <w:rPr>
          <w:rFonts w:ascii="Arial" w:hAnsi="Arial" w:cs="Arial"/>
          <w:sz w:val="24"/>
          <w:szCs w:val="24"/>
          <w:lang w:val="en"/>
        </w:rPr>
      </w:pPr>
      <w:r w:rsidRPr="00163252">
        <w:rPr>
          <w:rFonts w:ascii="Arial" w:hAnsi="Arial" w:cs="Arial"/>
          <w:sz w:val="24"/>
          <w:szCs w:val="24"/>
          <w:lang w:val="en"/>
        </w:rPr>
        <w:t>Past</w:t>
      </w:r>
      <w:r w:rsidR="0084033A" w:rsidRPr="00163252">
        <w:rPr>
          <w:rFonts w:ascii="Arial" w:hAnsi="Arial" w:cs="Arial"/>
          <w:sz w:val="24"/>
          <w:szCs w:val="24"/>
          <w:lang w:val="en"/>
        </w:rPr>
        <w:t xml:space="preserve"> performance </w:t>
      </w:r>
      <w:r w:rsidRPr="00163252">
        <w:rPr>
          <w:rFonts w:ascii="Arial" w:hAnsi="Arial" w:cs="Arial"/>
          <w:sz w:val="24"/>
          <w:szCs w:val="24"/>
          <w:lang w:val="en"/>
        </w:rPr>
        <w:t xml:space="preserve">statistics should be used with caution because there are many circumstances in which they are not appropriate as an input to estimating future chance. </w:t>
      </w:r>
      <w:r w:rsidR="009A5562" w:rsidRPr="00163252">
        <w:rPr>
          <w:rFonts w:ascii="Arial" w:hAnsi="Arial" w:cs="Arial"/>
          <w:sz w:val="24"/>
          <w:szCs w:val="24"/>
          <w:lang w:val="en"/>
        </w:rPr>
        <w:t xml:space="preserve">When considering whether past statistics are a valid constraint on future chance of success, we suggest that the following conditions </w:t>
      </w:r>
      <w:proofErr w:type="spellStart"/>
      <w:r w:rsidR="009A5562" w:rsidRPr="00163252">
        <w:rPr>
          <w:rFonts w:ascii="Arial" w:hAnsi="Arial" w:cs="Arial"/>
          <w:sz w:val="24"/>
          <w:szCs w:val="24"/>
          <w:lang w:val="en"/>
        </w:rPr>
        <w:t>shuld</w:t>
      </w:r>
      <w:proofErr w:type="spellEnd"/>
      <w:r w:rsidR="009A5562" w:rsidRPr="00163252">
        <w:rPr>
          <w:rFonts w:ascii="Arial" w:hAnsi="Arial" w:cs="Arial"/>
          <w:sz w:val="24"/>
          <w:szCs w:val="24"/>
          <w:lang w:val="en"/>
        </w:rPr>
        <w:t xml:space="preserve"> be considered:</w:t>
      </w:r>
    </w:p>
    <w:p w:rsidR="00E42428" w:rsidRPr="00163252" w:rsidRDefault="007E43C0" w:rsidP="00E42428">
      <w:pPr>
        <w:pStyle w:val="ListParagraph"/>
        <w:numPr>
          <w:ilvl w:val="0"/>
          <w:numId w:val="3"/>
        </w:numPr>
        <w:rPr>
          <w:rFonts w:ascii="Arial" w:hAnsi="Arial" w:cs="Arial"/>
          <w:sz w:val="24"/>
          <w:szCs w:val="24"/>
          <w:lang w:val="en"/>
        </w:rPr>
      </w:pPr>
      <w:r w:rsidRPr="00163252">
        <w:rPr>
          <w:rFonts w:ascii="Arial" w:hAnsi="Arial" w:cs="Arial"/>
          <w:sz w:val="24"/>
          <w:szCs w:val="24"/>
          <w:lang w:val="en"/>
        </w:rPr>
        <w:t>All the information available to us should indicate that</w:t>
      </w:r>
      <w:r w:rsidR="00E42428" w:rsidRPr="00163252">
        <w:rPr>
          <w:rFonts w:ascii="Arial" w:hAnsi="Arial" w:cs="Arial"/>
          <w:sz w:val="24"/>
          <w:szCs w:val="24"/>
          <w:lang w:val="en"/>
        </w:rPr>
        <w:t xml:space="preserve"> existing drilled prospects for which we have the statistics are good analogs for the undrilled prospects</w:t>
      </w:r>
      <w:r w:rsidRPr="00163252">
        <w:rPr>
          <w:rFonts w:ascii="Arial" w:hAnsi="Arial" w:cs="Arial"/>
          <w:sz w:val="24"/>
          <w:szCs w:val="24"/>
          <w:lang w:val="en"/>
        </w:rPr>
        <w:t xml:space="preserve">: they should test the same play, same geological model, same trap type, etc. </w:t>
      </w:r>
      <w:r w:rsidR="00757157" w:rsidRPr="00163252">
        <w:rPr>
          <w:rFonts w:ascii="Arial" w:hAnsi="Arial" w:cs="Arial"/>
          <w:sz w:val="24"/>
          <w:szCs w:val="24"/>
          <w:lang w:val="en"/>
        </w:rPr>
        <w:t xml:space="preserve">and we know of no reason why the remaining </w:t>
      </w:r>
      <w:r w:rsidR="0091406A" w:rsidRPr="00163252">
        <w:rPr>
          <w:rFonts w:ascii="Arial" w:hAnsi="Arial" w:cs="Arial"/>
          <w:sz w:val="24"/>
          <w:szCs w:val="24"/>
          <w:lang w:val="en"/>
        </w:rPr>
        <w:t>opportunities</w:t>
      </w:r>
      <w:r w:rsidR="00757157" w:rsidRPr="00163252">
        <w:rPr>
          <w:rFonts w:ascii="Arial" w:hAnsi="Arial" w:cs="Arial"/>
          <w:sz w:val="24"/>
          <w:szCs w:val="24"/>
          <w:lang w:val="en"/>
        </w:rPr>
        <w:t xml:space="preserve"> should be worse or better.</w:t>
      </w:r>
    </w:p>
    <w:p w:rsidR="007E43C0" w:rsidRPr="00163252" w:rsidRDefault="007E43C0" w:rsidP="00E42428">
      <w:pPr>
        <w:pStyle w:val="ListParagraph"/>
        <w:numPr>
          <w:ilvl w:val="0"/>
          <w:numId w:val="3"/>
        </w:numPr>
        <w:rPr>
          <w:rFonts w:ascii="Arial" w:hAnsi="Arial" w:cs="Arial"/>
          <w:sz w:val="24"/>
          <w:szCs w:val="24"/>
          <w:lang w:val="en"/>
        </w:rPr>
      </w:pPr>
      <w:r w:rsidRPr="00163252">
        <w:rPr>
          <w:rFonts w:ascii="Arial" w:hAnsi="Arial" w:cs="Arial"/>
          <w:sz w:val="24"/>
          <w:szCs w:val="24"/>
          <w:lang w:val="en"/>
        </w:rPr>
        <w:t>The drilled prospects for which we have the stati</w:t>
      </w:r>
      <w:r w:rsidR="00C2674E" w:rsidRPr="00163252">
        <w:rPr>
          <w:rFonts w:ascii="Arial" w:hAnsi="Arial" w:cs="Arial"/>
          <w:sz w:val="24"/>
          <w:szCs w:val="24"/>
          <w:lang w:val="en"/>
        </w:rPr>
        <w:t>stics should be valid tests, e.g</w:t>
      </w:r>
      <w:r w:rsidRPr="00163252">
        <w:rPr>
          <w:rFonts w:ascii="Arial" w:hAnsi="Arial" w:cs="Arial"/>
          <w:sz w:val="24"/>
          <w:szCs w:val="24"/>
          <w:lang w:val="en"/>
        </w:rPr>
        <w:t xml:space="preserve">. drilled within </w:t>
      </w:r>
      <w:r w:rsidR="00C2674E" w:rsidRPr="00163252">
        <w:rPr>
          <w:rFonts w:ascii="Arial" w:hAnsi="Arial" w:cs="Arial"/>
          <w:sz w:val="24"/>
          <w:szCs w:val="24"/>
          <w:lang w:val="en"/>
        </w:rPr>
        <w:t xml:space="preserve">apparent </w:t>
      </w:r>
      <w:r w:rsidRPr="00163252">
        <w:rPr>
          <w:rFonts w:ascii="Arial" w:hAnsi="Arial" w:cs="Arial"/>
          <w:sz w:val="24"/>
          <w:szCs w:val="24"/>
          <w:lang w:val="en"/>
        </w:rPr>
        <w:t xml:space="preserve">closure, </w:t>
      </w:r>
      <w:r w:rsidR="00C2674E" w:rsidRPr="00163252">
        <w:rPr>
          <w:rFonts w:ascii="Arial" w:hAnsi="Arial" w:cs="Arial"/>
          <w:sz w:val="24"/>
          <w:szCs w:val="24"/>
          <w:lang w:val="en"/>
        </w:rPr>
        <w:t>in a reasonable location, in a part of the prospect where we would expect the reservoir to exist if the geological model is correct, etc.</w:t>
      </w:r>
    </w:p>
    <w:p w:rsidR="00E42428" w:rsidRPr="00163252" w:rsidRDefault="00E42428" w:rsidP="00C2674E">
      <w:pPr>
        <w:pStyle w:val="ListParagraph"/>
        <w:numPr>
          <w:ilvl w:val="0"/>
          <w:numId w:val="3"/>
        </w:numPr>
        <w:rPr>
          <w:rFonts w:ascii="Arial" w:hAnsi="Arial" w:cs="Arial"/>
          <w:sz w:val="24"/>
          <w:szCs w:val="24"/>
          <w:lang w:val="en"/>
        </w:rPr>
      </w:pPr>
      <w:r w:rsidRPr="00163252">
        <w:rPr>
          <w:rFonts w:ascii="Arial" w:hAnsi="Arial" w:cs="Arial"/>
          <w:sz w:val="24"/>
          <w:szCs w:val="24"/>
          <w:lang w:val="en"/>
        </w:rPr>
        <w:t>The wells were drilled using the same state of knowledge (for the drilled prospects) that we have now for the undrilled ones, in other words we are not acting under a disadvantage that the previous drillers did</w:t>
      </w:r>
      <w:r w:rsidR="00585785" w:rsidRPr="00163252">
        <w:rPr>
          <w:rFonts w:ascii="Arial" w:hAnsi="Arial" w:cs="Arial"/>
          <w:sz w:val="24"/>
          <w:szCs w:val="24"/>
          <w:lang w:val="en"/>
        </w:rPr>
        <w:t xml:space="preserve"> not face, nor do</w:t>
      </w:r>
      <w:r w:rsidR="00C2674E" w:rsidRPr="00163252">
        <w:rPr>
          <w:rFonts w:ascii="Arial" w:hAnsi="Arial" w:cs="Arial"/>
          <w:sz w:val="24"/>
          <w:szCs w:val="24"/>
          <w:lang w:val="en"/>
        </w:rPr>
        <w:t xml:space="preserve"> we have major targetting advantages that w</w:t>
      </w:r>
      <w:r w:rsidR="00585785" w:rsidRPr="00163252">
        <w:rPr>
          <w:rFonts w:ascii="Arial" w:hAnsi="Arial" w:cs="Arial"/>
          <w:sz w:val="24"/>
          <w:szCs w:val="24"/>
          <w:lang w:val="en"/>
        </w:rPr>
        <w:t xml:space="preserve">ere not </w:t>
      </w:r>
      <w:r w:rsidR="004E1380" w:rsidRPr="00163252">
        <w:rPr>
          <w:rFonts w:ascii="Arial" w:hAnsi="Arial" w:cs="Arial"/>
          <w:sz w:val="24"/>
          <w:szCs w:val="24"/>
          <w:lang w:val="en"/>
        </w:rPr>
        <w:t>available</w:t>
      </w:r>
      <w:r w:rsidR="00585785" w:rsidRPr="00163252">
        <w:rPr>
          <w:rFonts w:ascii="Arial" w:hAnsi="Arial" w:cs="Arial"/>
          <w:sz w:val="24"/>
          <w:szCs w:val="24"/>
          <w:lang w:val="en"/>
        </w:rPr>
        <w:t xml:space="preserve"> when the previous set of prospects were chosen for drilling</w:t>
      </w:r>
      <w:r w:rsidR="004E1380" w:rsidRPr="00163252">
        <w:rPr>
          <w:rFonts w:ascii="Arial" w:hAnsi="Arial" w:cs="Arial"/>
          <w:sz w:val="24"/>
          <w:szCs w:val="24"/>
          <w:lang w:val="en"/>
        </w:rPr>
        <w:t xml:space="preserve">. New technology may give us the ability to radically improve the expected chance of success for the prospects we choose to drill. </w:t>
      </w:r>
    </w:p>
    <w:p w:rsidR="00585785" w:rsidRPr="00163252" w:rsidRDefault="004E1380" w:rsidP="00C2674E">
      <w:pPr>
        <w:pStyle w:val="ListParagraph"/>
        <w:numPr>
          <w:ilvl w:val="0"/>
          <w:numId w:val="3"/>
        </w:numPr>
        <w:rPr>
          <w:rFonts w:ascii="Arial" w:hAnsi="Arial" w:cs="Arial"/>
          <w:sz w:val="24"/>
          <w:szCs w:val="24"/>
          <w:lang w:val="en"/>
        </w:rPr>
      </w:pPr>
      <w:r w:rsidRPr="00163252">
        <w:rPr>
          <w:rFonts w:ascii="Arial" w:hAnsi="Arial" w:cs="Arial"/>
          <w:sz w:val="24"/>
          <w:szCs w:val="24"/>
          <w:lang w:val="en"/>
        </w:rPr>
        <w:t>The</w:t>
      </w:r>
      <w:r w:rsidR="00C2674E" w:rsidRPr="00163252">
        <w:rPr>
          <w:rFonts w:ascii="Arial" w:hAnsi="Arial" w:cs="Arial"/>
          <w:sz w:val="24"/>
          <w:szCs w:val="24"/>
          <w:lang w:val="en"/>
        </w:rPr>
        <w:t xml:space="preserve"> prospect we are interested in risking does not represent the “dregs” of a play that has </w:t>
      </w:r>
      <w:r w:rsidRPr="00163252">
        <w:rPr>
          <w:rFonts w:ascii="Arial" w:hAnsi="Arial" w:cs="Arial"/>
          <w:sz w:val="24"/>
          <w:szCs w:val="24"/>
          <w:lang w:val="en"/>
        </w:rPr>
        <w:t>been effectively cherry-pick</w:t>
      </w:r>
      <w:r w:rsidR="00C2674E" w:rsidRPr="00163252">
        <w:rPr>
          <w:rFonts w:ascii="Arial" w:hAnsi="Arial" w:cs="Arial"/>
          <w:sz w:val="24"/>
          <w:szCs w:val="24"/>
          <w:lang w:val="en"/>
        </w:rPr>
        <w:t xml:space="preserve">ed by the wells already drilled. </w:t>
      </w:r>
      <w:r w:rsidRPr="00163252">
        <w:rPr>
          <w:rFonts w:ascii="Arial" w:hAnsi="Arial" w:cs="Arial"/>
          <w:sz w:val="24"/>
          <w:szCs w:val="24"/>
          <w:lang w:val="en"/>
        </w:rPr>
        <w:t>The best, most obvious prospects with the highest perceived chance of success naturally tend to be tested first, if conditions allow. If the remaining prospects lie within the same pot of opportunities, and they represent the ones that were not previously deemed attractive</w:t>
      </w:r>
      <w:r w:rsidR="009A5562" w:rsidRPr="00163252">
        <w:rPr>
          <w:rFonts w:ascii="Arial" w:hAnsi="Arial" w:cs="Arial"/>
          <w:sz w:val="24"/>
          <w:szCs w:val="24"/>
          <w:lang w:val="en"/>
        </w:rPr>
        <w:t xml:space="preserve"> drilling candidates. If the selection of well tests was made on the basis of prospect volume, the success/failure statistics may be a valid reflection of future chance; but if the previous selection included a consideration of risk, future chance of success is likely to be worse than historical performance.</w:t>
      </w:r>
      <w:r w:rsidRPr="00163252">
        <w:rPr>
          <w:rFonts w:ascii="Arial" w:hAnsi="Arial" w:cs="Arial"/>
          <w:sz w:val="24"/>
          <w:szCs w:val="24"/>
          <w:lang w:val="en"/>
        </w:rPr>
        <w:t xml:space="preserve"> </w:t>
      </w:r>
      <w:r w:rsidR="009A5562" w:rsidRPr="00163252">
        <w:rPr>
          <w:rFonts w:ascii="Arial" w:hAnsi="Arial" w:cs="Arial"/>
          <w:sz w:val="24"/>
          <w:szCs w:val="24"/>
          <w:lang w:val="en"/>
        </w:rPr>
        <w:t xml:space="preserve"> </w:t>
      </w:r>
    </w:p>
    <w:p w:rsidR="00624A3C" w:rsidRDefault="007B3310" w:rsidP="00DD798A">
      <w:pPr>
        <w:rPr>
          <w:rFonts w:ascii="Arial" w:hAnsi="Arial" w:cs="Arial"/>
          <w:sz w:val="24"/>
          <w:szCs w:val="24"/>
          <w:lang w:val="en"/>
        </w:rPr>
      </w:pPr>
      <w:r w:rsidRPr="00163252">
        <w:rPr>
          <w:rFonts w:ascii="Arial" w:hAnsi="Arial" w:cs="Arial"/>
          <w:sz w:val="24"/>
          <w:szCs w:val="24"/>
          <w:lang w:val="en"/>
        </w:rPr>
        <w:lastRenderedPageBreak/>
        <w:t>The most favorable conditions for using prospect success/failure statistics apply when an area which has been extensively explored abuts against an area which has for some reason been protected from exploration – whether due to geopolitical imperatives</w:t>
      </w:r>
      <w:r w:rsidR="00BE4F02" w:rsidRPr="00163252">
        <w:rPr>
          <w:rFonts w:ascii="Arial" w:hAnsi="Arial" w:cs="Arial"/>
          <w:sz w:val="24"/>
          <w:szCs w:val="24"/>
          <w:lang w:val="en"/>
        </w:rPr>
        <w:t xml:space="preserve"> (disputes, embargos, conflicts, change in tax conditions, etc.)</w:t>
      </w:r>
      <w:r w:rsidRPr="00163252">
        <w:rPr>
          <w:rFonts w:ascii="Arial" w:hAnsi="Arial" w:cs="Arial"/>
          <w:sz w:val="24"/>
          <w:szCs w:val="24"/>
          <w:lang w:val="en"/>
        </w:rPr>
        <w:t xml:space="preserve">, technological constraints (e.g. </w:t>
      </w:r>
      <w:r w:rsidR="00BE4F02" w:rsidRPr="00163252">
        <w:rPr>
          <w:rFonts w:ascii="Arial" w:hAnsi="Arial" w:cs="Arial"/>
          <w:sz w:val="24"/>
          <w:szCs w:val="24"/>
          <w:lang w:val="en"/>
        </w:rPr>
        <w:t>water depth which was previously inoperable), or other reason. If we believe the geology is the same on both sides, and there is no known factor which would make the undrilled a</w:t>
      </w:r>
      <w:r w:rsidR="00757157" w:rsidRPr="00163252">
        <w:rPr>
          <w:rFonts w:ascii="Arial" w:hAnsi="Arial" w:cs="Arial"/>
          <w:sz w:val="24"/>
          <w:szCs w:val="24"/>
          <w:lang w:val="en"/>
        </w:rPr>
        <w:t>creage better or worse, then the past statistics are probably appropriate for use in estimating Pg for prospects in the undrilled region</w:t>
      </w:r>
      <w:r w:rsidR="00624A3C">
        <w:rPr>
          <w:rFonts w:ascii="Arial" w:hAnsi="Arial" w:cs="Arial"/>
          <w:sz w:val="24"/>
          <w:szCs w:val="24"/>
          <w:lang w:val="en"/>
        </w:rPr>
        <w:t>.</w:t>
      </w:r>
    </w:p>
    <w:p w:rsidR="007B3310" w:rsidRDefault="00757157" w:rsidP="00DD798A">
      <w:pPr>
        <w:jc w:val="center"/>
        <w:rPr>
          <w:noProof/>
          <w:lang w:eastAsia="en-GB"/>
        </w:rPr>
      </w:pPr>
      <w:r w:rsidRPr="00163252">
        <w:rPr>
          <w:rFonts w:ascii="Arial" w:hAnsi="Arial" w:cs="Arial"/>
          <w:sz w:val="24"/>
          <w:szCs w:val="24"/>
          <w:lang w:val="en"/>
        </w:rPr>
        <w:t>.</w:t>
      </w:r>
      <w:r w:rsidR="00624A3C" w:rsidRPr="00624A3C">
        <w:rPr>
          <w:noProof/>
          <w:lang w:eastAsia="en-GB"/>
        </w:rPr>
        <w:t xml:space="preserve"> </w:t>
      </w:r>
      <w:r w:rsidR="00624A3C" w:rsidRPr="00624A3C">
        <w:drawing>
          <wp:inline distT="0" distB="0" distL="0" distR="0" wp14:anchorId="0DDF8315" wp14:editId="52B48216">
            <wp:extent cx="3771900" cy="321216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770229" cy="3210737"/>
                    </a:xfrm>
                    <a:prstGeom prst="rect">
                      <a:avLst/>
                    </a:prstGeom>
                  </pic:spPr>
                </pic:pic>
              </a:graphicData>
            </a:graphic>
          </wp:inline>
        </w:drawing>
      </w:r>
    </w:p>
    <w:p w:rsidR="00624A3C" w:rsidRPr="0008211B" w:rsidRDefault="00624A3C" w:rsidP="00624A3C">
      <w:pPr>
        <w:rPr>
          <w:rFonts w:ascii="Arial" w:hAnsi="Arial" w:cs="Arial"/>
          <w:i/>
          <w:sz w:val="24"/>
          <w:szCs w:val="24"/>
          <w:u w:val="single"/>
          <w:lang w:val="en"/>
        </w:rPr>
      </w:pPr>
      <w:proofErr w:type="gramStart"/>
      <w:r w:rsidRPr="003443D1">
        <w:rPr>
          <w:rFonts w:ascii="Arial" w:hAnsi="Arial" w:cs="Arial"/>
          <w:i/>
          <w:sz w:val="24"/>
          <w:szCs w:val="24"/>
          <w:u w:val="single"/>
          <w:lang w:val="en"/>
        </w:rPr>
        <w:t>Figure 5.</w:t>
      </w:r>
      <w:proofErr w:type="gramEnd"/>
      <w:r w:rsidRPr="003443D1">
        <w:rPr>
          <w:rFonts w:ascii="Arial" w:hAnsi="Arial" w:cs="Arial"/>
          <w:i/>
          <w:sz w:val="24"/>
          <w:szCs w:val="24"/>
          <w:u w:val="single"/>
          <w:lang w:val="en"/>
        </w:rPr>
        <w:t xml:space="preserve"> Illustration of scenarios in which past statistics may be a valid indication of future performance (undrilled prospects in disputed territory) and where they should be viewed with caution (a farm</w:t>
      </w:r>
      <w:r>
        <w:rPr>
          <w:rFonts w:ascii="Arial" w:hAnsi="Arial" w:cs="Arial"/>
          <w:i/>
          <w:sz w:val="24"/>
          <w:szCs w:val="24"/>
          <w:u w:val="single"/>
          <w:lang w:val="en"/>
        </w:rPr>
        <w:t xml:space="preserve"> </w:t>
      </w:r>
      <w:r w:rsidRPr="003443D1">
        <w:rPr>
          <w:rFonts w:ascii="Arial" w:hAnsi="Arial" w:cs="Arial"/>
          <w:i/>
          <w:sz w:val="24"/>
          <w:szCs w:val="24"/>
          <w:u w:val="single"/>
          <w:lang w:val="en"/>
        </w:rPr>
        <w:t>in i</w:t>
      </w:r>
      <w:r>
        <w:rPr>
          <w:rFonts w:ascii="Arial" w:hAnsi="Arial" w:cs="Arial"/>
          <w:i/>
          <w:sz w:val="24"/>
          <w:szCs w:val="24"/>
          <w:u w:val="single"/>
          <w:lang w:val="en"/>
        </w:rPr>
        <w:t>n an extensively drilled block)</w:t>
      </w:r>
    </w:p>
    <w:p w:rsidR="00624A3C" w:rsidRPr="00163252" w:rsidRDefault="00624A3C" w:rsidP="00DD798A">
      <w:pPr>
        <w:jc w:val="center"/>
        <w:rPr>
          <w:rFonts w:ascii="Arial" w:hAnsi="Arial" w:cs="Arial"/>
          <w:sz w:val="24"/>
          <w:szCs w:val="24"/>
          <w:lang w:val="en"/>
        </w:rPr>
      </w:pPr>
    </w:p>
    <w:p w:rsidR="004E1A13" w:rsidRPr="00163252" w:rsidRDefault="004E1A13" w:rsidP="007B3310">
      <w:pPr>
        <w:rPr>
          <w:rFonts w:ascii="Arial" w:hAnsi="Arial" w:cs="Arial"/>
          <w:sz w:val="24"/>
          <w:szCs w:val="24"/>
          <w:lang w:val="en"/>
        </w:rPr>
      </w:pPr>
      <w:r w:rsidRPr="00163252">
        <w:rPr>
          <w:rFonts w:ascii="Arial" w:hAnsi="Arial" w:cs="Arial"/>
          <w:sz w:val="24"/>
          <w:szCs w:val="24"/>
          <w:lang w:val="en"/>
        </w:rPr>
        <w:t>Figure 5 shows a schematic situation which illustrates these principles. There has been intense drilling in the territorial waters of two countries, with 20 tested prospects in the same play delivering 8 successes.</w:t>
      </w:r>
      <w:r w:rsidR="00B93CB8" w:rsidRPr="00163252">
        <w:rPr>
          <w:rFonts w:ascii="Arial" w:hAnsi="Arial" w:cs="Arial"/>
          <w:sz w:val="24"/>
          <w:szCs w:val="24"/>
          <w:lang w:val="en"/>
        </w:rPr>
        <w:t xml:space="preserve"> There has been no drilling in the disputed region.</w:t>
      </w:r>
      <w:r w:rsidRPr="00163252">
        <w:rPr>
          <w:rFonts w:ascii="Arial" w:hAnsi="Arial" w:cs="Arial"/>
          <w:sz w:val="24"/>
          <w:szCs w:val="24"/>
          <w:lang w:val="en"/>
        </w:rPr>
        <w:t xml:space="preserve"> The historic success rate is 0.4, and this is a large enough sample size that the past frequency an</w:t>
      </w:r>
      <w:r w:rsidR="00B93CB8" w:rsidRPr="00163252">
        <w:rPr>
          <w:rFonts w:ascii="Arial" w:hAnsi="Arial" w:cs="Arial"/>
          <w:sz w:val="24"/>
          <w:szCs w:val="24"/>
          <w:lang w:val="en"/>
        </w:rPr>
        <w:t xml:space="preserve">d the probabilistic prediction </w:t>
      </w:r>
      <w:r w:rsidRPr="00163252">
        <w:rPr>
          <w:rFonts w:ascii="Arial" w:hAnsi="Arial" w:cs="Arial"/>
          <w:sz w:val="24"/>
          <w:szCs w:val="24"/>
          <w:lang w:val="en"/>
        </w:rPr>
        <w:t xml:space="preserve">give the same result; expected chance of success of the next prospect, based only on these data, is 0.4. </w:t>
      </w:r>
    </w:p>
    <w:p w:rsidR="00B93CB8" w:rsidRPr="00163252" w:rsidRDefault="00B93CB8" w:rsidP="007B3310">
      <w:pPr>
        <w:rPr>
          <w:rFonts w:ascii="Arial" w:hAnsi="Arial" w:cs="Arial"/>
          <w:sz w:val="24"/>
          <w:szCs w:val="24"/>
          <w:lang w:val="en"/>
        </w:rPr>
      </w:pPr>
      <w:r w:rsidRPr="00163252">
        <w:rPr>
          <w:rFonts w:ascii="Arial" w:hAnsi="Arial" w:cs="Arial"/>
          <w:sz w:val="24"/>
          <w:szCs w:val="24"/>
          <w:lang w:val="en"/>
        </w:rPr>
        <w:t>In the disputed region, we expect the geology and prospectivity to be the same as in the tested areas. In the absence of any other geological information</w:t>
      </w:r>
      <w:r w:rsidR="007D6FE0" w:rsidRPr="00163252">
        <w:rPr>
          <w:rFonts w:ascii="Arial" w:hAnsi="Arial" w:cs="Arial"/>
          <w:sz w:val="24"/>
          <w:szCs w:val="24"/>
          <w:lang w:val="en"/>
        </w:rPr>
        <w:t xml:space="preserve"> to refine our estimate</w:t>
      </w:r>
      <w:r w:rsidRPr="00163252">
        <w:rPr>
          <w:rFonts w:ascii="Arial" w:hAnsi="Arial" w:cs="Arial"/>
          <w:sz w:val="24"/>
          <w:szCs w:val="24"/>
          <w:lang w:val="en"/>
        </w:rPr>
        <w:t>, the past statistics are probably a good indication of the expected average Pg for</w:t>
      </w:r>
      <w:r w:rsidR="003443D1" w:rsidRPr="00163252">
        <w:rPr>
          <w:rFonts w:ascii="Arial" w:hAnsi="Arial" w:cs="Arial"/>
          <w:sz w:val="24"/>
          <w:szCs w:val="24"/>
          <w:lang w:val="en"/>
        </w:rPr>
        <w:t xml:space="preserve"> the undrilled prospects in the disputed</w:t>
      </w:r>
      <w:r w:rsidRPr="00163252">
        <w:rPr>
          <w:rFonts w:ascii="Arial" w:hAnsi="Arial" w:cs="Arial"/>
          <w:sz w:val="24"/>
          <w:szCs w:val="24"/>
          <w:lang w:val="en"/>
        </w:rPr>
        <w:t xml:space="preserve"> region.</w:t>
      </w:r>
    </w:p>
    <w:p w:rsidR="00BE4F02" w:rsidRPr="00163252" w:rsidRDefault="00B93CB8" w:rsidP="007B3310">
      <w:pPr>
        <w:rPr>
          <w:rFonts w:ascii="Arial" w:hAnsi="Arial" w:cs="Arial"/>
          <w:sz w:val="24"/>
          <w:szCs w:val="24"/>
          <w:lang w:val="en"/>
        </w:rPr>
      </w:pPr>
      <w:r w:rsidRPr="00163252">
        <w:rPr>
          <w:rFonts w:ascii="Arial" w:hAnsi="Arial" w:cs="Arial"/>
          <w:sz w:val="24"/>
          <w:szCs w:val="24"/>
          <w:lang w:val="en"/>
        </w:rPr>
        <w:lastRenderedPageBreak/>
        <w:t xml:space="preserve">Another exploration opportunity is available: the option to farm in to a prospect in South Country waters. Even in the absence of other geological data, we would be unwise to apply </w:t>
      </w:r>
      <w:proofErr w:type="gramStart"/>
      <w:r w:rsidRPr="00163252">
        <w:rPr>
          <w:rFonts w:ascii="Arial" w:hAnsi="Arial" w:cs="Arial"/>
          <w:sz w:val="24"/>
          <w:szCs w:val="24"/>
          <w:lang w:val="en"/>
        </w:rPr>
        <w:t>the  historical</w:t>
      </w:r>
      <w:proofErr w:type="gramEnd"/>
      <w:r w:rsidRPr="00163252">
        <w:rPr>
          <w:rFonts w:ascii="Arial" w:hAnsi="Arial" w:cs="Arial"/>
          <w:sz w:val="24"/>
          <w:szCs w:val="24"/>
          <w:lang w:val="en"/>
        </w:rPr>
        <w:t xml:space="preserve"> success rate as the expected Pg </w:t>
      </w:r>
      <w:r w:rsidR="00EC1D91" w:rsidRPr="00163252">
        <w:rPr>
          <w:rFonts w:ascii="Arial" w:hAnsi="Arial" w:cs="Arial"/>
          <w:sz w:val="24"/>
          <w:szCs w:val="24"/>
          <w:lang w:val="en"/>
        </w:rPr>
        <w:t>of this prospect, on the basis that the) prospects</w:t>
      </w:r>
      <w:r w:rsidR="002A5981" w:rsidRPr="00163252">
        <w:rPr>
          <w:rFonts w:ascii="Arial" w:hAnsi="Arial" w:cs="Arial"/>
          <w:sz w:val="24"/>
          <w:szCs w:val="24"/>
          <w:lang w:val="en"/>
        </w:rPr>
        <w:t xml:space="preserve"> with highest Pg</w:t>
      </w:r>
      <w:r w:rsidR="00EC1D91" w:rsidRPr="00163252">
        <w:rPr>
          <w:rFonts w:ascii="Arial" w:hAnsi="Arial" w:cs="Arial"/>
          <w:sz w:val="24"/>
          <w:szCs w:val="24"/>
          <w:lang w:val="en"/>
        </w:rPr>
        <w:t xml:space="preserve"> in the block have probably already been drilled (and we would ask why the operator wishes to farm it out). Our estimated Pg for this </w:t>
      </w:r>
      <w:r w:rsidR="0091406A" w:rsidRPr="00163252">
        <w:rPr>
          <w:rFonts w:ascii="Arial" w:hAnsi="Arial" w:cs="Arial"/>
          <w:sz w:val="24"/>
          <w:szCs w:val="24"/>
          <w:lang w:val="en"/>
        </w:rPr>
        <w:t>farm in</w:t>
      </w:r>
      <w:r w:rsidR="00EC1D91" w:rsidRPr="00163252">
        <w:rPr>
          <w:rFonts w:ascii="Arial" w:hAnsi="Arial" w:cs="Arial"/>
          <w:sz w:val="24"/>
          <w:szCs w:val="24"/>
          <w:lang w:val="en"/>
        </w:rPr>
        <w:t xml:space="preserve"> opportunity should be significantly lower than the historic frequency</w:t>
      </w:r>
      <w:r w:rsidR="002A5981" w:rsidRPr="00163252">
        <w:rPr>
          <w:rFonts w:ascii="Arial" w:hAnsi="Arial" w:cs="Arial"/>
          <w:sz w:val="24"/>
          <w:szCs w:val="24"/>
          <w:lang w:val="en"/>
        </w:rPr>
        <w:t>, unless we can demonstrate that previous selection was made dominantly on the basis of prospect volume, not of risk.</w:t>
      </w:r>
    </w:p>
    <w:p w:rsidR="004E1380" w:rsidRPr="00163252" w:rsidRDefault="00343772" w:rsidP="004E1380">
      <w:pPr>
        <w:rPr>
          <w:rFonts w:ascii="Arial" w:hAnsi="Arial" w:cs="Arial"/>
          <w:b/>
          <w:sz w:val="24"/>
          <w:szCs w:val="24"/>
          <w:lang w:val="en"/>
        </w:rPr>
      </w:pPr>
      <w:r w:rsidRPr="00163252">
        <w:rPr>
          <w:rFonts w:ascii="Arial" w:hAnsi="Arial" w:cs="Arial"/>
          <w:b/>
          <w:sz w:val="24"/>
          <w:szCs w:val="24"/>
          <w:lang w:val="en"/>
        </w:rPr>
        <w:t xml:space="preserve">Case Study – Cambodia-Thailand </w:t>
      </w:r>
      <w:r w:rsidR="004E1380" w:rsidRPr="00163252">
        <w:rPr>
          <w:rFonts w:ascii="Arial" w:hAnsi="Arial" w:cs="Arial"/>
          <w:b/>
          <w:sz w:val="24"/>
          <w:szCs w:val="24"/>
          <w:lang w:val="en"/>
        </w:rPr>
        <w:t xml:space="preserve">OCA (Overlapping </w:t>
      </w:r>
      <w:r w:rsidR="00910C04" w:rsidRPr="00163252">
        <w:rPr>
          <w:rFonts w:ascii="Arial" w:hAnsi="Arial" w:cs="Arial"/>
          <w:b/>
          <w:sz w:val="24"/>
          <w:szCs w:val="24"/>
          <w:lang w:val="en"/>
        </w:rPr>
        <w:t>Claims A</w:t>
      </w:r>
      <w:r w:rsidR="004E1380" w:rsidRPr="00163252">
        <w:rPr>
          <w:rFonts w:ascii="Arial" w:hAnsi="Arial" w:cs="Arial"/>
          <w:b/>
          <w:sz w:val="24"/>
          <w:szCs w:val="24"/>
          <w:lang w:val="en"/>
        </w:rPr>
        <w:t>rea)</w:t>
      </w:r>
    </w:p>
    <w:p w:rsidR="00624A3C" w:rsidRDefault="00343772" w:rsidP="004E1380">
      <w:pPr>
        <w:rPr>
          <w:rFonts w:ascii="Arial" w:hAnsi="Arial" w:cs="Arial"/>
          <w:sz w:val="24"/>
          <w:szCs w:val="24"/>
        </w:rPr>
      </w:pPr>
      <w:r w:rsidRPr="00163252">
        <w:rPr>
          <w:rFonts w:ascii="Arial" w:hAnsi="Arial" w:cs="Arial"/>
          <w:sz w:val="24"/>
          <w:szCs w:val="24"/>
          <w:lang w:val="en"/>
        </w:rPr>
        <w:t xml:space="preserve">The Gulf of Thailand is a prolific petroleum province </w:t>
      </w:r>
      <w:r w:rsidR="00CE292B" w:rsidRPr="00163252">
        <w:rPr>
          <w:rFonts w:ascii="Arial" w:hAnsi="Arial" w:cs="Arial"/>
          <w:sz w:val="24"/>
          <w:szCs w:val="24"/>
          <w:lang w:val="en"/>
        </w:rPr>
        <w:t xml:space="preserve">of SE Asia </w:t>
      </w:r>
      <w:r w:rsidRPr="00163252">
        <w:rPr>
          <w:rFonts w:ascii="Arial" w:hAnsi="Arial" w:cs="Arial"/>
          <w:sz w:val="24"/>
          <w:szCs w:val="24"/>
          <w:lang w:val="en"/>
        </w:rPr>
        <w:t xml:space="preserve">(Ridd et al., 2011). Exploration drilling has been largely confined to the Thai side of the </w:t>
      </w:r>
      <w:r w:rsidR="001863D2" w:rsidRPr="00163252">
        <w:rPr>
          <w:rFonts w:ascii="Arial" w:hAnsi="Arial" w:cs="Arial"/>
          <w:sz w:val="24"/>
          <w:szCs w:val="24"/>
          <w:lang w:val="en"/>
        </w:rPr>
        <w:t>border due to a long-</w:t>
      </w:r>
      <w:r w:rsidRPr="00163252">
        <w:rPr>
          <w:rFonts w:ascii="Arial" w:hAnsi="Arial" w:cs="Arial"/>
          <w:sz w:val="24"/>
          <w:szCs w:val="24"/>
          <w:lang w:val="en"/>
        </w:rPr>
        <w:t>standing territorial dispute between</w:t>
      </w:r>
      <w:r w:rsidR="001863D2" w:rsidRPr="00163252">
        <w:rPr>
          <w:rFonts w:ascii="Arial" w:hAnsi="Arial" w:cs="Arial"/>
          <w:sz w:val="24"/>
          <w:szCs w:val="24"/>
          <w:lang w:val="en"/>
        </w:rPr>
        <w:t xml:space="preserve"> </w:t>
      </w:r>
      <w:r w:rsidRPr="00163252">
        <w:rPr>
          <w:rFonts w:ascii="Arial" w:hAnsi="Arial" w:cs="Arial"/>
          <w:sz w:val="24"/>
          <w:szCs w:val="24"/>
          <w:lang w:val="en"/>
        </w:rPr>
        <w:t>Thailand</w:t>
      </w:r>
      <w:r w:rsidR="00CE292B" w:rsidRPr="00163252">
        <w:rPr>
          <w:rFonts w:ascii="Arial" w:hAnsi="Arial" w:cs="Arial"/>
          <w:sz w:val="24"/>
          <w:szCs w:val="24"/>
          <w:lang w:val="en"/>
        </w:rPr>
        <w:t xml:space="preserve"> and Cambodia. Exploration success rate on the Thai side </w:t>
      </w:r>
      <w:r w:rsidR="001863D2" w:rsidRPr="00163252">
        <w:rPr>
          <w:rFonts w:ascii="Arial" w:hAnsi="Arial" w:cs="Arial"/>
          <w:sz w:val="24"/>
          <w:szCs w:val="24"/>
          <w:lang w:val="en"/>
        </w:rPr>
        <w:t>is reported to be about</w:t>
      </w:r>
      <w:r w:rsidR="00CE292B" w:rsidRPr="00163252">
        <w:rPr>
          <w:rFonts w:ascii="Arial" w:hAnsi="Arial" w:cs="Arial"/>
          <w:sz w:val="24"/>
          <w:szCs w:val="24"/>
          <w:lang w:val="en"/>
        </w:rPr>
        <w:t xml:space="preserve"> 40% (Polahan, 1986).  The Pattani Basin (</w:t>
      </w:r>
      <w:r w:rsidR="00A11408" w:rsidRPr="00163252">
        <w:rPr>
          <w:rFonts w:ascii="Arial" w:hAnsi="Arial" w:cs="Arial"/>
          <w:sz w:val="24"/>
          <w:szCs w:val="24"/>
          <w:lang w:val="en"/>
        </w:rPr>
        <w:t xml:space="preserve">e.g. </w:t>
      </w:r>
      <w:r w:rsidR="00CE292B" w:rsidRPr="00163252">
        <w:rPr>
          <w:rFonts w:ascii="Arial" w:hAnsi="Arial" w:cs="Arial"/>
          <w:sz w:val="24"/>
          <w:szCs w:val="24"/>
        </w:rPr>
        <w:t xml:space="preserve">Bustina &amp; Chonchawalita, 1995; Jardine, 1997) has proven particularly successful, and this basin </w:t>
      </w:r>
      <w:r w:rsidR="00CE292B" w:rsidRPr="00163252">
        <w:rPr>
          <w:rFonts w:ascii="Arial" w:hAnsi="Arial" w:cs="Arial"/>
          <w:sz w:val="24"/>
          <w:szCs w:val="24"/>
          <w:lang w:val="en"/>
        </w:rPr>
        <w:t>straddles the boundary between Th</w:t>
      </w:r>
      <w:r w:rsidR="001863D2" w:rsidRPr="00163252">
        <w:rPr>
          <w:rFonts w:ascii="Arial" w:hAnsi="Arial" w:cs="Arial"/>
          <w:sz w:val="24"/>
          <w:szCs w:val="24"/>
          <w:lang w:val="en"/>
        </w:rPr>
        <w:t xml:space="preserve">ai waters and a contested </w:t>
      </w:r>
      <w:r w:rsidR="00CE292B" w:rsidRPr="00163252">
        <w:rPr>
          <w:rFonts w:ascii="Arial" w:hAnsi="Arial" w:cs="Arial"/>
          <w:sz w:val="24"/>
          <w:szCs w:val="24"/>
          <w:lang w:val="en"/>
        </w:rPr>
        <w:t>area known as OCA (Overlapping Claims Area</w:t>
      </w:r>
      <w:r w:rsidR="00CE292B" w:rsidRPr="00163252">
        <w:rPr>
          <w:rFonts w:ascii="Arial" w:hAnsi="Arial" w:cs="Arial"/>
          <w:sz w:val="24"/>
          <w:szCs w:val="24"/>
        </w:rPr>
        <w:t xml:space="preserve">) in which little exploration activity has occurred (Figure 6). </w:t>
      </w:r>
    </w:p>
    <w:p w:rsidR="00624A3C" w:rsidRDefault="00624A3C" w:rsidP="00DD798A">
      <w:pPr>
        <w:jc w:val="center"/>
        <w:rPr>
          <w:rFonts w:ascii="Arial" w:hAnsi="Arial" w:cs="Arial"/>
          <w:sz w:val="24"/>
          <w:szCs w:val="24"/>
        </w:rPr>
      </w:pPr>
      <w:r w:rsidRPr="00624A3C">
        <w:drawing>
          <wp:inline distT="0" distB="0" distL="0" distR="0" wp14:anchorId="7C2F1BB3" wp14:editId="3646939F">
            <wp:extent cx="4279138" cy="385762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277242" cy="3855916"/>
                    </a:xfrm>
                    <a:prstGeom prst="rect">
                      <a:avLst/>
                    </a:prstGeom>
                  </pic:spPr>
                </pic:pic>
              </a:graphicData>
            </a:graphic>
          </wp:inline>
        </w:drawing>
      </w:r>
    </w:p>
    <w:p w:rsidR="00624A3C" w:rsidRPr="00FE7407" w:rsidRDefault="00624A3C" w:rsidP="004E1380">
      <w:pPr>
        <w:rPr>
          <w:rFonts w:ascii="Arial" w:hAnsi="Arial" w:cs="Arial"/>
          <w:i/>
          <w:sz w:val="24"/>
          <w:szCs w:val="24"/>
          <w:u w:val="single"/>
        </w:rPr>
      </w:pPr>
      <w:proofErr w:type="gramStart"/>
      <w:r w:rsidRPr="00FE7407">
        <w:rPr>
          <w:rFonts w:ascii="Arial" w:hAnsi="Arial" w:cs="Arial"/>
          <w:i/>
          <w:sz w:val="24"/>
          <w:szCs w:val="24"/>
          <w:u w:val="single"/>
        </w:rPr>
        <w:t>Figure 6.</w:t>
      </w:r>
      <w:proofErr w:type="gramEnd"/>
      <w:r w:rsidRPr="00FE7407">
        <w:rPr>
          <w:rFonts w:ascii="Arial" w:hAnsi="Arial" w:cs="Arial"/>
          <w:i/>
          <w:sz w:val="24"/>
          <w:szCs w:val="24"/>
          <w:u w:val="single"/>
        </w:rPr>
        <w:t xml:space="preserve"> Location of the OCA (Overlapping Claim Area) in the northern Gulf of Thailand</w:t>
      </w:r>
      <w:proofErr w:type="gramStart"/>
      <w:r w:rsidRPr="00FE7407">
        <w:rPr>
          <w:rFonts w:ascii="Arial" w:hAnsi="Arial" w:cs="Arial"/>
          <w:i/>
          <w:sz w:val="24"/>
          <w:szCs w:val="24"/>
          <w:u w:val="single"/>
        </w:rPr>
        <w:t>,  which</w:t>
      </w:r>
      <w:proofErr w:type="gramEnd"/>
      <w:r w:rsidRPr="00FE7407">
        <w:rPr>
          <w:rFonts w:ascii="Arial" w:hAnsi="Arial" w:cs="Arial"/>
          <w:i/>
          <w:sz w:val="24"/>
          <w:szCs w:val="24"/>
          <w:u w:val="single"/>
        </w:rPr>
        <w:t xml:space="preserve"> has remained essentially unexplored while the adjacent portion of the Pattani Basin which lies in Thai-controlled waters has been extensively drilled. Map compiled from a variety of publically available sources.</w:t>
      </w:r>
    </w:p>
    <w:p w:rsidR="00F17E25" w:rsidRPr="00163252" w:rsidRDefault="00CE292B" w:rsidP="004E1380">
      <w:pPr>
        <w:rPr>
          <w:rFonts w:ascii="Arial" w:hAnsi="Arial" w:cs="Arial"/>
          <w:sz w:val="24"/>
          <w:szCs w:val="24"/>
        </w:rPr>
      </w:pPr>
      <w:r w:rsidRPr="00163252">
        <w:rPr>
          <w:rFonts w:ascii="Arial" w:hAnsi="Arial" w:cs="Arial"/>
          <w:sz w:val="24"/>
          <w:szCs w:val="24"/>
        </w:rPr>
        <w:lastRenderedPageBreak/>
        <w:t xml:space="preserve">It is clear that the Pattani Basin continues into the OCA, but it is not clear </w:t>
      </w:r>
      <w:r w:rsidR="00A11408" w:rsidRPr="00163252">
        <w:rPr>
          <w:rFonts w:ascii="Arial" w:hAnsi="Arial" w:cs="Arial"/>
          <w:sz w:val="24"/>
          <w:szCs w:val="24"/>
        </w:rPr>
        <w:t xml:space="preserve">from publically available data </w:t>
      </w:r>
      <w:r w:rsidRPr="00163252">
        <w:rPr>
          <w:rFonts w:ascii="Arial" w:hAnsi="Arial" w:cs="Arial"/>
          <w:sz w:val="24"/>
          <w:szCs w:val="24"/>
        </w:rPr>
        <w:t xml:space="preserve">how far it extends. This is a good example of a case where the historical success frequency in the Thai part of the basin is an appropriate guide to the expected Pg of prospects which may be identified in the OCA part of the basin; </w:t>
      </w:r>
      <w:r w:rsidR="00581503" w:rsidRPr="00163252">
        <w:rPr>
          <w:rFonts w:ascii="Arial" w:hAnsi="Arial" w:cs="Arial"/>
          <w:sz w:val="24"/>
          <w:szCs w:val="24"/>
        </w:rPr>
        <w:t>the</w:t>
      </w:r>
      <w:r w:rsidR="001863D2" w:rsidRPr="00163252">
        <w:rPr>
          <w:rFonts w:ascii="Arial" w:hAnsi="Arial" w:cs="Arial"/>
          <w:sz w:val="24"/>
          <w:szCs w:val="24"/>
        </w:rPr>
        <w:t xml:space="preserve"> prospects in the </w:t>
      </w:r>
      <w:r w:rsidR="00581503" w:rsidRPr="00163252">
        <w:rPr>
          <w:rFonts w:ascii="Arial" w:hAnsi="Arial" w:cs="Arial"/>
          <w:sz w:val="24"/>
          <w:szCs w:val="24"/>
        </w:rPr>
        <w:t xml:space="preserve">OCA </w:t>
      </w:r>
      <w:r w:rsidR="001863D2" w:rsidRPr="00163252">
        <w:rPr>
          <w:rFonts w:ascii="Arial" w:hAnsi="Arial" w:cs="Arial"/>
          <w:sz w:val="24"/>
          <w:szCs w:val="24"/>
        </w:rPr>
        <w:t>have</w:t>
      </w:r>
      <w:r w:rsidR="00581503" w:rsidRPr="00163252">
        <w:rPr>
          <w:rFonts w:ascii="Arial" w:hAnsi="Arial" w:cs="Arial"/>
          <w:sz w:val="24"/>
          <w:szCs w:val="24"/>
        </w:rPr>
        <w:t xml:space="preserve"> not been “cherry picked”</w:t>
      </w:r>
      <w:r w:rsidR="001863D2" w:rsidRPr="00163252">
        <w:rPr>
          <w:rFonts w:ascii="Arial" w:hAnsi="Arial" w:cs="Arial"/>
          <w:sz w:val="24"/>
          <w:szCs w:val="24"/>
        </w:rPr>
        <w:t>; additionally</w:t>
      </w:r>
      <w:r w:rsidR="00581503" w:rsidRPr="00163252">
        <w:rPr>
          <w:rFonts w:ascii="Arial" w:hAnsi="Arial" w:cs="Arial"/>
          <w:sz w:val="24"/>
          <w:szCs w:val="24"/>
        </w:rPr>
        <w:t xml:space="preserve"> there is very little </w:t>
      </w:r>
      <w:r w:rsidRPr="00163252">
        <w:rPr>
          <w:rFonts w:ascii="Arial" w:hAnsi="Arial" w:cs="Arial"/>
          <w:sz w:val="24"/>
          <w:szCs w:val="24"/>
        </w:rPr>
        <w:t xml:space="preserve">available geological data on </w:t>
      </w:r>
      <w:r w:rsidR="001863D2" w:rsidRPr="00163252">
        <w:rPr>
          <w:rFonts w:ascii="Arial" w:hAnsi="Arial" w:cs="Arial"/>
          <w:sz w:val="24"/>
          <w:szCs w:val="24"/>
        </w:rPr>
        <w:t xml:space="preserve">which to base an estimate of Pg in </w:t>
      </w:r>
      <w:r w:rsidR="00581503" w:rsidRPr="00163252">
        <w:rPr>
          <w:rFonts w:ascii="Arial" w:hAnsi="Arial" w:cs="Arial"/>
          <w:sz w:val="24"/>
          <w:szCs w:val="24"/>
        </w:rPr>
        <w:t xml:space="preserve">the </w:t>
      </w:r>
      <w:r w:rsidRPr="00163252">
        <w:rPr>
          <w:rFonts w:ascii="Arial" w:hAnsi="Arial" w:cs="Arial"/>
          <w:sz w:val="24"/>
          <w:szCs w:val="24"/>
        </w:rPr>
        <w:t>OCA</w:t>
      </w:r>
      <w:r w:rsidR="00A11408" w:rsidRPr="00163252">
        <w:rPr>
          <w:rFonts w:ascii="Arial" w:hAnsi="Arial" w:cs="Arial"/>
          <w:sz w:val="24"/>
          <w:szCs w:val="24"/>
        </w:rPr>
        <w:t>,</w:t>
      </w:r>
      <w:r w:rsidRPr="00163252">
        <w:rPr>
          <w:rFonts w:ascii="Arial" w:hAnsi="Arial" w:cs="Arial"/>
          <w:sz w:val="24"/>
          <w:szCs w:val="24"/>
        </w:rPr>
        <w:t xml:space="preserve"> </w:t>
      </w:r>
      <w:r w:rsidR="001863D2" w:rsidRPr="00163252">
        <w:rPr>
          <w:rFonts w:ascii="Arial" w:hAnsi="Arial" w:cs="Arial"/>
          <w:sz w:val="24"/>
          <w:szCs w:val="24"/>
        </w:rPr>
        <w:t xml:space="preserve">so the past success frequency is the best method available to us. Therefore as a starting point we could estimate the chance of success of a prospect in the OCA portion of the Pattani Basin as 0.4. This estimate could be refined if we had access to more specific historic success data on the Pattani Basin, or if geological or geophysical information or were to become available specific to the OCA. </w:t>
      </w:r>
    </w:p>
    <w:p w:rsidR="00E42428" w:rsidRPr="00163252" w:rsidRDefault="004E1380" w:rsidP="00FF443D">
      <w:pPr>
        <w:rPr>
          <w:rFonts w:ascii="Arial" w:hAnsi="Arial" w:cs="Arial"/>
          <w:b/>
          <w:sz w:val="24"/>
          <w:szCs w:val="24"/>
          <w:lang w:val="en"/>
        </w:rPr>
      </w:pPr>
      <w:r w:rsidRPr="00163252">
        <w:rPr>
          <w:rFonts w:ascii="Arial" w:hAnsi="Arial" w:cs="Arial"/>
          <w:b/>
          <w:sz w:val="24"/>
          <w:szCs w:val="24"/>
          <w:lang w:val="en"/>
        </w:rPr>
        <w:t>Case study – the Western Atwater Fold belt, Gulf of Mexico</w:t>
      </w:r>
    </w:p>
    <w:p w:rsidR="00986E44" w:rsidRDefault="00986E44" w:rsidP="00FF443D">
      <w:pPr>
        <w:rPr>
          <w:rFonts w:ascii="Arial" w:hAnsi="Arial" w:cs="Arial"/>
          <w:sz w:val="24"/>
          <w:szCs w:val="24"/>
          <w:lang w:val="en"/>
        </w:rPr>
      </w:pPr>
      <w:r w:rsidRPr="00163252">
        <w:rPr>
          <w:rFonts w:ascii="Arial" w:hAnsi="Arial" w:cs="Arial"/>
          <w:sz w:val="24"/>
          <w:szCs w:val="24"/>
          <w:lang w:val="en"/>
        </w:rPr>
        <w:t>The Lower Miocene anticline play of the Western Atwater Fold Belt</w:t>
      </w:r>
      <w:r w:rsidR="003443D1" w:rsidRPr="00163252">
        <w:rPr>
          <w:rFonts w:ascii="Arial" w:hAnsi="Arial" w:cs="Arial"/>
          <w:sz w:val="24"/>
          <w:szCs w:val="24"/>
          <w:lang w:val="en"/>
        </w:rPr>
        <w:t xml:space="preserve"> (Figure 7)</w:t>
      </w:r>
      <w:r w:rsidRPr="00163252">
        <w:rPr>
          <w:rFonts w:ascii="Arial" w:hAnsi="Arial" w:cs="Arial"/>
          <w:sz w:val="24"/>
          <w:szCs w:val="24"/>
          <w:lang w:val="en"/>
        </w:rPr>
        <w:t xml:space="preserve"> is a good test case because the results are well documented (e.g. Moore et al., 2001, and industry press releases), because it contains a set of large structures which are well defined (e.g. Dias et al, 2010) and all of these have </w:t>
      </w:r>
      <w:r w:rsidR="003443D1" w:rsidRPr="00163252">
        <w:rPr>
          <w:rFonts w:ascii="Arial" w:hAnsi="Arial" w:cs="Arial"/>
          <w:sz w:val="24"/>
          <w:szCs w:val="24"/>
          <w:lang w:val="en"/>
        </w:rPr>
        <w:t xml:space="preserve">now </w:t>
      </w:r>
      <w:r w:rsidRPr="00163252">
        <w:rPr>
          <w:rFonts w:ascii="Arial" w:hAnsi="Arial" w:cs="Arial"/>
          <w:sz w:val="24"/>
          <w:szCs w:val="24"/>
          <w:lang w:val="en"/>
        </w:rPr>
        <w:t>been tested with at least one well. The study area contains 10 large structures, 4 of which were successes in the Lower Miocene, found to contain major oil fields, the rest of which were not success cases according to the pre-drill success case model, (but note that some of these found hydrocarbons at other stratigraphic levels, or found dry gas in place of the oil progno</w:t>
      </w:r>
      <w:r w:rsidR="00B169A4" w:rsidRPr="00163252">
        <w:rPr>
          <w:rFonts w:ascii="Arial" w:hAnsi="Arial" w:cs="Arial"/>
          <w:sz w:val="24"/>
          <w:szCs w:val="24"/>
          <w:lang w:val="en"/>
        </w:rPr>
        <w:t>sed in the success case model).</w:t>
      </w:r>
    </w:p>
    <w:p w:rsidR="00624A3C" w:rsidRDefault="00624A3C" w:rsidP="00DD798A">
      <w:pPr>
        <w:jc w:val="center"/>
        <w:rPr>
          <w:rFonts w:ascii="Arial" w:hAnsi="Arial" w:cs="Arial"/>
          <w:sz w:val="24"/>
          <w:szCs w:val="24"/>
          <w:lang w:val="en"/>
        </w:rPr>
      </w:pPr>
      <w:r w:rsidRPr="00624A3C">
        <w:drawing>
          <wp:inline distT="0" distB="0" distL="0" distR="0" wp14:anchorId="164AD2C8" wp14:editId="4F8509D6">
            <wp:extent cx="3094021" cy="31908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092650" cy="3189462"/>
                    </a:xfrm>
                    <a:prstGeom prst="rect">
                      <a:avLst/>
                    </a:prstGeom>
                  </pic:spPr>
                </pic:pic>
              </a:graphicData>
            </a:graphic>
          </wp:inline>
        </w:drawing>
      </w:r>
    </w:p>
    <w:p w:rsidR="00624A3C" w:rsidRPr="0008211B" w:rsidRDefault="00624A3C" w:rsidP="00624A3C">
      <w:pPr>
        <w:rPr>
          <w:rFonts w:ascii="Arial" w:hAnsi="Arial" w:cs="Arial"/>
          <w:i/>
          <w:sz w:val="24"/>
          <w:szCs w:val="24"/>
          <w:u w:val="single"/>
          <w:lang w:val="en"/>
        </w:rPr>
      </w:pPr>
      <w:proofErr w:type="gramStart"/>
      <w:r w:rsidRPr="003443D1">
        <w:rPr>
          <w:rFonts w:ascii="Arial" w:hAnsi="Arial" w:cs="Arial"/>
          <w:i/>
          <w:sz w:val="24"/>
          <w:szCs w:val="24"/>
          <w:u w:val="single"/>
          <w:lang w:val="en"/>
        </w:rPr>
        <w:t>Figure 7.</w:t>
      </w:r>
      <w:proofErr w:type="gramEnd"/>
      <w:r w:rsidRPr="003443D1">
        <w:rPr>
          <w:rFonts w:ascii="Arial" w:hAnsi="Arial" w:cs="Arial"/>
          <w:i/>
          <w:sz w:val="24"/>
          <w:szCs w:val="24"/>
          <w:u w:val="single"/>
          <w:lang w:val="en"/>
        </w:rPr>
        <w:t xml:space="preserve"> Outline map of the frontal fold trend of the Western Atwater Fold Belt, Gulf of Mexico (grey outline on main map) showing the major structural traps with their original prospect names, with outlines taken from publications (Moore et al., 2001, Dias et al., 2010) and press releases. Geological success cases at Lower Miocene </w:t>
      </w:r>
      <w:r w:rsidRPr="003443D1">
        <w:rPr>
          <w:rFonts w:ascii="Arial" w:hAnsi="Arial" w:cs="Arial"/>
          <w:i/>
          <w:sz w:val="24"/>
          <w:szCs w:val="24"/>
          <w:u w:val="single"/>
          <w:lang w:val="en"/>
        </w:rPr>
        <w:lastRenderedPageBreak/>
        <w:t xml:space="preserve">level are shown in solid black (Neptune, Atlantis, Mad Dog and </w:t>
      </w:r>
      <w:proofErr w:type="spellStart"/>
      <w:r w:rsidRPr="003443D1">
        <w:rPr>
          <w:rFonts w:ascii="Arial" w:hAnsi="Arial" w:cs="Arial"/>
          <w:i/>
          <w:sz w:val="24"/>
          <w:szCs w:val="24"/>
          <w:u w:val="single"/>
          <w:lang w:val="en"/>
        </w:rPr>
        <w:t>Shenzi</w:t>
      </w:r>
      <w:proofErr w:type="spellEnd"/>
      <w:r w:rsidRPr="003443D1">
        <w:rPr>
          <w:rFonts w:ascii="Arial" w:hAnsi="Arial" w:cs="Arial"/>
          <w:i/>
          <w:sz w:val="24"/>
          <w:szCs w:val="24"/>
          <w:u w:val="single"/>
          <w:lang w:val="en"/>
        </w:rPr>
        <w:t xml:space="preserve"> oil fields); failure cases at Lower Miocene level are shown in white. Note that some of these failure cases encountered oil at different stratigraphic levels, or encountered dry gas in place of prognosed oil.</w:t>
      </w:r>
    </w:p>
    <w:p w:rsidR="00624A3C" w:rsidRPr="00163252" w:rsidRDefault="00624A3C" w:rsidP="00DD798A">
      <w:pPr>
        <w:jc w:val="center"/>
        <w:rPr>
          <w:rFonts w:ascii="Arial" w:hAnsi="Arial" w:cs="Arial"/>
          <w:sz w:val="24"/>
          <w:szCs w:val="24"/>
          <w:lang w:val="en"/>
        </w:rPr>
      </w:pPr>
    </w:p>
    <w:p w:rsidR="00986E44" w:rsidRDefault="003443D1" w:rsidP="00986E44">
      <w:pPr>
        <w:rPr>
          <w:rFonts w:ascii="Arial" w:hAnsi="Arial" w:cs="Arial"/>
          <w:sz w:val="24"/>
          <w:szCs w:val="24"/>
          <w:lang w:val="en"/>
        </w:rPr>
      </w:pPr>
      <w:r w:rsidRPr="00163252">
        <w:rPr>
          <w:rFonts w:ascii="Arial" w:hAnsi="Arial" w:cs="Arial"/>
          <w:sz w:val="24"/>
          <w:szCs w:val="24"/>
          <w:lang w:val="en"/>
        </w:rPr>
        <w:t xml:space="preserve">Figure 8 shows the sequence of results of the first well on each structure, and the chance of success that we would predict for the next well if this were the only information available to us. Initially, there is a </w:t>
      </w:r>
      <w:r w:rsidR="00986E44" w:rsidRPr="00163252">
        <w:rPr>
          <w:rFonts w:ascii="Arial" w:hAnsi="Arial" w:cs="Arial"/>
          <w:sz w:val="24"/>
          <w:szCs w:val="24"/>
          <w:lang w:val="en"/>
        </w:rPr>
        <w:t xml:space="preserve">major difference between historical success rate (grey curve) and the go-forward Pg predicted using the </w:t>
      </w:r>
      <w:r w:rsidR="00B330BE" w:rsidRPr="00163252">
        <w:rPr>
          <w:rFonts w:ascii="Arial" w:hAnsi="Arial" w:cs="Arial"/>
          <w:sz w:val="24"/>
          <w:szCs w:val="24"/>
          <w:lang w:val="en"/>
        </w:rPr>
        <w:t>Rule of Succession</w:t>
      </w:r>
      <w:r w:rsidR="00986E44" w:rsidRPr="00163252">
        <w:rPr>
          <w:rFonts w:ascii="Arial" w:hAnsi="Arial" w:cs="Arial"/>
          <w:sz w:val="24"/>
          <w:szCs w:val="24"/>
          <w:lang w:val="en"/>
        </w:rPr>
        <w:t xml:space="preserve"> (black curve). But as more wells are drilled, and the sample size increases, the </w:t>
      </w:r>
      <w:r w:rsidR="00716AB9" w:rsidRPr="00163252">
        <w:rPr>
          <w:rFonts w:ascii="Arial" w:hAnsi="Arial" w:cs="Arial"/>
          <w:sz w:val="24"/>
          <w:szCs w:val="24"/>
          <w:lang w:val="en"/>
        </w:rPr>
        <w:t>difference diminishes to near-negligible levels.</w:t>
      </w:r>
    </w:p>
    <w:p w:rsidR="00624A3C" w:rsidRDefault="00624A3C" w:rsidP="00DD798A">
      <w:pPr>
        <w:jc w:val="center"/>
        <w:rPr>
          <w:rFonts w:ascii="Arial" w:hAnsi="Arial" w:cs="Arial"/>
          <w:sz w:val="24"/>
          <w:szCs w:val="24"/>
          <w:lang w:val="en"/>
        </w:rPr>
      </w:pPr>
      <w:r w:rsidRPr="00624A3C">
        <w:drawing>
          <wp:inline distT="0" distB="0" distL="0" distR="0" wp14:anchorId="09F3C450" wp14:editId="67BEF565">
            <wp:extent cx="4229019" cy="257175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227146" cy="2570611"/>
                    </a:xfrm>
                    <a:prstGeom prst="rect">
                      <a:avLst/>
                    </a:prstGeom>
                  </pic:spPr>
                </pic:pic>
              </a:graphicData>
            </a:graphic>
          </wp:inline>
        </w:drawing>
      </w:r>
    </w:p>
    <w:p w:rsidR="00624A3C" w:rsidRPr="0008211B" w:rsidRDefault="00624A3C" w:rsidP="00624A3C">
      <w:pPr>
        <w:rPr>
          <w:rFonts w:ascii="Arial" w:hAnsi="Arial" w:cs="Arial"/>
          <w:i/>
          <w:sz w:val="24"/>
          <w:szCs w:val="24"/>
          <w:u w:val="single"/>
          <w:lang w:val="en"/>
        </w:rPr>
      </w:pPr>
      <w:proofErr w:type="gramStart"/>
      <w:r w:rsidRPr="003443D1">
        <w:rPr>
          <w:rFonts w:ascii="Arial" w:hAnsi="Arial" w:cs="Arial"/>
          <w:i/>
          <w:sz w:val="24"/>
          <w:szCs w:val="24"/>
          <w:u w:val="single"/>
          <w:lang w:val="en"/>
        </w:rPr>
        <w:t>Figure 8.</w:t>
      </w:r>
      <w:proofErr w:type="gramEnd"/>
      <w:r w:rsidRPr="003443D1">
        <w:rPr>
          <w:rFonts w:ascii="Arial" w:hAnsi="Arial" w:cs="Arial"/>
          <w:i/>
          <w:sz w:val="24"/>
          <w:szCs w:val="24"/>
          <w:u w:val="single"/>
          <w:lang w:val="en"/>
        </w:rPr>
        <w:t xml:space="preserve"> Sequence of drilling results for the first well testing a structure in Lower Miocene play of th</w:t>
      </w:r>
      <w:r>
        <w:rPr>
          <w:rFonts w:ascii="Arial" w:hAnsi="Arial" w:cs="Arial"/>
          <w:i/>
          <w:sz w:val="24"/>
          <w:szCs w:val="24"/>
          <w:u w:val="single"/>
          <w:lang w:val="en"/>
        </w:rPr>
        <w:t xml:space="preserve">e </w:t>
      </w:r>
      <w:proofErr w:type="spellStart"/>
      <w:r>
        <w:rPr>
          <w:rFonts w:ascii="Arial" w:hAnsi="Arial" w:cs="Arial"/>
          <w:i/>
          <w:sz w:val="24"/>
          <w:szCs w:val="24"/>
          <w:u w:val="single"/>
          <w:lang w:val="en"/>
        </w:rPr>
        <w:t>the</w:t>
      </w:r>
      <w:proofErr w:type="spellEnd"/>
      <w:r>
        <w:rPr>
          <w:rFonts w:ascii="Arial" w:hAnsi="Arial" w:cs="Arial"/>
          <w:i/>
          <w:sz w:val="24"/>
          <w:szCs w:val="24"/>
          <w:u w:val="single"/>
          <w:lang w:val="en"/>
        </w:rPr>
        <w:t xml:space="preserve"> Western Atwater Fold Belt,</w:t>
      </w:r>
      <w:r w:rsidRPr="003443D1">
        <w:rPr>
          <w:rFonts w:ascii="Arial" w:hAnsi="Arial" w:cs="Arial"/>
          <w:i/>
          <w:sz w:val="24"/>
          <w:szCs w:val="24"/>
          <w:u w:val="single"/>
          <w:lang w:val="en"/>
        </w:rPr>
        <w:t xml:space="preserve"> show</w:t>
      </w:r>
      <w:r>
        <w:rPr>
          <w:rFonts w:ascii="Arial" w:hAnsi="Arial" w:cs="Arial"/>
          <w:i/>
          <w:sz w:val="24"/>
          <w:szCs w:val="24"/>
          <w:u w:val="single"/>
          <w:lang w:val="en"/>
        </w:rPr>
        <w:t>ing</w:t>
      </w:r>
      <w:r w:rsidRPr="003443D1">
        <w:rPr>
          <w:rFonts w:ascii="Arial" w:hAnsi="Arial" w:cs="Arial"/>
          <w:i/>
          <w:sz w:val="24"/>
          <w:szCs w:val="24"/>
          <w:u w:val="single"/>
          <w:lang w:val="en"/>
        </w:rPr>
        <w:t xml:space="preserve"> a comparison of a prediction of the chance of success of the next well, based on </w:t>
      </w:r>
      <w:r>
        <w:rPr>
          <w:rFonts w:ascii="Arial" w:hAnsi="Arial" w:cs="Arial"/>
          <w:i/>
          <w:sz w:val="24"/>
          <w:szCs w:val="24"/>
          <w:u w:val="single"/>
          <w:lang w:val="en"/>
        </w:rPr>
        <w:t xml:space="preserve">unmodified </w:t>
      </w:r>
      <w:r w:rsidRPr="003443D1">
        <w:rPr>
          <w:rFonts w:ascii="Arial" w:hAnsi="Arial" w:cs="Arial"/>
          <w:i/>
          <w:sz w:val="24"/>
          <w:szCs w:val="24"/>
          <w:u w:val="single"/>
          <w:lang w:val="en"/>
        </w:rPr>
        <w:t xml:space="preserve">past frequency (open diamonds, grey line) compared to the probabilistic prediction using the Modified Sunrise method (black diamonds, black line). </w:t>
      </w:r>
      <w:r>
        <w:rPr>
          <w:rFonts w:ascii="Arial" w:hAnsi="Arial" w:cs="Arial"/>
          <w:i/>
          <w:sz w:val="24"/>
          <w:szCs w:val="24"/>
          <w:u w:val="single"/>
          <w:lang w:val="en"/>
        </w:rPr>
        <w:t>B</w:t>
      </w:r>
      <w:r w:rsidRPr="003443D1">
        <w:rPr>
          <w:rFonts w:ascii="Arial" w:hAnsi="Arial" w:cs="Arial"/>
          <w:i/>
          <w:sz w:val="24"/>
          <w:szCs w:val="24"/>
          <w:u w:val="single"/>
          <w:lang w:val="en"/>
        </w:rPr>
        <w:t>lack circles = geological success, dry hole symbol (open circles with cross) = predrill geological model was not a success; note that some of these failure cases encountered hydrocarbons at other stratigraphic levels (e.g. Puma), or encountered dry gas in place of the prognosed oil (e.g. Frampton).</w:t>
      </w:r>
    </w:p>
    <w:p w:rsidR="00624A3C" w:rsidRPr="00163252" w:rsidRDefault="00624A3C" w:rsidP="00986E44">
      <w:pPr>
        <w:rPr>
          <w:rFonts w:ascii="Arial" w:hAnsi="Arial" w:cs="Arial"/>
          <w:sz w:val="24"/>
          <w:szCs w:val="24"/>
          <w:lang w:val="en"/>
        </w:rPr>
      </w:pPr>
    </w:p>
    <w:p w:rsidR="002A5981" w:rsidRPr="00163252" w:rsidRDefault="003443D1" w:rsidP="00FF443D">
      <w:pPr>
        <w:rPr>
          <w:rFonts w:ascii="Arial" w:hAnsi="Arial" w:cs="Arial"/>
          <w:sz w:val="24"/>
          <w:szCs w:val="24"/>
          <w:lang w:val="en"/>
        </w:rPr>
      </w:pPr>
      <w:r w:rsidRPr="00163252">
        <w:rPr>
          <w:rFonts w:ascii="Arial" w:hAnsi="Arial" w:cs="Arial"/>
          <w:sz w:val="24"/>
          <w:szCs w:val="24"/>
          <w:lang w:val="en"/>
        </w:rPr>
        <w:t>A</w:t>
      </w:r>
      <w:r w:rsidR="00986E44" w:rsidRPr="00163252">
        <w:rPr>
          <w:rFonts w:ascii="Arial" w:hAnsi="Arial" w:cs="Arial"/>
          <w:sz w:val="24"/>
          <w:szCs w:val="24"/>
          <w:lang w:val="en"/>
        </w:rPr>
        <w:t xml:space="preserve">t </w:t>
      </w:r>
      <w:r w:rsidRPr="00163252">
        <w:rPr>
          <w:rFonts w:ascii="Arial" w:hAnsi="Arial" w:cs="Arial"/>
          <w:sz w:val="24"/>
          <w:szCs w:val="24"/>
          <w:lang w:val="en"/>
        </w:rPr>
        <w:t xml:space="preserve">the </w:t>
      </w:r>
      <w:r w:rsidR="00986E44" w:rsidRPr="00163252">
        <w:rPr>
          <w:rFonts w:ascii="Arial" w:hAnsi="Arial" w:cs="Arial"/>
          <w:sz w:val="24"/>
          <w:szCs w:val="24"/>
          <w:lang w:val="en"/>
        </w:rPr>
        <w:t xml:space="preserve">end of </w:t>
      </w:r>
      <w:r w:rsidRPr="00163252">
        <w:rPr>
          <w:rFonts w:ascii="Arial" w:hAnsi="Arial" w:cs="Arial"/>
          <w:sz w:val="24"/>
          <w:szCs w:val="24"/>
          <w:lang w:val="en"/>
        </w:rPr>
        <w:t xml:space="preserve">the sequence of </w:t>
      </w:r>
      <w:r w:rsidR="00716AB9" w:rsidRPr="00163252">
        <w:rPr>
          <w:rFonts w:ascii="Arial" w:hAnsi="Arial" w:cs="Arial"/>
          <w:sz w:val="24"/>
          <w:szCs w:val="24"/>
          <w:lang w:val="en"/>
        </w:rPr>
        <w:t xml:space="preserve">drilling </w:t>
      </w:r>
      <w:r w:rsidR="00986E44" w:rsidRPr="00163252">
        <w:rPr>
          <w:rFonts w:ascii="Arial" w:hAnsi="Arial" w:cs="Arial"/>
          <w:sz w:val="24"/>
          <w:szCs w:val="24"/>
          <w:lang w:val="en"/>
        </w:rPr>
        <w:t>10 prospect</w:t>
      </w:r>
      <w:r w:rsidR="00716AB9" w:rsidRPr="00163252">
        <w:rPr>
          <w:rFonts w:ascii="Arial" w:hAnsi="Arial" w:cs="Arial"/>
          <w:sz w:val="24"/>
          <w:szCs w:val="24"/>
          <w:lang w:val="en"/>
        </w:rPr>
        <w:t>s</w:t>
      </w:r>
      <w:r w:rsidRPr="00163252">
        <w:rPr>
          <w:rFonts w:ascii="Arial" w:hAnsi="Arial" w:cs="Arial"/>
          <w:sz w:val="24"/>
          <w:szCs w:val="24"/>
          <w:lang w:val="en"/>
        </w:rPr>
        <w:t>, both methods have converged on a go-forward prediction of Pg</w:t>
      </w:r>
      <w:r w:rsidR="00986E44" w:rsidRPr="00163252">
        <w:rPr>
          <w:rFonts w:ascii="Arial" w:hAnsi="Arial" w:cs="Arial"/>
          <w:sz w:val="24"/>
          <w:szCs w:val="24"/>
          <w:lang w:val="en"/>
        </w:rPr>
        <w:t xml:space="preserve"> = 0.4:</w:t>
      </w:r>
      <w:r w:rsidRPr="00163252">
        <w:rPr>
          <w:rFonts w:ascii="Arial" w:hAnsi="Arial" w:cs="Arial"/>
          <w:sz w:val="24"/>
          <w:szCs w:val="24"/>
          <w:lang w:val="en"/>
        </w:rPr>
        <w:t xml:space="preserve"> but</w:t>
      </w:r>
      <w:r w:rsidR="00986E44" w:rsidRPr="00163252">
        <w:rPr>
          <w:rFonts w:ascii="Arial" w:hAnsi="Arial" w:cs="Arial"/>
          <w:sz w:val="24"/>
          <w:szCs w:val="24"/>
          <w:lang w:val="en"/>
        </w:rPr>
        <w:t xml:space="preserve"> is this representative of what we might expect on a go-forward basis</w:t>
      </w:r>
      <w:r w:rsidR="00641E06" w:rsidRPr="00163252">
        <w:rPr>
          <w:rFonts w:ascii="Arial" w:hAnsi="Arial" w:cs="Arial"/>
          <w:sz w:val="24"/>
          <w:szCs w:val="24"/>
          <w:lang w:val="en"/>
        </w:rPr>
        <w:t>, in other words, would this be an appropriate Pg to use for the next prospect</w:t>
      </w:r>
      <w:r w:rsidR="00986E44" w:rsidRPr="00163252">
        <w:rPr>
          <w:rFonts w:ascii="Arial" w:hAnsi="Arial" w:cs="Arial"/>
          <w:sz w:val="24"/>
          <w:szCs w:val="24"/>
          <w:lang w:val="en"/>
        </w:rPr>
        <w:t xml:space="preserve">? </w:t>
      </w:r>
      <w:r w:rsidRPr="00163252">
        <w:rPr>
          <w:rFonts w:ascii="Arial" w:hAnsi="Arial" w:cs="Arial"/>
          <w:sz w:val="24"/>
          <w:szCs w:val="24"/>
          <w:lang w:val="en"/>
        </w:rPr>
        <w:t xml:space="preserve">On the basis of publically available maps, </w:t>
      </w:r>
      <w:r w:rsidR="0044190D" w:rsidRPr="00163252">
        <w:rPr>
          <w:rFonts w:ascii="Arial" w:hAnsi="Arial" w:cs="Arial"/>
          <w:sz w:val="24"/>
          <w:szCs w:val="24"/>
          <w:lang w:val="en"/>
        </w:rPr>
        <w:t xml:space="preserve">(e.g. Dias </w:t>
      </w:r>
      <w:r w:rsidR="0044190D" w:rsidRPr="00163252">
        <w:rPr>
          <w:rFonts w:ascii="Arial" w:hAnsi="Arial" w:cs="Arial"/>
          <w:i/>
          <w:sz w:val="24"/>
          <w:szCs w:val="24"/>
          <w:lang w:val="en"/>
        </w:rPr>
        <w:t>et al</w:t>
      </w:r>
      <w:r w:rsidR="002A5981" w:rsidRPr="00163252">
        <w:rPr>
          <w:rFonts w:ascii="Arial" w:hAnsi="Arial" w:cs="Arial"/>
          <w:sz w:val="24"/>
          <w:szCs w:val="24"/>
          <w:lang w:val="en"/>
        </w:rPr>
        <w:t>.</w:t>
      </w:r>
      <w:r w:rsidR="0044190D" w:rsidRPr="00163252">
        <w:rPr>
          <w:rFonts w:ascii="Arial" w:hAnsi="Arial" w:cs="Arial"/>
          <w:sz w:val="24"/>
          <w:szCs w:val="24"/>
          <w:lang w:val="en"/>
        </w:rPr>
        <w:t xml:space="preserve">, 2010) </w:t>
      </w:r>
      <w:r w:rsidRPr="00163252">
        <w:rPr>
          <w:rFonts w:ascii="Arial" w:hAnsi="Arial" w:cs="Arial"/>
          <w:sz w:val="24"/>
          <w:szCs w:val="24"/>
          <w:lang w:val="en"/>
        </w:rPr>
        <w:t>we can say that this</w:t>
      </w:r>
      <w:r w:rsidR="0044190D" w:rsidRPr="00163252">
        <w:rPr>
          <w:rFonts w:ascii="Arial" w:hAnsi="Arial" w:cs="Arial"/>
          <w:sz w:val="24"/>
          <w:szCs w:val="24"/>
          <w:lang w:val="en"/>
        </w:rPr>
        <w:t xml:space="preserve"> is definitely not the case, </w:t>
      </w:r>
      <w:r w:rsidR="00986E44" w:rsidRPr="00163252">
        <w:rPr>
          <w:rFonts w:ascii="Arial" w:hAnsi="Arial" w:cs="Arial"/>
          <w:sz w:val="24"/>
          <w:szCs w:val="24"/>
          <w:lang w:val="en"/>
        </w:rPr>
        <w:t>because all the obvious major anticlinal structures</w:t>
      </w:r>
      <w:r w:rsidR="002A5981" w:rsidRPr="00163252">
        <w:rPr>
          <w:rFonts w:ascii="Arial" w:hAnsi="Arial" w:cs="Arial"/>
          <w:sz w:val="24"/>
          <w:szCs w:val="24"/>
          <w:lang w:val="en"/>
        </w:rPr>
        <w:t xml:space="preserve"> (the “big bumps”)</w:t>
      </w:r>
      <w:r w:rsidR="00986E44" w:rsidRPr="00163252">
        <w:rPr>
          <w:rFonts w:ascii="Arial" w:hAnsi="Arial" w:cs="Arial"/>
          <w:sz w:val="24"/>
          <w:szCs w:val="24"/>
          <w:lang w:val="en"/>
        </w:rPr>
        <w:t xml:space="preserve"> within this</w:t>
      </w:r>
      <w:r w:rsidR="0044190D" w:rsidRPr="00163252">
        <w:rPr>
          <w:rFonts w:ascii="Arial" w:hAnsi="Arial" w:cs="Arial"/>
          <w:sz w:val="24"/>
          <w:szCs w:val="24"/>
          <w:lang w:val="en"/>
        </w:rPr>
        <w:t xml:space="preserve"> footprint have been drilled. A</w:t>
      </w:r>
      <w:r w:rsidR="00986E44" w:rsidRPr="00163252">
        <w:rPr>
          <w:rFonts w:ascii="Arial" w:hAnsi="Arial" w:cs="Arial"/>
          <w:sz w:val="24"/>
          <w:szCs w:val="24"/>
          <w:lang w:val="en"/>
        </w:rPr>
        <w:t xml:space="preserve">ny new </w:t>
      </w:r>
      <w:r w:rsidR="00986E44" w:rsidRPr="00163252">
        <w:rPr>
          <w:rFonts w:ascii="Arial" w:hAnsi="Arial" w:cs="Arial"/>
          <w:sz w:val="24"/>
          <w:szCs w:val="24"/>
          <w:lang w:val="en"/>
        </w:rPr>
        <w:lastRenderedPageBreak/>
        <w:t xml:space="preserve">prospect </w:t>
      </w:r>
      <w:r w:rsidR="002A5981" w:rsidRPr="00163252">
        <w:rPr>
          <w:rFonts w:ascii="Arial" w:hAnsi="Arial" w:cs="Arial"/>
          <w:sz w:val="24"/>
          <w:szCs w:val="24"/>
          <w:lang w:val="en"/>
        </w:rPr>
        <w:t xml:space="preserve">in the same play </w:t>
      </w:r>
      <w:r w:rsidR="0044190D" w:rsidRPr="00163252">
        <w:rPr>
          <w:rFonts w:ascii="Arial" w:hAnsi="Arial" w:cs="Arial"/>
          <w:sz w:val="24"/>
          <w:szCs w:val="24"/>
          <w:lang w:val="en"/>
        </w:rPr>
        <w:t xml:space="preserve">would not look like the existing </w:t>
      </w:r>
      <w:r w:rsidR="00641E06" w:rsidRPr="00163252">
        <w:rPr>
          <w:rFonts w:ascii="Arial" w:hAnsi="Arial" w:cs="Arial"/>
          <w:sz w:val="24"/>
          <w:szCs w:val="24"/>
          <w:lang w:val="en"/>
        </w:rPr>
        <w:t xml:space="preserve">success/failure data </w:t>
      </w:r>
      <w:r w:rsidR="0044190D" w:rsidRPr="00163252">
        <w:rPr>
          <w:rFonts w:ascii="Arial" w:hAnsi="Arial" w:cs="Arial"/>
          <w:sz w:val="24"/>
          <w:szCs w:val="24"/>
          <w:lang w:val="en"/>
        </w:rPr>
        <w:t>set</w:t>
      </w:r>
      <w:r w:rsidR="00641E06" w:rsidRPr="00163252">
        <w:rPr>
          <w:rFonts w:ascii="Arial" w:hAnsi="Arial" w:cs="Arial"/>
          <w:sz w:val="24"/>
          <w:szCs w:val="24"/>
          <w:lang w:val="en"/>
        </w:rPr>
        <w:t xml:space="preserve">, which </w:t>
      </w:r>
      <w:r w:rsidR="002A5981" w:rsidRPr="00163252">
        <w:rPr>
          <w:rFonts w:ascii="Arial" w:hAnsi="Arial" w:cs="Arial"/>
          <w:sz w:val="24"/>
          <w:szCs w:val="24"/>
          <w:lang w:val="en"/>
        </w:rPr>
        <w:t xml:space="preserve">tests all the </w:t>
      </w:r>
      <w:r w:rsidR="0044190D" w:rsidRPr="00163252">
        <w:rPr>
          <w:rFonts w:ascii="Arial" w:hAnsi="Arial" w:cs="Arial"/>
          <w:sz w:val="24"/>
          <w:szCs w:val="24"/>
          <w:lang w:val="en"/>
        </w:rPr>
        <w:t xml:space="preserve"> major anticlinal closures (</w:t>
      </w:r>
      <w:r w:rsidR="00641E06" w:rsidRPr="00163252">
        <w:rPr>
          <w:rFonts w:ascii="Arial" w:hAnsi="Arial" w:cs="Arial"/>
          <w:sz w:val="24"/>
          <w:szCs w:val="24"/>
          <w:lang w:val="en"/>
        </w:rPr>
        <w:t xml:space="preserve">in contrast, any new prospect </w:t>
      </w:r>
      <w:r w:rsidR="002A5981" w:rsidRPr="00163252">
        <w:rPr>
          <w:rFonts w:ascii="Arial" w:hAnsi="Arial" w:cs="Arial"/>
          <w:sz w:val="24"/>
          <w:szCs w:val="24"/>
          <w:lang w:val="en"/>
        </w:rPr>
        <w:t xml:space="preserve">in the same general play </w:t>
      </w:r>
      <w:r w:rsidR="00641E06" w:rsidRPr="00163252">
        <w:rPr>
          <w:rFonts w:ascii="Arial" w:hAnsi="Arial" w:cs="Arial"/>
          <w:sz w:val="24"/>
          <w:szCs w:val="24"/>
          <w:lang w:val="en"/>
        </w:rPr>
        <w:t>would</w:t>
      </w:r>
      <w:r w:rsidR="002A5981" w:rsidRPr="00163252">
        <w:rPr>
          <w:rFonts w:ascii="Arial" w:hAnsi="Arial" w:cs="Arial"/>
          <w:sz w:val="24"/>
          <w:szCs w:val="24"/>
          <w:lang w:val="en"/>
        </w:rPr>
        <w:t xml:space="preserve"> have to</w:t>
      </w:r>
      <w:r w:rsidR="00641E06" w:rsidRPr="00163252">
        <w:rPr>
          <w:rFonts w:ascii="Arial" w:hAnsi="Arial" w:cs="Arial"/>
          <w:sz w:val="24"/>
          <w:szCs w:val="24"/>
          <w:lang w:val="en"/>
        </w:rPr>
        <w:t xml:space="preserve"> be </w:t>
      </w:r>
      <w:r w:rsidR="0044190D" w:rsidRPr="00163252">
        <w:rPr>
          <w:rFonts w:ascii="Arial" w:hAnsi="Arial" w:cs="Arial"/>
          <w:sz w:val="24"/>
          <w:szCs w:val="24"/>
          <w:lang w:val="en"/>
        </w:rPr>
        <w:t xml:space="preserve">deep, or subtle, or </w:t>
      </w:r>
      <w:r w:rsidR="00641E06" w:rsidRPr="00163252">
        <w:rPr>
          <w:rFonts w:ascii="Arial" w:hAnsi="Arial" w:cs="Arial"/>
          <w:sz w:val="24"/>
          <w:szCs w:val="24"/>
          <w:lang w:val="en"/>
        </w:rPr>
        <w:t xml:space="preserve">have </w:t>
      </w:r>
      <w:r w:rsidR="0044190D" w:rsidRPr="00163252">
        <w:rPr>
          <w:rFonts w:ascii="Arial" w:hAnsi="Arial" w:cs="Arial"/>
          <w:sz w:val="24"/>
          <w:szCs w:val="24"/>
          <w:lang w:val="en"/>
        </w:rPr>
        <w:t>low relief closure)</w:t>
      </w:r>
      <w:r w:rsidR="00ED55E3" w:rsidRPr="00163252">
        <w:rPr>
          <w:rFonts w:ascii="Arial" w:hAnsi="Arial" w:cs="Arial"/>
          <w:sz w:val="24"/>
          <w:szCs w:val="24"/>
          <w:lang w:val="en"/>
        </w:rPr>
        <w:t>.</w:t>
      </w:r>
    </w:p>
    <w:p w:rsidR="00703DD7" w:rsidRPr="00163252" w:rsidRDefault="002A5981" w:rsidP="00FF443D">
      <w:pPr>
        <w:rPr>
          <w:rFonts w:ascii="Arial" w:hAnsi="Arial" w:cs="Arial"/>
          <w:sz w:val="24"/>
          <w:szCs w:val="24"/>
          <w:lang w:val="en"/>
        </w:rPr>
      </w:pPr>
      <w:r w:rsidRPr="00163252">
        <w:rPr>
          <w:rFonts w:ascii="Arial" w:hAnsi="Arial" w:cs="Arial"/>
          <w:sz w:val="24"/>
          <w:szCs w:val="24"/>
          <w:lang w:val="en"/>
        </w:rPr>
        <w:t>. T</w:t>
      </w:r>
      <w:r w:rsidR="0044190D" w:rsidRPr="00163252">
        <w:rPr>
          <w:rFonts w:ascii="Arial" w:hAnsi="Arial" w:cs="Arial"/>
          <w:sz w:val="24"/>
          <w:szCs w:val="24"/>
          <w:lang w:val="en"/>
        </w:rPr>
        <w:t>herefore, if we do not have access to any geological evidence to the contrary,</w:t>
      </w:r>
      <w:r w:rsidR="00641E06" w:rsidRPr="00163252">
        <w:rPr>
          <w:rFonts w:ascii="Arial" w:hAnsi="Arial" w:cs="Arial"/>
          <w:sz w:val="24"/>
          <w:szCs w:val="24"/>
          <w:lang w:val="en"/>
        </w:rPr>
        <w:t xml:space="preserve"> we would expect </w:t>
      </w:r>
      <w:r w:rsidRPr="00163252">
        <w:rPr>
          <w:rFonts w:ascii="Arial" w:hAnsi="Arial" w:cs="Arial"/>
          <w:sz w:val="24"/>
          <w:szCs w:val="24"/>
          <w:lang w:val="en"/>
        </w:rPr>
        <w:t>a</w:t>
      </w:r>
      <w:r w:rsidR="00ED55E3" w:rsidRPr="00163252">
        <w:rPr>
          <w:rFonts w:ascii="Arial" w:hAnsi="Arial" w:cs="Arial"/>
          <w:sz w:val="24"/>
          <w:szCs w:val="24"/>
          <w:lang w:val="en"/>
        </w:rPr>
        <w:t>ny</w:t>
      </w:r>
      <w:r w:rsidRPr="00163252">
        <w:rPr>
          <w:rFonts w:ascii="Arial" w:hAnsi="Arial" w:cs="Arial"/>
          <w:sz w:val="24"/>
          <w:szCs w:val="24"/>
          <w:lang w:val="en"/>
        </w:rPr>
        <w:t xml:space="preserve"> new</w:t>
      </w:r>
      <w:r w:rsidR="00641E06" w:rsidRPr="00163252">
        <w:rPr>
          <w:rFonts w:ascii="Arial" w:hAnsi="Arial" w:cs="Arial"/>
          <w:sz w:val="24"/>
          <w:szCs w:val="24"/>
          <w:lang w:val="en"/>
        </w:rPr>
        <w:t xml:space="preserve"> prospect </w:t>
      </w:r>
      <w:r w:rsidRPr="00163252">
        <w:rPr>
          <w:rFonts w:ascii="Arial" w:hAnsi="Arial" w:cs="Arial"/>
          <w:sz w:val="24"/>
          <w:szCs w:val="24"/>
          <w:lang w:val="en"/>
        </w:rPr>
        <w:t>defined in the same play</w:t>
      </w:r>
      <w:r w:rsidR="00986E44" w:rsidRPr="00163252">
        <w:rPr>
          <w:rFonts w:ascii="Arial" w:hAnsi="Arial" w:cs="Arial"/>
          <w:sz w:val="24"/>
          <w:szCs w:val="24"/>
          <w:lang w:val="en"/>
        </w:rPr>
        <w:t xml:space="preserve"> to </w:t>
      </w:r>
      <w:r w:rsidR="0044190D" w:rsidRPr="00163252">
        <w:rPr>
          <w:rFonts w:ascii="Arial" w:hAnsi="Arial" w:cs="Arial"/>
          <w:sz w:val="24"/>
          <w:szCs w:val="24"/>
          <w:lang w:val="en"/>
        </w:rPr>
        <w:t xml:space="preserve">have </w:t>
      </w:r>
      <w:r w:rsidRPr="00163252">
        <w:rPr>
          <w:rFonts w:ascii="Arial" w:hAnsi="Arial" w:cs="Arial"/>
          <w:sz w:val="24"/>
          <w:szCs w:val="24"/>
          <w:lang w:val="en"/>
        </w:rPr>
        <w:t>a different (and probably significantly lower) chance of success, not represented by the existing historic data</w:t>
      </w:r>
      <w:r w:rsidR="0044190D" w:rsidRPr="00163252">
        <w:rPr>
          <w:rFonts w:ascii="Arial" w:hAnsi="Arial" w:cs="Arial"/>
          <w:sz w:val="24"/>
          <w:szCs w:val="24"/>
          <w:lang w:val="en"/>
        </w:rPr>
        <w:t>. T</w:t>
      </w:r>
      <w:r w:rsidR="00986E44" w:rsidRPr="00163252">
        <w:rPr>
          <w:rFonts w:ascii="Arial" w:hAnsi="Arial" w:cs="Arial"/>
          <w:sz w:val="24"/>
          <w:szCs w:val="24"/>
          <w:lang w:val="en"/>
        </w:rPr>
        <w:t>his is a good example where past statistics are not a good guide to future performance</w:t>
      </w:r>
      <w:r w:rsidR="003443D1" w:rsidRPr="00163252">
        <w:rPr>
          <w:rFonts w:ascii="Arial" w:hAnsi="Arial" w:cs="Arial"/>
          <w:sz w:val="24"/>
          <w:szCs w:val="24"/>
          <w:lang w:val="en"/>
        </w:rPr>
        <w:t>.</w:t>
      </w:r>
    </w:p>
    <w:p w:rsidR="00727FA6" w:rsidRPr="00163252" w:rsidRDefault="00727FA6" w:rsidP="00FF443D">
      <w:pPr>
        <w:rPr>
          <w:rFonts w:ascii="Arial" w:hAnsi="Arial" w:cs="Arial"/>
          <w:b/>
          <w:sz w:val="24"/>
          <w:szCs w:val="24"/>
          <w:lang w:val="en"/>
        </w:rPr>
      </w:pPr>
      <w:r w:rsidRPr="00163252">
        <w:rPr>
          <w:rFonts w:ascii="Arial" w:hAnsi="Arial" w:cs="Arial"/>
          <w:b/>
          <w:sz w:val="24"/>
          <w:szCs w:val="24"/>
          <w:lang w:val="en"/>
        </w:rPr>
        <w:t>Sense check</w:t>
      </w:r>
    </w:p>
    <w:p w:rsidR="00857BD1" w:rsidRDefault="00727FA6" w:rsidP="00FF443D">
      <w:pPr>
        <w:rPr>
          <w:rFonts w:ascii="Arial" w:hAnsi="Arial" w:cs="Arial"/>
          <w:sz w:val="24"/>
          <w:szCs w:val="24"/>
          <w:lang w:val="en"/>
        </w:rPr>
      </w:pPr>
      <w:r w:rsidRPr="00163252">
        <w:rPr>
          <w:rFonts w:ascii="Arial" w:hAnsi="Arial" w:cs="Arial"/>
          <w:sz w:val="24"/>
          <w:szCs w:val="24"/>
          <w:lang w:val="en"/>
        </w:rPr>
        <w:t xml:space="preserve">So far we have set out how to obtain the most appropriate estimate of Pg based </w:t>
      </w:r>
      <w:r w:rsidR="00857BD1">
        <w:rPr>
          <w:rFonts w:ascii="Arial" w:hAnsi="Arial" w:cs="Arial"/>
          <w:sz w:val="24"/>
          <w:szCs w:val="24"/>
          <w:lang w:val="en"/>
        </w:rPr>
        <w:t xml:space="preserve">only </w:t>
      </w:r>
      <w:r w:rsidRPr="00163252">
        <w:rPr>
          <w:rFonts w:ascii="Arial" w:hAnsi="Arial" w:cs="Arial"/>
          <w:sz w:val="24"/>
          <w:szCs w:val="24"/>
          <w:lang w:val="en"/>
        </w:rPr>
        <w:t>on the local success/failure statistics</w:t>
      </w:r>
      <w:r w:rsidR="00857BD1">
        <w:rPr>
          <w:rFonts w:ascii="Arial" w:hAnsi="Arial" w:cs="Arial"/>
          <w:sz w:val="24"/>
          <w:szCs w:val="24"/>
          <w:lang w:val="en"/>
        </w:rPr>
        <w:t xml:space="preserve"> within the same play as the undrilled prospect.</w:t>
      </w:r>
    </w:p>
    <w:p w:rsidR="00857BD1" w:rsidRDefault="00270C60" w:rsidP="00FF443D">
      <w:pPr>
        <w:rPr>
          <w:rFonts w:ascii="Arial" w:hAnsi="Arial" w:cs="Arial"/>
          <w:sz w:val="24"/>
          <w:szCs w:val="24"/>
          <w:lang w:val="en"/>
        </w:rPr>
      </w:pPr>
      <w:r>
        <w:rPr>
          <w:rFonts w:ascii="Arial" w:hAnsi="Arial" w:cs="Arial"/>
          <w:sz w:val="24"/>
          <w:szCs w:val="24"/>
          <w:lang w:val="en"/>
        </w:rPr>
        <w:t xml:space="preserve">However, it would be a mistake to only take local success/failure data within the play into consideration; our judgement should also take into consideration all relevant data from around the global. This may be particularly important if our local data is </w:t>
      </w:r>
      <w:r w:rsidR="00696EA5">
        <w:rPr>
          <w:rFonts w:ascii="Arial" w:hAnsi="Arial" w:cs="Arial"/>
          <w:sz w:val="24"/>
          <w:szCs w:val="24"/>
          <w:lang w:val="en"/>
        </w:rPr>
        <w:t xml:space="preserve">not compelling (e.g., it is </w:t>
      </w:r>
      <w:r>
        <w:rPr>
          <w:rFonts w:ascii="Arial" w:hAnsi="Arial" w:cs="Arial"/>
          <w:sz w:val="24"/>
          <w:szCs w:val="24"/>
          <w:lang w:val="en"/>
        </w:rPr>
        <w:t xml:space="preserve">sparse or of questionable </w:t>
      </w:r>
      <w:r w:rsidR="00696EA5">
        <w:rPr>
          <w:rFonts w:ascii="Arial" w:hAnsi="Arial" w:cs="Arial"/>
          <w:sz w:val="24"/>
          <w:szCs w:val="24"/>
          <w:lang w:val="en"/>
        </w:rPr>
        <w:t xml:space="preserve">reliability or </w:t>
      </w:r>
      <w:r>
        <w:rPr>
          <w:rFonts w:ascii="Arial" w:hAnsi="Arial" w:cs="Arial"/>
          <w:sz w:val="24"/>
          <w:szCs w:val="24"/>
          <w:lang w:val="en"/>
        </w:rPr>
        <w:t>relevance</w:t>
      </w:r>
      <w:r w:rsidR="00696EA5">
        <w:rPr>
          <w:rFonts w:ascii="Arial" w:hAnsi="Arial" w:cs="Arial"/>
          <w:sz w:val="24"/>
          <w:szCs w:val="24"/>
          <w:lang w:val="en"/>
        </w:rPr>
        <w:t>)</w:t>
      </w:r>
      <w:r>
        <w:rPr>
          <w:rFonts w:ascii="Arial" w:hAnsi="Arial" w:cs="Arial"/>
          <w:sz w:val="24"/>
          <w:szCs w:val="24"/>
          <w:lang w:val="en"/>
        </w:rPr>
        <w:t>, but we have a good global data set which informs our judgement.</w:t>
      </w:r>
    </w:p>
    <w:p w:rsidR="00696EA5" w:rsidRDefault="00696EA5" w:rsidP="00FF443D">
      <w:pPr>
        <w:rPr>
          <w:rFonts w:ascii="Arial" w:hAnsi="Arial" w:cs="Arial"/>
          <w:sz w:val="24"/>
          <w:szCs w:val="24"/>
          <w:lang w:val="en"/>
        </w:rPr>
      </w:pPr>
      <w:r>
        <w:rPr>
          <w:rFonts w:ascii="Arial" w:hAnsi="Arial" w:cs="Arial"/>
          <w:sz w:val="24"/>
          <w:szCs w:val="24"/>
          <w:lang w:val="en"/>
        </w:rPr>
        <w:t xml:space="preserve">Clearly, if the local data are abundant and of high relevance to our prospect, our estimate of the chance of success should be dominantly based on that local data; but we need a method for constraining the local estimate with global data. Figure 9 shows a simple nomogram method which could facilitate this task. </w:t>
      </w:r>
    </w:p>
    <w:p w:rsidR="00624A3C" w:rsidRDefault="00624A3C" w:rsidP="00FF443D">
      <w:pPr>
        <w:rPr>
          <w:rFonts w:ascii="Arial" w:hAnsi="Arial" w:cs="Arial"/>
          <w:sz w:val="24"/>
          <w:szCs w:val="24"/>
          <w:lang w:val="en"/>
        </w:rPr>
      </w:pPr>
      <w:r w:rsidRPr="00624A3C">
        <w:drawing>
          <wp:inline distT="0" distB="0" distL="0" distR="0" wp14:anchorId="77C9FE57" wp14:editId="1B2F5189">
            <wp:extent cx="5731510" cy="2428544"/>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31510" cy="2428544"/>
                    </a:xfrm>
                    <a:prstGeom prst="rect">
                      <a:avLst/>
                    </a:prstGeom>
                  </pic:spPr>
                </pic:pic>
              </a:graphicData>
            </a:graphic>
          </wp:inline>
        </w:drawing>
      </w:r>
    </w:p>
    <w:p w:rsidR="00DD798A" w:rsidRPr="0008211B" w:rsidRDefault="00DD798A" w:rsidP="00DD798A">
      <w:pPr>
        <w:rPr>
          <w:rFonts w:ascii="Arial" w:hAnsi="Arial" w:cs="Arial"/>
          <w:i/>
          <w:sz w:val="24"/>
          <w:szCs w:val="24"/>
          <w:u w:val="single"/>
          <w:lang w:val="en"/>
        </w:rPr>
      </w:pPr>
      <w:r w:rsidRPr="00282072">
        <w:rPr>
          <w:rFonts w:ascii="Arial" w:hAnsi="Arial" w:cs="Arial"/>
          <w:i/>
          <w:sz w:val="24"/>
          <w:szCs w:val="24"/>
          <w:u w:val="single"/>
          <w:lang w:val="en"/>
        </w:rPr>
        <w:t>Figure 9 Simple nomogram used as a sense check to moderate statistical prediction based on limited local data</w:t>
      </w:r>
      <w:r>
        <w:rPr>
          <w:rFonts w:ascii="Arial" w:hAnsi="Arial" w:cs="Arial"/>
          <w:i/>
          <w:sz w:val="24"/>
          <w:szCs w:val="24"/>
          <w:u w:val="single"/>
          <w:lang w:val="en"/>
        </w:rPr>
        <w:t xml:space="preserve">. See article text for explanation. Inset map of global stratigraphic trap data is from </w:t>
      </w:r>
      <w:proofErr w:type="spellStart"/>
      <w:r>
        <w:rPr>
          <w:rFonts w:ascii="Arial" w:hAnsi="Arial" w:cs="Arial"/>
          <w:i/>
          <w:sz w:val="24"/>
          <w:szCs w:val="24"/>
          <w:u w:val="single"/>
          <w:lang w:val="en"/>
        </w:rPr>
        <w:t>Binns</w:t>
      </w:r>
      <w:proofErr w:type="spellEnd"/>
      <w:r>
        <w:rPr>
          <w:rFonts w:ascii="Arial" w:hAnsi="Arial" w:cs="Arial"/>
          <w:i/>
          <w:sz w:val="24"/>
          <w:szCs w:val="24"/>
          <w:u w:val="single"/>
          <w:lang w:val="en"/>
        </w:rPr>
        <w:t xml:space="preserve"> (2006).</w:t>
      </w:r>
    </w:p>
    <w:p w:rsidR="00624A3C" w:rsidRDefault="00624A3C" w:rsidP="00FF443D">
      <w:pPr>
        <w:rPr>
          <w:rFonts w:ascii="Arial" w:hAnsi="Arial" w:cs="Arial"/>
          <w:sz w:val="24"/>
          <w:szCs w:val="24"/>
          <w:lang w:val="en"/>
        </w:rPr>
      </w:pPr>
    </w:p>
    <w:p w:rsidR="00696EA5" w:rsidRDefault="00696EA5" w:rsidP="00FF443D">
      <w:pPr>
        <w:rPr>
          <w:rFonts w:ascii="Arial" w:hAnsi="Arial" w:cs="Arial"/>
          <w:sz w:val="24"/>
          <w:szCs w:val="24"/>
          <w:lang w:val="en"/>
        </w:rPr>
      </w:pPr>
      <w:r>
        <w:rPr>
          <w:rFonts w:ascii="Arial" w:hAnsi="Arial" w:cs="Arial"/>
          <w:sz w:val="24"/>
          <w:szCs w:val="24"/>
          <w:lang w:val="en"/>
        </w:rPr>
        <w:t xml:space="preserve">The upper part of the plot is a </w:t>
      </w:r>
      <w:proofErr w:type="spellStart"/>
      <w:r>
        <w:rPr>
          <w:rFonts w:ascii="Arial" w:hAnsi="Arial" w:cs="Arial"/>
          <w:sz w:val="24"/>
          <w:szCs w:val="24"/>
          <w:lang w:val="en"/>
        </w:rPr>
        <w:t>crossplot</w:t>
      </w:r>
      <w:proofErr w:type="spellEnd"/>
      <w:r>
        <w:rPr>
          <w:rFonts w:ascii="Arial" w:hAnsi="Arial" w:cs="Arial"/>
          <w:sz w:val="24"/>
          <w:szCs w:val="24"/>
          <w:lang w:val="en"/>
        </w:rPr>
        <w:t xml:space="preserve"> of the apparent frequency (or apparent chance) of success (on the x-axis), against the quality of the local data (on the y-</w:t>
      </w:r>
      <w:r>
        <w:rPr>
          <w:rFonts w:ascii="Arial" w:hAnsi="Arial" w:cs="Arial"/>
          <w:sz w:val="24"/>
          <w:szCs w:val="24"/>
          <w:lang w:val="en"/>
        </w:rPr>
        <w:lastRenderedPageBreak/>
        <w:t xml:space="preserve">axis). The frequency of success from global data (point a) and the predicted chance of success from local data alone (point b) are posted at the top and bottom of this chart. </w:t>
      </w:r>
      <w:r w:rsidR="002C3AC7">
        <w:rPr>
          <w:rFonts w:ascii="Arial" w:hAnsi="Arial" w:cs="Arial"/>
          <w:sz w:val="24"/>
          <w:szCs w:val="24"/>
          <w:lang w:val="en"/>
        </w:rPr>
        <w:t>We make a</w:t>
      </w:r>
      <w:r>
        <w:rPr>
          <w:rFonts w:ascii="Arial" w:hAnsi="Arial" w:cs="Arial"/>
          <w:sz w:val="24"/>
          <w:szCs w:val="24"/>
          <w:lang w:val="en"/>
        </w:rPr>
        <w:t xml:space="preserve"> judgement of the quality of the local data</w:t>
      </w:r>
      <w:r w:rsidR="002C3AC7">
        <w:rPr>
          <w:rFonts w:ascii="Arial" w:hAnsi="Arial" w:cs="Arial"/>
          <w:sz w:val="24"/>
          <w:szCs w:val="24"/>
          <w:lang w:val="en"/>
        </w:rPr>
        <w:t>, relative to the global data (point c). The intersection with line a-b gives a sense-checked estimate of the local chance of success (point d), so that if the local data are strong (abundant, high quality</w:t>
      </w:r>
      <w:proofErr w:type="gramStart"/>
      <w:r w:rsidR="002C3AC7">
        <w:rPr>
          <w:rFonts w:ascii="Arial" w:hAnsi="Arial" w:cs="Arial"/>
          <w:sz w:val="24"/>
          <w:szCs w:val="24"/>
          <w:lang w:val="en"/>
        </w:rPr>
        <w:t>) ,</w:t>
      </w:r>
      <w:proofErr w:type="gramEnd"/>
      <w:r w:rsidR="002C3AC7">
        <w:rPr>
          <w:rFonts w:ascii="Arial" w:hAnsi="Arial" w:cs="Arial"/>
          <w:sz w:val="24"/>
          <w:szCs w:val="24"/>
          <w:lang w:val="en"/>
        </w:rPr>
        <w:t xml:space="preserve"> the prediction will be close to the local data, but if the local data are weak (spares, poor quality) the prediction will fall closer to the global value.</w:t>
      </w:r>
    </w:p>
    <w:p w:rsidR="002C3AC7" w:rsidRDefault="002C3AC7" w:rsidP="00FF443D">
      <w:pPr>
        <w:rPr>
          <w:rFonts w:ascii="Arial" w:hAnsi="Arial" w:cs="Arial"/>
          <w:sz w:val="24"/>
          <w:szCs w:val="24"/>
          <w:lang w:val="en"/>
        </w:rPr>
      </w:pPr>
      <w:r>
        <w:rPr>
          <w:rFonts w:ascii="Arial" w:hAnsi="Arial" w:cs="Arial"/>
          <w:sz w:val="24"/>
          <w:szCs w:val="24"/>
          <w:lang w:val="en"/>
        </w:rPr>
        <w:t xml:space="preserve">As an example, we can consider the chance of success of the lateral trapping component of a prospect which is a stratigraphic trap. In this notional example, there are only two local tests in the play, both successful; using the method set out previously, we would predict a chance of success (point b in figure 9) from these statistics of 0.75. We would, however be concerned that this estimate was based on a very small sample. </w:t>
      </w:r>
    </w:p>
    <w:p w:rsidR="002C3AC7" w:rsidRDefault="002C3AC7" w:rsidP="00FF443D">
      <w:pPr>
        <w:rPr>
          <w:rFonts w:ascii="Arial" w:hAnsi="Arial" w:cs="Arial"/>
          <w:sz w:val="24"/>
          <w:szCs w:val="24"/>
          <w:lang w:val="en"/>
        </w:rPr>
      </w:pPr>
      <w:r>
        <w:rPr>
          <w:rFonts w:ascii="Arial" w:hAnsi="Arial" w:cs="Arial"/>
          <w:sz w:val="24"/>
          <w:szCs w:val="24"/>
          <w:lang w:val="en"/>
        </w:rPr>
        <w:t xml:space="preserve">If we consult a global data set describing </w:t>
      </w:r>
      <w:r w:rsidR="00CA5F11">
        <w:rPr>
          <w:rFonts w:ascii="Arial" w:hAnsi="Arial" w:cs="Arial"/>
          <w:sz w:val="24"/>
          <w:szCs w:val="24"/>
          <w:lang w:val="en"/>
        </w:rPr>
        <w:t xml:space="preserve">the success rates of </w:t>
      </w:r>
      <w:r>
        <w:rPr>
          <w:rFonts w:ascii="Arial" w:hAnsi="Arial" w:cs="Arial"/>
          <w:sz w:val="24"/>
          <w:szCs w:val="24"/>
          <w:lang w:val="en"/>
        </w:rPr>
        <w:t>stratigraphic trap</w:t>
      </w:r>
      <w:r w:rsidR="00CA5F11">
        <w:rPr>
          <w:rFonts w:ascii="Arial" w:hAnsi="Arial" w:cs="Arial"/>
          <w:sz w:val="24"/>
          <w:szCs w:val="24"/>
          <w:lang w:val="en"/>
        </w:rPr>
        <w:t>s using a much larger data set</w:t>
      </w:r>
      <w:r>
        <w:rPr>
          <w:rFonts w:ascii="Arial" w:hAnsi="Arial" w:cs="Arial"/>
          <w:sz w:val="24"/>
          <w:szCs w:val="24"/>
          <w:lang w:val="en"/>
        </w:rPr>
        <w:t xml:space="preserve"> (e.g. </w:t>
      </w:r>
      <w:proofErr w:type="spellStart"/>
      <w:r>
        <w:rPr>
          <w:rFonts w:ascii="Arial" w:hAnsi="Arial" w:cs="Arial"/>
          <w:sz w:val="24"/>
          <w:szCs w:val="24"/>
          <w:lang w:val="en"/>
        </w:rPr>
        <w:t>Binns</w:t>
      </w:r>
      <w:proofErr w:type="spellEnd"/>
      <w:r>
        <w:rPr>
          <w:rFonts w:ascii="Arial" w:hAnsi="Arial" w:cs="Arial"/>
          <w:sz w:val="24"/>
          <w:szCs w:val="24"/>
          <w:lang w:val="en"/>
        </w:rPr>
        <w:t xml:space="preserve">, </w:t>
      </w:r>
      <w:r w:rsidR="00F331D8">
        <w:rPr>
          <w:rFonts w:ascii="Arial" w:hAnsi="Arial" w:cs="Arial"/>
          <w:sz w:val="24"/>
          <w:szCs w:val="24"/>
          <w:lang w:val="en"/>
        </w:rPr>
        <w:t xml:space="preserve">2006) we might discover that the global success rate for </w:t>
      </w:r>
      <w:r w:rsidR="00CA5F11">
        <w:rPr>
          <w:rFonts w:ascii="Arial" w:hAnsi="Arial" w:cs="Arial"/>
          <w:sz w:val="24"/>
          <w:szCs w:val="24"/>
          <w:lang w:val="en"/>
        </w:rPr>
        <w:t xml:space="preserve">the type of trap edge seen in our prospect is only 0.2. </w:t>
      </w:r>
    </w:p>
    <w:p w:rsidR="00CA5F11" w:rsidRDefault="00CA5F11" w:rsidP="00FF443D">
      <w:pPr>
        <w:rPr>
          <w:rFonts w:ascii="Arial" w:hAnsi="Arial" w:cs="Arial"/>
          <w:sz w:val="24"/>
          <w:szCs w:val="24"/>
          <w:lang w:val="en"/>
        </w:rPr>
      </w:pPr>
      <w:r>
        <w:rPr>
          <w:rFonts w:ascii="Arial" w:hAnsi="Arial" w:cs="Arial"/>
          <w:sz w:val="24"/>
          <w:szCs w:val="24"/>
          <w:lang w:val="en"/>
        </w:rPr>
        <w:t>We would then make a judgement of the relative quality of the local vs. the global data (point c in Figure 9), and in this example, we might judge that the sense-checked chance of success (point d) should fall in the range 0.35 to 0.4, significantly lower than the estimate we would obtain using only the local data.</w:t>
      </w:r>
    </w:p>
    <w:p w:rsidR="00CA5F11" w:rsidRDefault="002D39DB" w:rsidP="00FF443D">
      <w:pPr>
        <w:rPr>
          <w:rFonts w:ascii="Arial" w:hAnsi="Arial" w:cs="Arial"/>
          <w:sz w:val="24"/>
          <w:szCs w:val="24"/>
          <w:lang w:val="en"/>
        </w:rPr>
      </w:pPr>
      <w:r>
        <w:rPr>
          <w:rFonts w:ascii="Arial" w:hAnsi="Arial" w:cs="Arial"/>
          <w:sz w:val="24"/>
          <w:szCs w:val="24"/>
          <w:lang w:val="en"/>
        </w:rPr>
        <w:t>This method may not be strictly correct, in that a rigorous combination of global data and local information may require Bayesian or other methods of computation, but we consider that it is an efficient method which should be appropriate for most prospects.</w:t>
      </w:r>
    </w:p>
    <w:p w:rsidR="00CA5F11" w:rsidRDefault="00CA5F11" w:rsidP="00FF443D">
      <w:pPr>
        <w:rPr>
          <w:rFonts w:ascii="Arial" w:hAnsi="Arial" w:cs="Arial"/>
          <w:sz w:val="24"/>
          <w:szCs w:val="24"/>
          <w:lang w:val="en"/>
        </w:rPr>
      </w:pPr>
    </w:p>
    <w:p w:rsidR="00727FA6" w:rsidRPr="00163252" w:rsidRDefault="00727FA6" w:rsidP="00163252">
      <w:pPr>
        <w:rPr>
          <w:rFonts w:ascii="Arial" w:hAnsi="Arial" w:cs="Arial"/>
          <w:sz w:val="24"/>
          <w:szCs w:val="24"/>
          <w:lang w:val="en"/>
        </w:rPr>
      </w:pPr>
    </w:p>
    <w:p w:rsidR="00703DD7" w:rsidRPr="00163252" w:rsidRDefault="0044190D" w:rsidP="00FF443D">
      <w:pPr>
        <w:rPr>
          <w:rFonts w:ascii="Arial" w:hAnsi="Arial" w:cs="Arial"/>
          <w:b/>
          <w:sz w:val="24"/>
          <w:szCs w:val="24"/>
          <w:lang w:val="en"/>
        </w:rPr>
      </w:pPr>
      <w:r w:rsidRPr="00163252">
        <w:rPr>
          <w:rFonts w:ascii="Arial" w:hAnsi="Arial" w:cs="Arial"/>
          <w:b/>
          <w:sz w:val="24"/>
          <w:szCs w:val="24"/>
          <w:lang w:val="en"/>
        </w:rPr>
        <w:t>Conclusions</w:t>
      </w:r>
    </w:p>
    <w:p w:rsidR="0044190D" w:rsidRPr="00163252" w:rsidRDefault="0044190D" w:rsidP="00FF443D">
      <w:pPr>
        <w:rPr>
          <w:rFonts w:ascii="Arial" w:hAnsi="Arial" w:cs="Arial"/>
          <w:sz w:val="24"/>
          <w:szCs w:val="24"/>
          <w:lang w:val="en"/>
        </w:rPr>
      </w:pPr>
      <w:r w:rsidRPr="00163252">
        <w:rPr>
          <w:rFonts w:ascii="Arial" w:hAnsi="Arial" w:cs="Arial"/>
          <w:sz w:val="24"/>
          <w:szCs w:val="24"/>
          <w:lang w:val="en"/>
        </w:rPr>
        <w:t>Past success/failure frequency can provide a valuable tool for predicting future chance of success, but the raw frequency should be modified arithmetically in order to translate it into a prediction, particularly where the sample size is small or where it consists mostly (or entirely) of successes or failures.</w:t>
      </w:r>
    </w:p>
    <w:p w:rsidR="0040007B" w:rsidRDefault="0044190D" w:rsidP="00FF443D">
      <w:pPr>
        <w:rPr>
          <w:rFonts w:ascii="Arial" w:hAnsi="Arial" w:cs="Arial"/>
          <w:sz w:val="24"/>
          <w:szCs w:val="24"/>
          <w:lang w:val="en"/>
        </w:rPr>
      </w:pPr>
      <w:r w:rsidRPr="00163252">
        <w:rPr>
          <w:rFonts w:ascii="Arial" w:hAnsi="Arial" w:cs="Arial"/>
          <w:sz w:val="24"/>
          <w:szCs w:val="24"/>
          <w:lang w:val="en"/>
        </w:rPr>
        <w:t xml:space="preserve">The appropriate conversion can be simply calculated and it is presented here as a table for values of n (sample size) up to 11. </w:t>
      </w:r>
      <w:r w:rsidR="0040007B">
        <w:rPr>
          <w:rFonts w:ascii="Arial" w:hAnsi="Arial" w:cs="Arial"/>
          <w:sz w:val="24"/>
          <w:szCs w:val="24"/>
          <w:lang w:val="en"/>
        </w:rPr>
        <w:t xml:space="preserve">For larger sample sizes, the difference between </w:t>
      </w:r>
      <w:r w:rsidR="0040007B" w:rsidRPr="00A25969">
        <w:rPr>
          <w:rFonts w:ascii="Arial" w:hAnsi="Arial" w:cs="Arial"/>
          <w:sz w:val="24"/>
          <w:szCs w:val="24"/>
          <w:lang w:val="en"/>
        </w:rPr>
        <w:t>simple past frequency and the calculated future chance is small</w:t>
      </w:r>
      <w:r w:rsidR="0040007B">
        <w:rPr>
          <w:rFonts w:ascii="Arial" w:hAnsi="Arial" w:cs="Arial"/>
          <w:sz w:val="24"/>
          <w:szCs w:val="24"/>
          <w:lang w:val="en"/>
        </w:rPr>
        <w:t>, and while it would be advisable to use the corrected value, calculated using the Rule of Succession, the difference (&lt;0.05) probably falls within an acceptable margin of error.</w:t>
      </w:r>
    </w:p>
    <w:p w:rsidR="0080683F" w:rsidRPr="00163252" w:rsidRDefault="0080683F" w:rsidP="00FF443D">
      <w:pPr>
        <w:rPr>
          <w:rFonts w:ascii="Arial" w:hAnsi="Arial" w:cs="Arial"/>
          <w:sz w:val="24"/>
          <w:szCs w:val="24"/>
          <w:lang w:val="en"/>
        </w:rPr>
      </w:pPr>
      <w:r w:rsidRPr="00163252">
        <w:rPr>
          <w:rFonts w:ascii="Arial" w:hAnsi="Arial" w:cs="Arial"/>
          <w:sz w:val="24"/>
          <w:szCs w:val="24"/>
          <w:lang w:val="en"/>
        </w:rPr>
        <w:lastRenderedPageBreak/>
        <w:t>Past performance statistics may be used as a guide for predicting the chance of success of the prospect as a whole (Pg) or the chance of success of an individual component of prospect risk.</w:t>
      </w:r>
    </w:p>
    <w:p w:rsidR="0080683F" w:rsidRPr="00163252" w:rsidRDefault="0080683F" w:rsidP="00FF443D">
      <w:pPr>
        <w:rPr>
          <w:rFonts w:ascii="Arial" w:hAnsi="Arial" w:cs="Arial"/>
          <w:sz w:val="24"/>
          <w:szCs w:val="24"/>
          <w:lang w:val="en"/>
        </w:rPr>
      </w:pPr>
      <w:r w:rsidRPr="00163252">
        <w:rPr>
          <w:rFonts w:ascii="Arial" w:hAnsi="Arial" w:cs="Arial"/>
          <w:sz w:val="24"/>
          <w:szCs w:val="24"/>
          <w:lang w:val="en"/>
        </w:rPr>
        <w:t>Past success/failure statistics may provide a valid method for estimating future Pg if the data set consists of sample</w:t>
      </w:r>
      <w:r w:rsidR="00434019">
        <w:rPr>
          <w:rFonts w:ascii="Arial" w:hAnsi="Arial" w:cs="Arial"/>
          <w:sz w:val="24"/>
          <w:szCs w:val="24"/>
          <w:lang w:val="en"/>
        </w:rPr>
        <w:t>s</w:t>
      </w:r>
      <w:r w:rsidRPr="00163252">
        <w:rPr>
          <w:rFonts w:ascii="Arial" w:hAnsi="Arial" w:cs="Arial"/>
          <w:sz w:val="24"/>
          <w:szCs w:val="24"/>
          <w:lang w:val="en"/>
        </w:rPr>
        <w:t xml:space="preserve"> which we believe are analogous to the undrilled prospects, and if they do not come from a pool of opportunities which has been selectively “cherry picked” by the well tests. Common scenarios in which such conditions may apply include the new release of acreage which has previously been undrillable (due to technical or political reasons) adjacent to acreage from which the sample is taken.</w:t>
      </w:r>
    </w:p>
    <w:p w:rsidR="0080683F" w:rsidRPr="00163252" w:rsidRDefault="0080683F" w:rsidP="00FF443D">
      <w:pPr>
        <w:rPr>
          <w:rFonts w:ascii="Arial" w:hAnsi="Arial" w:cs="Arial"/>
          <w:b/>
          <w:sz w:val="24"/>
          <w:szCs w:val="24"/>
          <w:lang w:val="en"/>
        </w:rPr>
      </w:pPr>
      <w:r w:rsidRPr="00163252">
        <w:rPr>
          <w:rFonts w:ascii="Arial" w:hAnsi="Arial" w:cs="Arial"/>
          <w:b/>
          <w:sz w:val="24"/>
          <w:szCs w:val="24"/>
          <w:lang w:val="en"/>
        </w:rPr>
        <w:t>Acknowledgements</w:t>
      </w:r>
    </w:p>
    <w:p w:rsidR="00CF6EFC" w:rsidRPr="00163252" w:rsidRDefault="00CF6EFC" w:rsidP="00FF443D">
      <w:pPr>
        <w:rPr>
          <w:rFonts w:ascii="Arial" w:hAnsi="Arial" w:cs="Arial"/>
          <w:sz w:val="24"/>
          <w:szCs w:val="24"/>
        </w:rPr>
      </w:pPr>
      <w:r w:rsidRPr="00163252">
        <w:rPr>
          <w:rFonts w:ascii="Arial" w:hAnsi="Arial" w:cs="Arial"/>
          <w:sz w:val="24"/>
          <w:szCs w:val="24"/>
        </w:rPr>
        <w:t xml:space="preserve">The authors gratefully acknowledge support for Frank Peel by NERC, the UK Natural Environment Research Council. </w:t>
      </w:r>
      <w:r w:rsidR="007618A6">
        <w:rPr>
          <w:rFonts w:ascii="Arial" w:hAnsi="Arial" w:cs="Arial"/>
          <w:sz w:val="24"/>
          <w:szCs w:val="24"/>
        </w:rPr>
        <w:t xml:space="preserve">The authors are grateful to William Hill, Gary </w:t>
      </w:r>
      <w:proofErr w:type="spellStart"/>
      <w:r w:rsidR="007618A6">
        <w:rPr>
          <w:rFonts w:ascii="Arial" w:hAnsi="Arial" w:cs="Arial"/>
          <w:sz w:val="24"/>
          <w:szCs w:val="24"/>
        </w:rPr>
        <w:t>Prost</w:t>
      </w:r>
      <w:proofErr w:type="spellEnd"/>
      <w:r w:rsidR="007618A6">
        <w:rPr>
          <w:rFonts w:ascii="Arial" w:hAnsi="Arial" w:cs="Arial"/>
          <w:sz w:val="24"/>
          <w:szCs w:val="24"/>
        </w:rPr>
        <w:t xml:space="preserve"> and Dale </w:t>
      </w:r>
      <w:proofErr w:type="spellStart"/>
      <w:r w:rsidR="007618A6">
        <w:rPr>
          <w:rFonts w:ascii="Arial" w:hAnsi="Arial" w:cs="Arial"/>
          <w:sz w:val="24"/>
          <w:szCs w:val="24"/>
        </w:rPr>
        <w:t>Leckie</w:t>
      </w:r>
      <w:proofErr w:type="spellEnd"/>
      <w:r w:rsidR="007618A6">
        <w:rPr>
          <w:rFonts w:ascii="Arial" w:hAnsi="Arial" w:cs="Arial"/>
          <w:sz w:val="24"/>
          <w:szCs w:val="24"/>
        </w:rPr>
        <w:t xml:space="preserve"> for constructive reviews which greatly improved the article.</w:t>
      </w:r>
    </w:p>
    <w:p w:rsidR="00466E46" w:rsidRPr="00163252" w:rsidRDefault="00466E46" w:rsidP="00FF443D">
      <w:pPr>
        <w:rPr>
          <w:rFonts w:ascii="Arial" w:hAnsi="Arial" w:cs="Arial"/>
          <w:b/>
          <w:sz w:val="24"/>
          <w:szCs w:val="24"/>
          <w:lang w:val="en"/>
        </w:rPr>
      </w:pPr>
      <w:r w:rsidRPr="00163252">
        <w:rPr>
          <w:rFonts w:ascii="Arial" w:hAnsi="Arial" w:cs="Arial"/>
          <w:b/>
          <w:sz w:val="24"/>
          <w:szCs w:val="24"/>
          <w:lang w:val="en"/>
        </w:rPr>
        <w:t>Appendix: method used to calculate Table 1</w:t>
      </w:r>
    </w:p>
    <w:p w:rsidR="00466E46" w:rsidRPr="00163252" w:rsidRDefault="00466E46" w:rsidP="00FF443D">
      <w:pPr>
        <w:rPr>
          <w:rFonts w:ascii="Arial" w:hAnsi="Arial" w:cs="Arial"/>
          <w:sz w:val="24"/>
          <w:szCs w:val="24"/>
          <w:lang w:val="en"/>
        </w:rPr>
      </w:pPr>
      <w:r w:rsidRPr="00163252">
        <w:rPr>
          <w:rFonts w:ascii="Arial" w:hAnsi="Arial" w:cs="Arial"/>
          <w:sz w:val="24"/>
          <w:szCs w:val="24"/>
          <w:lang w:val="en"/>
        </w:rPr>
        <w:t xml:space="preserve">The chance that an event of probability Pg will deliver </w:t>
      </w:r>
      <w:r w:rsidR="00B330BE" w:rsidRPr="00163252">
        <w:rPr>
          <w:rFonts w:ascii="Arial" w:hAnsi="Arial" w:cs="Arial"/>
          <w:sz w:val="24"/>
          <w:szCs w:val="24"/>
          <w:lang w:val="en"/>
        </w:rPr>
        <w:t xml:space="preserve">s </w:t>
      </w:r>
      <w:r w:rsidRPr="00163252">
        <w:rPr>
          <w:rFonts w:ascii="Arial" w:hAnsi="Arial" w:cs="Arial"/>
          <w:sz w:val="24"/>
          <w:szCs w:val="24"/>
          <w:lang w:val="en"/>
        </w:rPr>
        <w:t>successes out of n trials is given by the general binomial probability formula</w:t>
      </w:r>
      <w:r w:rsidR="00B330BE" w:rsidRPr="00163252">
        <w:rPr>
          <w:rFonts w:ascii="Arial" w:hAnsi="Arial" w:cs="Arial"/>
          <w:sz w:val="24"/>
          <w:szCs w:val="24"/>
          <w:lang w:val="en"/>
        </w:rPr>
        <w:t>, as derived by Isaac Newton</w:t>
      </w:r>
      <w:r w:rsidRPr="00163252">
        <w:rPr>
          <w:rFonts w:ascii="Arial" w:hAnsi="Arial" w:cs="Arial"/>
          <w:sz w:val="24"/>
          <w:szCs w:val="24"/>
          <w:lang w:val="en"/>
        </w:rPr>
        <w:t>:</w:t>
      </w:r>
    </w:p>
    <w:p w:rsidR="00466E46" w:rsidRPr="00163252" w:rsidRDefault="00466E46" w:rsidP="00FF443D">
      <w:pPr>
        <w:rPr>
          <w:rFonts w:ascii="Arial" w:hAnsi="Arial" w:cs="Arial"/>
          <w:sz w:val="24"/>
          <w:szCs w:val="24"/>
          <w:vertAlign w:val="superscript"/>
          <w:lang w:val="en"/>
        </w:rPr>
      </w:pPr>
      <w:proofErr w:type="gramStart"/>
      <w:r w:rsidRPr="00163252">
        <w:rPr>
          <w:rFonts w:ascii="Arial" w:hAnsi="Arial" w:cs="Arial"/>
          <w:sz w:val="24"/>
          <w:szCs w:val="24"/>
          <w:lang w:val="en"/>
        </w:rPr>
        <w:t>P(</w:t>
      </w:r>
      <w:proofErr w:type="spellStart"/>
      <w:proofErr w:type="gramEnd"/>
      <w:r w:rsidRPr="00163252">
        <w:rPr>
          <w:rFonts w:ascii="Arial" w:hAnsi="Arial" w:cs="Arial"/>
          <w:sz w:val="24"/>
          <w:szCs w:val="24"/>
          <w:lang w:val="en"/>
        </w:rPr>
        <w:t>outcome|Pg</w:t>
      </w:r>
      <w:proofErr w:type="spellEnd"/>
      <w:r w:rsidRPr="00163252">
        <w:rPr>
          <w:rFonts w:ascii="Arial" w:hAnsi="Arial" w:cs="Arial"/>
          <w:sz w:val="24"/>
          <w:szCs w:val="24"/>
          <w:lang w:val="en"/>
        </w:rPr>
        <w:t>)= P(</w:t>
      </w:r>
      <w:r w:rsidR="00B330BE" w:rsidRPr="00163252">
        <w:rPr>
          <w:rFonts w:ascii="Arial" w:hAnsi="Arial" w:cs="Arial"/>
          <w:sz w:val="24"/>
          <w:szCs w:val="24"/>
          <w:lang w:val="en"/>
        </w:rPr>
        <w:t xml:space="preserve">s </w:t>
      </w:r>
      <w:r w:rsidRPr="00163252">
        <w:rPr>
          <w:rFonts w:ascii="Arial" w:hAnsi="Arial" w:cs="Arial"/>
          <w:sz w:val="24"/>
          <w:szCs w:val="24"/>
          <w:lang w:val="en"/>
        </w:rPr>
        <w:t>out of n) = n!/[</w:t>
      </w:r>
      <w:r w:rsidR="00B330BE" w:rsidRPr="00163252">
        <w:rPr>
          <w:rFonts w:ascii="Arial" w:hAnsi="Arial" w:cs="Arial"/>
          <w:sz w:val="24"/>
          <w:szCs w:val="24"/>
          <w:lang w:val="en"/>
        </w:rPr>
        <w:t>s</w:t>
      </w:r>
      <w:r w:rsidRPr="00163252">
        <w:rPr>
          <w:rFonts w:ascii="Arial" w:hAnsi="Arial" w:cs="Arial"/>
          <w:sz w:val="24"/>
          <w:szCs w:val="24"/>
          <w:lang w:val="en"/>
        </w:rPr>
        <w:t>!(n-</w:t>
      </w:r>
      <w:r w:rsidR="00B330BE" w:rsidRPr="00163252">
        <w:rPr>
          <w:rFonts w:ascii="Arial" w:hAnsi="Arial" w:cs="Arial"/>
          <w:sz w:val="24"/>
          <w:szCs w:val="24"/>
          <w:lang w:val="en"/>
        </w:rPr>
        <w:t>s</w:t>
      </w:r>
      <w:r w:rsidRPr="00163252">
        <w:rPr>
          <w:rFonts w:ascii="Arial" w:hAnsi="Arial" w:cs="Arial"/>
          <w:sz w:val="24"/>
          <w:szCs w:val="24"/>
          <w:lang w:val="en"/>
        </w:rPr>
        <w:t xml:space="preserve">)!] * </w:t>
      </w:r>
      <w:proofErr w:type="spellStart"/>
      <w:proofErr w:type="gramStart"/>
      <w:r w:rsidR="00B330BE" w:rsidRPr="00163252">
        <w:rPr>
          <w:rFonts w:ascii="Arial" w:hAnsi="Arial" w:cs="Arial"/>
          <w:sz w:val="24"/>
          <w:szCs w:val="24"/>
          <w:lang w:val="en"/>
        </w:rPr>
        <w:t>Pg</w:t>
      </w:r>
      <w:r w:rsidR="00B330BE" w:rsidRPr="00163252">
        <w:rPr>
          <w:rFonts w:ascii="Arial" w:hAnsi="Arial" w:cs="Arial"/>
          <w:sz w:val="24"/>
          <w:szCs w:val="24"/>
          <w:vertAlign w:val="superscript"/>
          <w:lang w:val="en"/>
        </w:rPr>
        <w:t>s</w:t>
      </w:r>
      <w:proofErr w:type="spellEnd"/>
      <w:r w:rsidRPr="00163252">
        <w:rPr>
          <w:rFonts w:ascii="Arial" w:hAnsi="Arial" w:cs="Arial"/>
          <w:sz w:val="24"/>
          <w:szCs w:val="24"/>
          <w:lang w:val="en"/>
        </w:rPr>
        <w:t>(</w:t>
      </w:r>
      <w:proofErr w:type="gramEnd"/>
      <w:r w:rsidRPr="00163252">
        <w:rPr>
          <w:rFonts w:ascii="Arial" w:hAnsi="Arial" w:cs="Arial"/>
          <w:sz w:val="24"/>
          <w:szCs w:val="24"/>
          <w:lang w:val="en"/>
        </w:rPr>
        <w:t>1-Pg)</w:t>
      </w:r>
      <w:r w:rsidRPr="00163252">
        <w:rPr>
          <w:rFonts w:ascii="Arial" w:hAnsi="Arial" w:cs="Arial"/>
          <w:sz w:val="24"/>
          <w:szCs w:val="24"/>
          <w:vertAlign w:val="superscript"/>
          <w:lang w:val="en"/>
        </w:rPr>
        <w:t>(n-</w:t>
      </w:r>
      <w:r w:rsidR="00B330BE" w:rsidRPr="00163252">
        <w:rPr>
          <w:rFonts w:ascii="Arial" w:hAnsi="Arial" w:cs="Arial"/>
          <w:sz w:val="24"/>
          <w:szCs w:val="24"/>
          <w:vertAlign w:val="superscript"/>
          <w:lang w:val="en"/>
        </w:rPr>
        <w:t>s</w:t>
      </w:r>
      <w:r w:rsidRPr="00163252">
        <w:rPr>
          <w:rFonts w:ascii="Arial" w:hAnsi="Arial" w:cs="Arial"/>
          <w:sz w:val="24"/>
          <w:szCs w:val="24"/>
          <w:vertAlign w:val="superscript"/>
          <w:lang w:val="en"/>
        </w:rPr>
        <w:t>)</w:t>
      </w:r>
    </w:p>
    <w:p w:rsidR="007E554E" w:rsidRDefault="00466E46" w:rsidP="00282072">
      <w:pPr>
        <w:rPr>
          <w:rFonts w:ascii="Arial" w:hAnsi="Arial" w:cs="Arial"/>
          <w:sz w:val="24"/>
          <w:szCs w:val="24"/>
          <w:lang w:val="en"/>
        </w:rPr>
      </w:pPr>
      <w:r w:rsidRPr="00163252">
        <w:rPr>
          <w:rFonts w:ascii="Arial" w:hAnsi="Arial" w:cs="Arial"/>
          <w:sz w:val="24"/>
          <w:szCs w:val="24"/>
          <w:lang w:val="en"/>
        </w:rPr>
        <w:t xml:space="preserve">For each value </w:t>
      </w:r>
      <w:r w:rsidR="007E554E" w:rsidRPr="00163252">
        <w:rPr>
          <w:rFonts w:ascii="Arial" w:hAnsi="Arial" w:cs="Arial"/>
          <w:sz w:val="24"/>
          <w:szCs w:val="24"/>
          <w:lang w:val="en"/>
        </w:rPr>
        <w:t xml:space="preserve">of n and </w:t>
      </w:r>
      <w:proofErr w:type="spellStart"/>
      <w:r w:rsidR="00B330BE" w:rsidRPr="00163252">
        <w:rPr>
          <w:rFonts w:ascii="Arial" w:hAnsi="Arial" w:cs="Arial"/>
          <w:sz w:val="24"/>
          <w:szCs w:val="24"/>
          <w:lang w:val="en"/>
        </w:rPr>
        <w:t xml:space="preserve">s </w:t>
      </w:r>
      <w:r w:rsidR="00F97280" w:rsidRPr="00163252">
        <w:rPr>
          <w:rFonts w:ascii="Arial" w:hAnsi="Arial" w:cs="Arial"/>
          <w:sz w:val="24"/>
          <w:szCs w:val="24"/>
          <w:lang w:val="en"/>
        </w:rPr>
        <w:t>on</w:t>
      </w:r>
      <w:proofErr w:type="spellEnd"/>
      <w:r w:rsidR="00F97280" w:rsidRPr="00163252">
        <w:rPr>
          <w:rFonts w:ascii="Arial" w:hAnsi="Arial" w:cs="Arial"/>
          <w:sz w:val="24"/>
          <w:szCs w:val="24"/>
          <w:lang w:val="en"/>
        </w:rPr>
        <w:t xml:space="preserve"> </w:t>
      </w:r>
      <w:r w:rsidRPr="00163252">
        <w:rPr>
          <w:rFonts w:ascii="Arial" w:hAnsi="Arial" w:cs="Arial"/>
          <w:sz w:val="24"/>
          <w:szCs w:val="24"/>
          <w:lang w:val="en"/>
        </w:rPr>
        <w:t xml:space="preserve"> table</w:t>
      </w:r>
      <w:r w:rsidR="00F97280" w:rsidRPr="00163252">
        <w:rPr>
          <w:rFonts w:ascii="Arial" w:hAnsi="Arial" w:cs="Arial"/>
          <w:sz w:val="24"/>
          <w:szCs w:val="24"/>
          <w:lang w:val="en"/>
        </w:rPr>
        <w:t xml:space="preserve"> 1</w:t>
      </w:r>
      <w:r w:rsidRPr="00163252">
        <w:rPr>
          <w:rFonts w:ascii="Arial" w:hAnsi="Arial" w:cs="Arial"/>
          <w:sz w:val="24"/>
          <w:szCs w:val="24"/>
          <w:lang w:val="en"/>
        </w:rPr>
        <w:t xml:space="preserve">, the </w:t>
      </w:r>
      <w:r w:rsidR="007E554E" w:rsidRPr="00163252">
        <w:rPr>
          <w:rFonts w:ascii="Arial" w:hAnsi="Arial" w:cs="Arial"/>
          <w:sz w:val="24"/>
          <w:szCs w:val="24"/>
          <w:lang w:val="en"/>
        </w:rPr>
        <w:t>mean value of Pg which gives rise to the observed outcome was ca</w:t>
      </w:r>
      <w:r w:rsidR="00037B6E" w:rsidRPr="00163252">
        <w:rPr>
          <w:rFonts w:ascii="Arial" w:hAnsi="Arial" w:cs="Arial"/>
          <w:sz w:val="24"/>
          <w:szCs w:val="24"/>
          <w:lang w:val="en"/>
        </w:rPr>
        <w:t>lculated as shown in Figure 10</w:t>
      </w:r>
      <w:r w:rsidR="007E554E" w:rsidRPr="00163252">
        <w:rPr>
          <w:rFonts w:ascii="Arial" w:hAnsi="Arial" w:cs="Arial"/>
          <w:sz w:val="24"/>
          <w:szCs w:val="24"/>
          <w:lang w:val="en"/>
        </w:rPr>
        <w:t xml:space="preserve">, by dividing the area under the curve Pg* P(outcome|Pg) by the area under the curve P(outcome|Pg). The results </w:t>
      </w:r>
      <w:r w:rsidR="00B330BE" w:rsidRPr="00163252">
        <w:rPr>
          <w:rFonts w:ascii="Arial" w:hAnsi="Arial" w:cs="Arial"/>
          <w:sz w:val="24"/>
          <w:szCs w:val="24"/>
          <w:lang w:val="en"/>
        </w:rPr>
        <w:t xml:space="preserve">obtained by this graphical </w:t>
      </w:r>
      <w:proofErr w:type="gramStart"/>
      <w:r w:rsidR="00B330BE" w:rsidRPr="00163252">
        <w:rPr>
          <w:rFonts w:ascii="Arial" w:hAnsi="Arial" w:cs="Arial"/>
          <w:sz w:val="24"/>
          <w:szCs w:val="24"/>
          <w:lang w:val="en"/>
        </w:rPr>
        <w:t>method are</w:t>
      </w:r>
      <w:proofErr w:type="gramEnd"/>
      <w:r w:rsidR="00B330BE" w:rsidRPr="00163252">
        <w:rPr>
          <w:rFonts w:ascii="Arial" w:hAnsi="Arial" w:cs="Arial"/>
          <w:sz w:val="24"/>
          <w:szCs w:val="24"/>
          <w:lang w:val="en"/>
        </w:rPr>
        <w:t xml:space="preserve"> equivalent to those calculated using the Rule of Succession.</w:t>
      </w:r>
    </w:p>
    <w:p w:rsidR="00DD798A" w:rsidRDefault="00DD798A" w:rsidP="00DD798A">
      <w:pPr>
        <w:jc w:val="center"/>
        <w:rPr>
          <w:rFonts w:ascii="Arial" w:hAnsi="Arial" w:cs="Arial"/>
          <w:sz w:val="24"/>
          <w:szCs w:val="24"/>
          <w:lang w:val="en"/>
        </w:rPr>
      </w:pPr>
      <w:r w:rsidRPr="00DD798A">
        <w:lastRenderedPageBreak/>
        <w:drawing>
          <wp:inline distT="0" distB="0" distL="0" distR="0" wp14:anchorId="4513A7E7" wp14:editId="1E1D23F5">
            <wp:extent cx="3833112" cy="40100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831414" cy="4008249"/>
                    </a:xfrm>
                    <a:prstGeom prst="rect">
                      <a:avLst/>
                    </a:prstGeom>
                  </pic:spPr>
                </pic:pic>
              </a:graphicData>
            </a:graphic>
          </wp:inline>
        </w:drawing>
      </w:r>
    </w:p>
    <w:p w:rsidR="00DD798A" w:rsidRPr="00163252" w:rsidRDefault="00DD798A" w:rsidP="00282072">
      <w:pPr>
        <w:rPr>
          <w:rFonts w:ascii="Arial" w:hAnsi="Arial" w:cs="Arial"/>
          <w:sz w:val="24"/>
          <w:szCs w:val="24"/>
          <w:lang w:val="en"/>
        </w:rPr>
      </w:pPr>
      <w:proofErr w:type="gramStart"/>
      <w:r w:rsidRPr="00DD798A">
        <w:rPr>
          <w:rFonts w:ascii="Arial" w:hAnsi="Arial" w:cs="Arial"/>
          <w:sz w:val="24"/>
          <w:szCs w:val="24"/>
          <w:lang w:val="en"/>
        </w:rPr>
        <w:t>Figure 10.</w:t>
      </w:r>
      <w:proofErr w:type="gramEnd"/>
      <w:r w:rsidRPr="00DD798A">
        <w:rPr>
          <w:rFonts w:ascii="Arial" w:hAnsi="Arial" w:cs="Arial"/>
          <w:sz w:val="24"/>
          <w:szCs w:val="24"/>
          <w:lang w:val="en"/>
        </w:rPr>
        <w:t xml:space="preserve"> Basis of calculation of the table of predicted Pg from past success/failure frequency data</w:t>
      </w:r>
    </w:p>
    <w:p w:rsidR="00DE5999" w:rsidRPr="00163252" w:rsidRDefault="00DE5999" w:rsidP="00FF443D">
      <w:pPr>
        <w:rPr>
          <w:rFonts w:ascii="Arial" w:hAnsi="Arial" w:cs="Arial"/>
          <w:b/>
          <w:sz w:val="24"/>
          <w:szCs w:val="24"/>
        </w:rPr>
      </w:pPr>
      <w:r w:rsidRPr="00163252">
        <w:rPr>
          <w:rFonts w:ascii="Arial" w:hAnsi="Arial" w:cs="Arial"/>
          <w:b/>
          <w:sz w:val="24"/>
          <w:szCs w:val="24"/>
        </w:rPr>
        <w:t>References</w:t>
      </w:r>
    </w:p>
    <w:p w:rsidR="00B16B71" w:rsidRPr="00163252" w:rsidRDefault="00B16B71" w:rsidP="00FF443D">
      <w:pPr>
        <w:rPr>
          <w:rFonts w:ascii="Arial" w:hAnsi="Arial" w:cs="Arial"/>
          <w:sz w:val="24"/>
          <w:szCs w:val="24"/>
          <w:lang w:val="en"/>
        </w:rPr>
      </w:pPr>
      <w:r w:rsidRPr="00163252">
        <w:rPr>
          <w:rFonts w:ascii="Arial" w:hAnsi="Arial" w:cs="Arial"/>
          <w:sz w:val="24"/>
          <w:szCs w:val="24"/>
          <w:lang w:val="en"/>
        </w:rPr>
        <w:t xml:space="preserve">Alexander, J. A. and </w:t>
      </w:r>
      <w:r w:rsidR="003A770D" w:rsidRPr="00163252">
        <w:rPr>
          <w:rFonts w:ascii="Arial" w:hAnsi="Arial" w:cs="Arial"/>
          <w:sz w:val="24"/>
          <w:szCs w:val="24"/>
          <w:lang w:val="en"/>
        </w:rPr>
        <w:t xml:space="preserve">J.R. </w:t>
      </w:r>
      <w:r w:rsidRPr="00163252">
        <w:rPr>
          <w:rFonts w:ascii="Arial" w:hAnsi="Arial" w:cs="Arial"/>
          <w:sz w:val="24"/>
          <w:szCs w:val="24"/>
          <w:lang w:val="en"/>
        </w:rPr>
        <w:t>Lohr, 1998</w:t>
      </w:r>
      <w:r w:rsidR="003A770D" w:rsidRPr="00163252">
        <w:rPr>
          <w:rFonts w:ascii="Arial" w:hAnsi="Arial" w:cs="Arial"/>
          <w:sz w:val="24"/>
          <w:szCs w:val="24"/>
          <w:lang w:val="en"/>
        </w:rPr>
        <w:t>,</w:t>
      </w:r>
      <w:r w:rsidRPr="00163252">
        <w:rPr>
          <w:rFonts w:ascii="Arial" w:hAnsi="Arial" w:cs="Arial"/>
          <w:sz w:val="24"/>
          <w:szCs w:val="24"/>
          <w:lang w:val="en"/>
        </w:rPr>
        <w:t xml:space="preserve"> Risk analysis: lessons learned</w:t>
      </w:r>
      <w:r w:rsidR="003A770D" w:rsidRPr="00163252">
        <w:rPr>
          <w:rFonts w:ascii="Arial" w:hAnsi="Arial" w:cs="Arial"/>
          <w:sz w:val="24"/>
          <w:szCs w:val="24"/>
          <w:lang w:val="en"/>
        </w:rPr>
        <w:t>:</w:t>
      </w:r>
      <w:r w:rsidRPr="00163252">
        <w:rPr>
          <w:rFonts w:ascii="Arial" w:hAnsi="Arial" w:cs="Arial"/>
          <w:sz w:val="24"/>
          <w:szCs w:val="24"/>
          <w:lang w:val="en"/>
        </w:rPr>
        <w:t xml:space="preserve"> </w:t>
      </w:r>
      <w:proofErr w:type="spellStart"/>
      <w:r w:rsidRPr="00163252">
        <w:rPr>
          <w:rFonts w:ascii="Arial" w:hAnsi="Arial" w:cs="Arial"/>
          <w:sz w:val="24"/>
          <w:szCs w:val="24"/>
          <w:lang w:val="en"/>
        </w:rPr>
        <w:t>SPE</w:t>
      </w:r>
      <w:proofErr w:type="spellEnd"/>
      <w:r w:rsidRPr="00163252">
        <w:rPr>
          <w:rFonts w:ascii="Arial" w:hAnsi="Arial" w:cs="Arial"/>
          <w:sz w:val="24"/>
          <w:szCs w:val="24"/>
          <w:lang w:val="en"/>
        </w:rPr>
        <w:t xml:space="preserve"> 49030: Society of Petroleum Engineers Annual Meeting, New Orleans</w:t>
      </w:r>
    </w:p>
    <w:p w:rsidR="009213CC" w:rsidRPr="00163252" w:rsidRDefault="009213CC" w:rsidP="00FF443D">
      <w:pPr>
        <w:rPr>
          <w:rFonts w:ascii="Arial" w:hAnsi="Arial" w:cs="Arial"/>
          <w:sz w:val="24"/>
          <w:szCs w:val="24"/>
          <w:lang w:val="en"/>
        </w:rPr>
      </w:pPr>
      <w:r w:rsidRPr="00163252">
        <w:rPr>
          <w:rFonts w:ascii="Arial" w:hAnsi="Arial" w:cs="Arial"/>
          <w:sz w:val="24"/>
          <w:szCs w:val="24"/>
          <w:lang w:val="en"/>
        </w:rPr>
        <w:t xml:space="preserve">Allais, M., 1956, </w:t>
      </w:r>
      <w:proofErr w:type="spellStart"/>
      <w:r w:rsidRPr="00163252">
        <w:rPr>
          <w:rFonts w:ascii="Arial" w:hAnsi="Arial" w:cs="Arial"/>
          <w:sz w:val="24"/>
          <w:szCs w:val="24"/>
          <w:lang w:val="en"/>
        </w:rPr>
        <w:t>Évaluation</w:t>
      </w:r>
      <w:proofErr w:type="spellEnd"/>
      <w:r w:rsidRPr="00163252">
        <w:rPr>
          <w:rFonts w:ascii="Arial" w:hAnsi="Arial" w:cs="Arial"/>
          <w:sz w:val="24"/>
          <w:szCs w:val="24"/>
          <w:lang w:val="en"/>
        </w:rPr>
        <w:t xml:space="preserve"> des Perspectives </w:t>
      </w:r>
      <w:proofErr w:type="spellStart"/>
      <w:r w:rsidRPr="00163252">
        <w:rPr>
          <w:rFonts w:ascii="Arial" w:hAnsi="Arial" w:cs="Arial"/>
          <w:sz w:val="24"/>
          <w:szCs w:val="24"/>
          <w:lang w:val="en"/>
        </w:rPr>
        <w:t>Économiques</w:t>
      </w:r>
      <w:proofErr w:type="spellEnd"/>
      <w:r w:rsidRPr="00163252">
        <w:rPr>
          <w:rFonts w:ascii="Arial" w:hAnsi="Arial" w:cs="Arial"/>
          <w:sz w:val="24"/>
          <w:szCs w:val="24"/>
          <w:lang w:val="en"/>
        </w:rPr>
        <w:t xml:space="preserve"> de la Recherche Minière sur de Grands Espaces - Application au Sahara </w:t>
      </w:r>
      <w:proofErr w:type="spellStart"/>
      <w:r w:rsidRPr="00163252">
        <w:rPr>
          <w:rFonts w:ascii="Arial" w:hAnsi="Arial" w:cs="Arial"/>
          <w:sz w:val="24"/>
          <w:szCs w:val="24"/>
          <w:lang w:val="en"/>
        </w:rPr>
        <w:t>Algérien</w:t>
      </w:r>
      <w:proofErr w:type="spellEnd"/>
      <w:r w:rsidR="003A770D" w:rsidRPr="00163252">
        <w:rPr>
          <w:rFonts w:ascii="Arial" w:hAnsi="Arial" w:cs="Arial"/>
          <w:sz w:val="24"/>
          <w:szCs w:val="24"/>
          <w:lang w:val="en"/>
        </w:rPr>
        <w:t>:</w:t>
      </w:r>
      <w:r w:rsidRPr="00163252">
        <w:rPr>
          <w:rFonts w:ascii="Arial" w:hAnsi="Arial" w:cs="Arial"/>
          <w:sz w:val="24"/>
          <w:szCs w:val="24"/>
          <w:lang w:val="en"/>
        </w:rPr>
        <w:t xml:space="preserve"> Revue de </w:t>
      </w:r>
      <w:proofErr w:type="spellStart"/>
      <w:r w:rsidRPr="00163252">
        <w:rPr>
          <w:rFonts w:ascii="Arial" w:hAnsi="Arial" w:cs="Arial"/>
          <w:sz w:val="24"/>
          <w:szCs w:val="24"/>
          <w:lang w:val="en"/>
        </w:rPr>
        <w:t>l'Industrie</w:t>
      </w:r>
      <w:proofErr w:type="spellEnd"/>
      <w:r w:rsidRPr="00163252">
        <w:rPr>
          <w:rFonts w:ascii="Arial" w:hAnsi="Arial" w:cs="Arial"/>
          <w:sz w:val="24"/>
          <w:szCs w:val="24"/>
          <w:lang w:val="en"/>
        </w:rPr>
        <w:t xml:space="preserve"> Minéra</w:t>
      </w:r>
      <w:r w:rsidR="00F17E25" w:rsidRPr="00163252">
        <w:rPr>
          <w:rFonts w:ascii="Arial" w:hAnsi="Arial" w:cs="Arial"/>
          <w:sz w:val="24"/>
          <w:szCs w:val="24"/>
          <w:lang w:val="en"/>
        </w:rPr>
        <w:t>le, Paris, January, p. 329-383.</w:t>
      </w:r>
    </w:p>
    <w:p w:rsidR="00602CEC" w:rsidRPr="00163252" w:rsidRDefault="00602CEC" w:rsidP="00FF443D">
      <w:pPr>
        <w:rPr>
          <w:rFonts w:ascii="Arial" w:hAnsi="Arial" w:cs="Arial"/>
          <w:sz w:val="24"/>
          <w:szCs w:val="24"/>
          <w:lang w:val="en"/>
        </w:rPr>
      </w:pPr>
      <w:r w:rsidRPr="00163252">
        <w:rPr>
          <w:rFonts w:ascii="Arial" w:hAnsi="Arial" w:cs="Arial"/>
          <w:sz w:val="24"/>
          <w:szCs w:val="24"/>
          <w:lang w:val="en"/>
        </w:rPr>
        <w:t xml:space="preserve">Baddeley, M. C., Curtis, A. and Wood, R., 2004, An introduction to prior information derived from probabilistic judgements: elicitation of knowledge, cognitive bias and herding: </w:t>
      </w:r>
      <w:r w:rsidRPr="00163252">
        <w:rPr>
          <w:rFonts w:ascii="Arial" w:hAnsi="Arial" w:cs="Arial"/>
          <w:i/>
          <w:sz w:val="24"/>
          <w:szCs w:val="24"/>
          <w:lang w:val="en"/>
        </w:rPr>
        <w:t>in:</w:t>
      </w:r>
      <w:r w:rsidRPr="00163252">
        <w:rPr>
          <w:rFonts w:ascii="Arial" w:hAnsi="Arial" w:cs="Arial"/>
          <w:sz w:val="24"/>
          <w:szCs w:val="24"/>
          <w:lang w:val="en"/>
        </w:rPr>
        <w:t xml:space="preserve"> A. Curtis and Wood, R., eds., Geological Prior Information: Informing Science and Engineering, Geological Society, London, Special Publications, no. 239, p. 15-27.</w:t>
      </w:r>
    </w:p>
    <w:p w:rsidR="0061480E" w:rsidRPr="00163252" w:rsidRDefault="00D04FBB" w:rsidP="00FF443D">
      <w:pPr>
        <w:rPr>
          <w:rStyle w:val="citation"/>
          <w:rFonts w:ascii="Arial" w:hAnsi="Arial" w:cs="Arial"/>
          <w:sz w:val="24"/>
          <w:szCs w:val="24"/>
          <w:lang w:val="en"/>
        </w:rPr>
      </w:pPr>
      <w:r w:rsidRPr="00163252">
        <w:rPr>
          <w:rFonts w:ascii="Arial" w:hAnsi="Arial" w:cs="Arial"/>
          <w:sz w:val="24"/>
          <w:szCs w:val="24"/>
          <w:lang w:val="en"/>
        </w:rPr>
        <w:t>Bayes, T.</w:t>
      </w:r>
      <w:r w:rsidR="003A770D" w:rsidRPr="00163252">
        <w:rPr>
          <w:rFonts w:ascii="Arial" w:hAnsi="Arial" w:cs="Arial"/>
          <w:sz w:val="24"/>
          <w:szCs w:val="24"/>
          <w:lang w:val="en"/>
        </w:rPr>
        <w:t xml:space="preserve">, </w:t>
      </w:r>
      <w:r w:rsidRPr="00163252">
        <w:rPr>
          <w:rFonts w:ascii="Arial" w:hAnsi="Arial" w:cs="Arial"/>
          <w:sz w:val="24"/>
          <w:szCs w:val="24"/>
          <w:lang w:val="en"/>
        </w:rPr>
        <w:t>1763</w:t>
      </w:r>
      <w:r w:rsidR="003A770D" w:rsidRPr="00163252">
        <w:rPr>
          <w:rFonts w:ascii="Arial" w:hAnsi="Arial" w:cs="Arial"/>
          <w:sz w:val="24"/>
          <w:szCs w:val="24"/>
          <w:lang w:val="en"/>
        </w:rPr>
        <w:t>,</w:t>
      </w:r>
      <w:r w:rsidRPr="00163252">
        <w:rPr>
          <w:rFonts w:ascii="Arial" w:hAnsi="Arial" w:cs="Arial"/>
          <w:sz w:val="24"/>
          <w:szCs w:val="24"/>
          <w:lang w:val="en"/>
        </w:rPr>
        <w:t xml:space="preserve"> An Essay toward solving a Problem in the Doctrine of Chances</w:t>
      </w:r>
      <w:r w:rsidR="003A770D" w:rsidRPr="00163252">
        <w:rPr>
          <w:rFonts w:ascii="Arial" w:hAnsi="Arial" w:cs="Arial"/>
          <w:sz w:val="24"/>
          <w:szCs w:val="24"/>
          <w:lang w:val="en"/>
        </w:rPr>
        <w:t>:</w:t>
      </w:r>
      <w:r w:rsidRPr="00163252">
        <w:rPr>
          <w:rFonts w:ascii="Arial" w:hAnsi="Arial" w:cs="Arial"/>
          <w:sz w:val="24"/>
          <w:szCs w:val="24"/>
          <w:lang w:val="en"/>
        </w:rPr>
        <w:t xml:space="preserve">  Philosophical Transactions of the Royal Society of London, </w:t>
      </w:r>
      <w:r w:rsidR="003A770D" w:rsidRPr="00163252">
        <w:rPr>
          <w:rFonts w:ascii="Arial" w:hAnsi="Arial" w:cs="Arial"/>
          <w:sz w:val="24"/>
          <w:szCs w:val="24"/>
          <w:lang w:val="en"/>
        </w:rPr>
        <w:t xml:space="preserve">no. </w:t>
      </w:r>
      <w:r w:rsidRPr="00163252">
        <w:rPr>
          <w:rFonts w:ascii="Arial" w:hAnsi="Arial" w:cs="Arial"/>
          <w:sz w:val="24"/>
          <w:szCs w:val="24"/>
          <w:lang w:val="en"/>
        </w:rPr>
        <w:t xml:space="preserve">53, </w:t>
      </w:r>
      <w:r w:rsidR="003A770D" w:rsidRPr="00163252">
        <w:rPr>
          <w:rFonts w:ascii="Arial" w:hAnsi="Arial" w:cs="Arial"/>
          <w:sz w:val="24"/>
          <w:szCs w:val="24"/>
          <w:lang w:val="en"/>
        </w:rPr>
        <w:t xml:space="preserve">p. </w:t>
      </w:r>
      <w:r w:rsidRPr="00163252">
        <w:rPr>
          <w:rFonts w:ascii="Arial" w:hAnsi="Arial" w:cs="Arial"/>
          <w:sz w:val="24"/>
          <w:szCs w:val="24"/>
          <w:lang w:val="en"/>
        </w:rPr>
        <w:t xml:space="preserve">370–418 </w:t>
      </w:r>
      <w:hyperlink r:id="rId20" w:tooltip="Digital object identifier" w:history="1">
        <w:proofErr w:type="spellStart"/>
        <w:r w:rsidRPr="00163252">
          <w:rPr>
            <w:rStyle w:val="Hyperlink"/>
            <w:rFonts w:ascii="Arial" w:hAnsi="Arial" w:cs="Arial"/>
            <w:sz w:val="24"/>
            <w:szCs w:val="24"/>
            <w:lang w:val="en"/>
          </w:rPr>
          <w:t>doi</w:t>
        </w:r>
      </w:hyperlink>
      <w:r w:rsidRPr="00163252">
        <w:rPr>
          <w:rStyle w:val="citation"/>
          <w:rFonts w:ascii="Arial" w:hAnsi="Arial" w:cs="Arial"/>
          <w:sz w:val="24"/>
          <w:szCs w:val="24"/>
          <w:lang w:val="en"/>
        </w:rPr>
        <w:t>:</w:t>
      </w:r>
      <w:hyperlink r:id="rId21" w:history="1">
        <w:r w:rsidRPr="00163252">
          <w:rPr>
            <w:rStyle w:val="Hyperlink"/>
            <w:rFonts w:ascii="Arial" w:hAnsi="Arial" w:cs="Arial"/>
            <w:sz w:val="24"/>
            <w:szCs w:val="24"/>
            <w:lang w:val="en"/>
          </w:rPr>
          <w:t>10.1098</w:t>
        </w:r>
        <w:proofErr w:type="spellEnd"/>
        <w:r w:rsidRPr="00163252">
          <w:rPr>
            <w:rStyle w:val="Hyperlink"/>
            <w:rFonts w:ascii="Arial" w:hAnsi="Arial" w:cs="Arial"/>
            <w:sz w:val="24"/>
            <w:szCs w:val="24"/>
            <w:lang w:val="en"/>
          </w:rPr>
          <w:t>/</w:t>
        </w:r>
        <w:proofErr w:type="spellStart"/>
        <w:r w:rsidRPr="00163252">
          <w:rPr>
            <w:rStyle w:val="Hyperlink"/>
            <w:rFonts w:ascii="Arial" w:hAnsi="Arial" w:cs="Arial"/>
            <w:sz w:val="24"/>
            <w:szCs w:val="24"/>
            <w:lang w:val="en"/>
          </w:rPr>
          <w:t>rstl.1763.0053</w:t>
        </w:r>
        <w:proofErr w:type="spellEnd"/>
      </w:hyperlink>
    </w:p>
    <w:p w:rsidR="00F331D8" w:rsidRDefault="00F331D8" w:rsidP="0061480E">
      <w:pPr>
        <w:rPr>
          <w:rFonts w:ascii="Arial" w:hAnsi="Arial" w:cs="Arial"/>
          <w:sz w:val="24"/>
          <w:szCs w:val="24"/>
        </w:rPr>
      </w:pPr>
      <w:proofErr w:type="spellStart"/>
      <w:r>
        <w:rPr>
          <w:rFonts w:ascii="Arial" w:hAnsi="Arial" w:cs="Arial"/>
          <w:sz w:val="24"/>
          <w:szCs w:val="24"/>
        </w:rPr>
        <w:t>Binns</w:t>
      </w:r>
      <w:proofErr w:type="spellEnd"/>
      <w:r>
        <w:rPr>
          <w:rFonts w:ascii="Arial" w:hAnsi="Arial" w:cs="Arial"/>
          <w:sz w:val="24"/>
          <w:szCs w:val="24"/>
        </w:rPr>
        <w:t>, P.E.</w:t>
      </w:r>
      <w:r w:rsidR="00C21C99">
        <w:rPr>
          <w:rFonts w:ascii="Arial" w:hAnsi="Arial" w:cs="Arial"/>
          <w:sz w:val="24"/>
          <w:szCs w:val="24"/>
        </w:rPr>
        <w:t>,</w:t>
      </w:r>
      <w:r>
        <w:rPr>
          <w:rFonts w:ascii="Arial" w:hAnsi="Arial" w:cs="Arial"/>
          <w:sz w:val="24"/>
          <w:szCs w:val="24"/>
        </w:rPr>
        <w:t xml:space="preserve"> 2006,</w:t>
      </w:r>
      <w:r w:rsidRPr="00F331D8">
        <w:rPr>
          <w:rFonts w:ascii="Arial" w:hAnsi="Arial" w:cs="Arial"/>
          <w:sz w:val="24"/>
          <w:szCs w:val="24"/>
        </w:rPr>
        <w:t xml:space="preserve"> Evalua</w:t>
      </w:r>
      <w:r>
        <w:rPr>
          <w:rFonts w:ascii="Arial" w:hAnsi="Arial" w:cs="Arial"/>
          <w:sz w:val="24"/>
          <w:szCs w:val="24"/>
        </w:rPr>
        <w:t>ting subtle stratigraphic traps,</w:t>
      </w:r>
      <w:r w:rsidRPr="00F331D8">
        <w:rPr>
          <w:rFonts w:ascii="Arial" w:hAnsi="Arial" w:cs="Arial"/>
          <w:sz w:val="24"/>
          <w:szCs w:val="24"/>
        </w:rPr>
        <w:t xml:space="preserve"> prospect to portfolio: </w:t>
      </w:r>
      <w:r w:rsidRPr="00163252">
        <w:rPr>
          <w:rFonts w:ascii="Arial" w:hAnsi="Arial" w:cs="Arial"/>
          <w:i/>
          <w:sz w:val="24"/>
          <w:szCs w:val="24"/>
        </w:rPr>
        <w:t>in:</w:t>
      </w:r>
      <w:r w:rsidRPr="00F331D8">
        <w:rPr>
          <w:rFonts w:ascii="Arial" w:hAnsi="Arial" w:cs="Arial"/>
          <w:sz w:val="24"/>
          <w:szCs w:val="24"/>
        </w:rPr>
        <w:t xml:space="preserve"> </w:t>
      </w:r>
      <w:proofErr w:type="spellStart"/>
      <w:r>
        <w:rPr>
          <w:rFonts w:ascii="Arial" w:hAnsi="Arial" w:cs="Arial"/>
          <w:sz w:val="24"/>
          <w:szCs w:val="24"/>
        </w:rPr>
        <w:t>M.R</w:t>
      </w:r>
      <w:proofErr w:type="spellEnd"/>
      <w:r>
        <w:rPr>
          <w:rFonts w:ascii="Arial" w:hAnsi="Arial" w:cs="Arial"/>
          <w:sz w:val="24"/>
          <w:szCs w:val="24"/>
        </w:rPr>
        <w:t xml:space="preserve">. </w:t>
      </w:r>
      <w:r w:rsidRPr="00F331D8">
        <w:rPr>
          <w:rFonts w:ascii="Arial" w:hAnsi="Arial" w:cs="Arial"/>
          <w:sz w:val="24"/>
          <w:szCs w:val="24"/>
        </w:rPr>
        <w:t xml:space="preserve">Allen, </w:t>
      </w:r>
      <w:proofErr w:type="spellStart"/>
      <w:r w:rsidRPr="00F331D8">
        <w:rPr>
          <w:rFonts w:ascii="Arial" w:hAnsi="Arial" w:cs="Arial"/>
          <w:sz w:val="24"/>
          <w:szCs w:val="24"/>
        </w:rPr>
        <w:t>Goffey</w:t>
      </w:r>
      <w:proofErr w:type="spellEnd"/>
      <w:r w:rsidRPr="00F331D8">
        <w:rPr>
          <w:rFonts w:ascii="Arial" w:hAnsi="Arial" w:cs="Arial"/>
          <w:sz w:val="24"/>
          <w:szCs w:val="24"/>
        </w:rPr>
        <w:t xml:space="preserve">, </w:t>
      </w:r>
      <w:proofErr w:type="spellStart"/>
      <w:r w:rsidRPr="00F331D8">
        <w:rPr>
          <w:rFonts w:ascii="Arial" w:hAnsi="Arial" w:cs="Arial"/>
          <w:sz w:val="24"/>
          <w:szCs w:val="24"/>
        </w:rPr>
        <w:t>G.P</w:t>
      </w:r>
      <w:proofErr w:type="spellEnd"/>
      <w:r w:rsidRPr="00F331D8">
        <w:rPr>
          <w:rFonts w:ascii="Arial" w:hAnsi="Arial" w:cs="Arial"/>
          <w:sz w:val="24"/>
          <w:szCs w:val="24"/>
        </w:rPr>
        <w:t xml:space="preserve">., Morgan, </w:t>
      </w:r>
      <w:proofErr w:type="spellStart"/>
      <w:r w:rsidRPr="00F331D8">
        <w:rPr>
          <w:rFonts w:ascii="Arial" w:hAnsi="Arial" w:cs="Arial"/>
          <w:sz w:val="24"/>
          <w:szCs w:val="24"/>
        </w:rPr>
        <w:t>R.K</w:t>
      </w:r>
      <w:proofErr w:type="spellEnd"/>
      <w:r w:rsidRPr="00F331D8">
        <w:rPr>
          <w:rFonts w:ascii="Arial" w:hAnsi="Arial" w:cs="Arial"/>
          <w:sz w:val="24"/>
          <w:szCs w:val="24"/>
        </w:rPr>
        <w:t xml:space="preserve">. &amp; Walker, </w:t>
      </w:r>
      <w:proofErr w:type="spellStart"/>
      <w:r w:rsidRPr="00F331D8">
        <w:rPr>
          <w:rFonts w:ascii="Arial" w:hAnsi="Arial" w:cs="Arial"/>
          <w:sz w:val="24"/>
          <w:szCs w:val="24"/>
        </w:rPr>
        <w:t>I.M</w:t>
      </w:r>
      <w:proofErr w:type="spellEnd"/>
      <w:r w:rsidRPr="00F331D8">
        <w:rPr>
          <w:rFonts w:ascii="Arial" w:hAnsi="Arial" w:cs="Arial"/>
          <w:sz w:val="24"/>
          <w:szCs w:val="24"/>
        </w:rPr>
        <w:t>., eds., The deliberate search for the stratigraphic trap, Geological Society, London, Special Publications, no. 254, p. 7-26.</w:t>
      </w:r>
    </w:p>
    <w:p w:rsidR="0061480E" w:rsidRPr="00163252" w:rsidRDefault="0061480E" w:rsidP="0061480E">
      <w:pPr>
        <w:rPr>
          <w:rFonts w:ascii="Arial" w:hAnsi="Arial" w:cs="Arial"/>
          <w:sz w:val="24"/>
          <w:szCs w:val="24"/>
        </w:rPr>
      </w:pPr>
      <w:r w:rsidRPr="00163252">
        <w:rPr>
          <w:rFonts w:ascii="Arial" w:hAnsi="Arial" w:cs="Arial"/>
          <w:sz w:val="24"/>
          <w:szCs w:val="24"/>
        </w:rPr>
        <w:lastRenderedPageBreak/>
        <w:t xml:space="preserve">Bustina, </w:t>
      </w:r>
      <w:proofErr w:type="spellStart"/>
      <w:r w:rsidRPr="00163252">
        <w:rPr>
          <w:rFonts w:ascii="Arial" w:hAnsi="Arial" w:cs="Arial"/>
          <w:sz w:val="24"/>
          <w:szCs w:val="24"/>
        </w:rPr>
        <w:t>R.M</w:t>
      </w:r>
      <w:proofErr w:type="spellEnd"/>
      <w:r w:rsidRPr="00163252">
        <w:rPr>
          <w:rFonts w:ascii="Arial" w:hAnsi="Arial" w:cs="Arial"/>
          <w:sz w:val="24"/>
          <w:szCs w:val="24"/>
        </w:rPr>
        <w:t xml:space="preserve">., </w:t>
      </w:r>
      <w:r w:rsidR="003A770D" w:rsidRPr="00163252">
        <w:rPr>
          <w:rFonts w:ascii="Arial" w:hAnsi="Arial" w:cs="Arial"/>
          <w:sz w:val="24"/>
          <w:szCs w:val="24"/>
        </w:rPr>
        <w:t xml:space="preserve">and </w:t>
      </w:r>
      <w:proofErr w:type="spellStart"/>
      <w:r w:rsidR="003A770D" w:rsidRPr="00163252">
        <w:rPr>
          <w:rFonts w:ascii="Arial" w:hAnsi="Arial" w:cs="Arial"/>
          <w:sz w:val="24"/>
          <w:szCs w:val="24"/>
        </w:rPr>
        <w:t>A.</w:t>
      </w:r>
      <w:r w:rsidRPr="00163252">
        <w:rPr>
          <w:rFonts w:ascii="Arial" w:hAnsi="Arial" w:cs="Arial"/>
          <w:sz w:val="24"/>
          <w:szCs w:val="24"/>
        </w:rPr>
        <w:t>Chonchawalita</w:t>
      </w:r>
      <w:proofErr w:type="spellEnd"/>
      <w:r w:rsidRPr="00163252">
        <w:rPr>
          <w:rFonts w:ascii="Arial" w:hAnsi="Arial" w:cs="Arial"/>
          <w:sz w:val="24"/>
          <w:szCs w:val="24"/>
        </w:rPr>
        <w:t>, 1995, Formation and Tectonic Evolution of the Pattani Basin, Gulf of Thailand</w:t>
      </w:r>
      <w:r w:rsidR="003A770D" w:rsidRPr="00163252">
        <w:rPr>
          <w:rFonts w:ascii="Arial" w:hAnsi="Arial" w:cs="Arial"/>
          <w:sz w:val="24"/>
          <w:szCs w:val="24"/>
        </w:rPr>
        <w:t>:</w:t>
      </w:r>
      <w:r w:rsidRPr="00163252">
        <w:rPr>
          <w:rFonts w:ascii="Arial" w:hAnsi="Arial" w:cs="Arial"/>
          <w:sz w:val="24"/>
          <w:szCs w:val="24"/>
        </w:rPr>
        <w:t xml:space="preserve"> International Geology Review</w:t>
      </w:r>
      <w:proofErr w:type="gramStart"/>
      <w:r w:rsidRPr="00163252">
        <w:rPr>
          <w:rFonts w:ascii="Arial" w:hAnsi="Arial" w:cs="Arial"/>
          <w:sz w:val="24"/>
          <w:szCs w:val="24"/>
        </w:rPr>
        <w:t xml:space="preserve">,  </w:t>
      </w:r>
      <w:r w:rsidR="003A770D" w:rsidRPr="00163252">
        <w:rPr>
          <w:rFonts w:ascii="Arial" w:hAnsi="Arial" w:cs="Arial"/>
          <w:sz w:val="24"/>
          <w:szCs w:val="24"/>
        </w:rPr>
        <w:t>v</w:t>
      </w:r>
      <w:proofErr w:type="gramEnd"/>
      <w:r w:rsidR="003A770D" w:rsidRPr="00163252">
        <w:rPr>
          <w:rFonts w:ascii="Arial" w:hAnsi="Arial" w:cs="Arial"/>
          <w:sz w:val="24"/>
          <w:szCs w:val="24"/>
        </w:rPr>
        <w:t xml:space="preserve">  </w:t>
      </w:r>
      <w:r w:rsidRPr="00163252">
        <w:rPr>
          <w:rFonts w:ascii="Arial" w:hAnsi="Arial" w:cs="Arial"/>
          <w:sz w:val="24"/>
          <w:szCs w:val="24"/>
        </w:rPr>
        <w:t xml:space="preserve">37,  </w:t>
      </w:r>
      <w:r w:rsidR="003A770D" w:rsidRPr="00163252">
        <w:rPr>
          <w:rFonts w:ascii="Arial" w:hAnsi="Arial" w:cs="Arial"/>
          <w:sz w:val="24"/>
          <w:szCs w:val="24"/>
        </w:rPr>
        <w:t xml:space="preserve">no. </w:t>
      </w:r>
      <w:r w:rsidRPr="00163252">
        <w:rPr>
          <w:rFonts w:ascii="Arial" w:hAnsi="Arial" w:cs="Arial"/>
          <w:sz w:val="24"/>
          <w:szCs w:val="24"/>
        </w:rPr>
        <w:t xml:space="preserve">10, </w:t>
      </w:r>
      <w:r w:rsidR="003A770D" w:rsidRPr="00163252">
        <w:rPr>
          <w:rFonts w:ascii="Arial" w:hAnsi="Arial" w:cs="Arial"/>
          <w:sz w:val="24"/>
          <w:szCs w:val="24"/>
        </w:rPr>
        <w:t xml:space="preserve">p. </w:t>
      </w:r>
      <w:r w:rsidRPr="00163252">
        <w:rPr>
          <w:rFonts w:ascii="Arial" w:hAnsi="Arial" w:cs="Arial"/>
          <w:sz w:val="24"/>
          <w:szCs w:val="24"/>
        </w:rPr>
        <w:t>866-892</w:t>
      </w:r>
    </w:p>
    <w:p w:rsidR="00053DDF" w:rsidRPr="00163252" w:rsidRDefault="0078600E" w:rsidP="00053DDF">
      <w:pPr>
        <w:rPr>
          <w:rFonts w:ascii="Arial" w:hAnsi="Arial" w:cs="Arial"/>
          <w:sz w:val="24"/>
          <w:szCs w:val="24"/>
          <w:lang w:val="en"/>
        </w:rPr>
      </w:pPr>
      <w:r w:rsidRPr="00163252">
        <w:rPr>
          <w:rFonts w:ascii="Arial" w:hAnsi="Arial" w:cs="Arial"/>
          <w:sz w:val="24"/>
          <w:szCs w:val="24"/>
          <w:lang w:val="en"/>
        </w:rPr>
        <w:t xml:space="preserve">Capen, E.C., 1992, </w:t>
      </w:r>
      <w:proofErr w:type="gramStart"/>
      <w:r w:rsidRPr="00163252">
        <w:rPr>
          <w:rFonts w:ascii="Arial" w:hAnsi="Arial" w:cs="Arial"/>
          <w:sz w:val="24"/>
          <w:szCs w:val="24"/>
          <w:lang w:val="en"/>
        </w:rPr>
        <w:t>Dealing</w:t>
      </w:r>
      <w:proofErr w:type="gramEnd"/>
      <w:r w:rsidRPr="00163252">
        <w:rPr>
          <w:rFonts w:ascii="Arial" w:hAnsi="Arial" w:cs="Arial"/>
          <w:sz w:val="24"/>
          <w:szCs w:val="24"/>
          <w:lang w:val="en"/>
        </w:rPr>
        <w:t xml:space="preserve"> with exploration uncertainties</w:t>
      </w:r>
      <w:r w:rsidR="003A770D" w:rsidRPr="00163252">
        <w:rPr>
          <w:rFonts w:ascii="Arial" w:hAnsi="Arial" w:cs="Arial"/>
          <w:sz w:val="24"/>
          <w:szCs w:val="24"/>
          <w:lang w:val="en"/>
        </w:rPr>
        <w:t>:</w:t>
      </w:r>
      <w:r w:rsidRPr="00163252">
        <w:rPr>
          <w:rFonts w:ascii="Arial" w:hAnsi="Arial" w:cs="Arial"/>
          <w:sz w:val="24"/>
          <w:szCs w:val="24"/>
          <w:lang w:val="en"/>
        </w:rPr>
        <w:t xml:space="preserve"> </w:t>
      </w:r>
      <w:r w:rsidR="003A770D" w:rsidRPr="00163252">
        <w:rPr>
          <w:rFonts w:ascii="Arial" w:hAnsi="Arial" w:cs="Arial"/>
          <w:i/>
          <w:sz w:val="24"/>
          <w:szCs w:val="24"/>
          <w:lang w:val="en"/>
        </w:rPr>
        <w:t>in:</w:t>
      </w:r>
      <w:r w:rsidRPr="00163252">
        <w:rPr>
          <w:rFonts w:ascii="Arial" w:hAnsi="Arial" w:cs="Arial"/>
          <w:sz w:val="24"/>
          <w:szCs w:val="24"/>
          <w:lang w:val="en"/>
        </w:rPr>
        <w:t xml:space="preserve"> Steinmetz, R., ed., The Business of Petroleum Exploration: AAPG Treatise of Petroleum Geology - Handbook of Petroleum Geology, </w:t>
      </w:r>
      <w:r w:rsidR="003A770D" w:rsidRPr="00163252">
        <w:rPr>
          <w:rFonts w:ascii="Arial" w:hAnsi="Arial" w:cs="Arial"/>
          <w:sz w:val="24"/>
          <w:szCs w:val="24"/>
          <w:lang w:val="en"/>
        </w:rPr>
        <w:t xml:space="preserve">p. </w:t>
      </w:r>
      <w:r w:rsidRPr="00163252">
        <w:rPr>
          <w:rFonts w:ascii="Arial" w:hAnsi="Arial" w:cs="Arial"/>
          <w:sz w:val="24"/>
          <w:szCs w:val="24"/>
          <w:lang w:val="en"/>
        </w:rPr>
        <w:t>29-61</w:t>
      </w:r>
    </w:p>
    <w:p w:rsidR="00053DDF" w:rsidRPr="00163252" w:rsidRDefault="00831491" w:rsidP="00053DDF">
      <w:pPr>
        <w:rPr>
          <w:rFonts w:ascii="Arial" w:hAnsi="Arial" w:cs="Arial"/>
          <w:sz w:val="24"/>
          <w:szCs w:val="24"/>
          <w:lang w:val="en"/>
        </w:rPr>
      </w:pPr>
      <w:r w:rsidRPr="00163252">
        <w:rPr>
          <w:rFonts w:ascii="Arial" w:hAnsi="Arial" w:cs="Arial"/>
          <w:sz w:val="24"/>
          <w:szCs w:val="24"/>
          <w:lang w:val="en"/>
        </w:rPr>
        <w:t xml:space="preserve">Dias, T. A., D L. </w:t>
      </w:r>
      <w:proofErr w:type="spellStart"/>
      <w:r w:rsidRPr="00163252">
        <w:rPr>
          <w:rFonts w:ascii="Arial" w:hAnsi="Arial" w:cs="Arial"/>
          <w:sz w:val="24"/>
          <w:szCs w:val="24"/>
          <w:lang w:val="en"/>
        </w:rPr>
        <w:t>Tett</w:t>
      </w:r>
      <w:proofErr w:type="spellEnd"/>
      <w:r w:rsidRPr="00163252">
        <w:rPr>
          <w:rFonts w:ascii="Arial" w:hAnsi="Arial" w:cs="Arial"/>
          <w:sz w:val="24"/>
          <w:szCs w:val="24"/>
          <w:lang w:val="en"/>
        </w:rPr>
        <w:t xml:space="preserve">., </w:t>
      </w:r>
      <w:r w:rsidR="003A770D" w:rsidRPr="00163252">
        <w:rPr>
          <w:rFonts w:ascii="Arial" w:hAnsi="Arial" w:cs="Arial"/>
          <w:sz w:val="24"/>
          <w:szCs w:val="24"/>
          <w:lang w:val="en"/>
        </w:rPr>
        <w:t xml:space="preserve">and </w:t>
      </w:r>
      <w:proofErr w:type="spellStart"/>
      <w:r w:rsidR="003A770D" w:rsidRPr="00163252">
        <w:rPr>
          <w:rFonts w:ascii="Arial" w:hAnsi="Arial" w:cs="Arial"/>
          <w:sz w:val="24"/>
          <w:szCs w:val="24"/>
          <w:lang w:val="en"/>
        </w:rPr>
        <w:t>M.T</w:t>
      </w:r>
      <w:proofErr w:type="spellEnd"/>
      <w:r w:rsidR="003A770D" w:rsidRPr="00163252">
        <w:rPr>
          <w:rFonts w:ascii="Arial" w:hAnsi="Arial" w:cs="Arial"/>
          <w:sz w:val="24"/>
          <w:szCs w:val="24"/>
          <w:lang w:val="en"/>
        </w:rPr>
        <w:t xml:space="preserve">. </w:t>
      </w:r>
      <w:proofErr w:type="spellStart"/>
      <w:r w:rsidR="00053DDF" w:rsidRPr="00163252">
        <w:rPr>
          <w:rFonts w:ascii="Arial" w:hAnsi="Arial" w:cs="Arial"/>
          <w:sz w:val="24"/>
          <w:szCs w:val="24"/>
          <w:lang w:val="en"/>
        </w:rPr>
        <w:t>C</w:t>
      </w:r>
      <w:r w:rsidRPr="00163252">
        <w:rPr>
          <w:rFonts w:ascii="Arial" w:hAnsi="Arial" w:cs="Arial"/>
          <w:sz w:val="24"/>
          <w:szCs w:val="24"/>
          <w:lang w:val="en"/>
        </w:rPr>
        <w:t>roasdaile</w:t>
      </w:r>
      <w:proofErr w:type="spellEnd"/>
      <w:r w:rsidRPr="00163252">
        <w:rPr>
          <w:rFonts w:ascii="Arial" w:hAnsi="Arial" w:cs="Arial"/>
          <w:sz w:val="24"/>
          <w:szCs w:val="24"/>
          <w:lang w:val="en"/>
        </w:rPr>
        <w:t>, 2010</w:t>
      </w:r>
      <w:r w:rsidR="003A770D" w:rsidRPr="00163252">
        <w:rPr>
          <w:rFonts w:ascii="Arial" w:hAnsi="Arial" w:cs="Arial"/>
          <w:sz w:val="24"/>
          <w:szCs w:val="24"/>
          <w:lang w:val="en"/>
        </w:rPr>
        <w:t>,</w:t>
      </w:r>
      <w:r w:rsidRPr="00163252">
        <w:rPr>
          <w:rFonts w:ascii="Arial" w:hAnsi="Arial" w:cs="Arial"/>
          <w:sz w:val="24"/>
          <w:szCs w:val="24"/>
          <w:lang w:val="en"/>
        </w:rPr>
        <w:t xml:space="preserve"> Evidence for a Hydrodynamic Aquifer in the Lower Miocene Sands of the Mad Dog Field, Gulf of Mexico</w:t>
      </w:r>
      <w:r w:rsidR="003A770D" w:rsidRPr="00163252">
        <w:rPr>
          <w:rFonts w:ascii="Arial" w:hAnsi="Arial" w:cs="Arial"/>
          <w:sz w:val="24"/>
          <w:szCs w:val="24"/>
          <w:lang w:val="en"/>
        </w:rPr>
        <w:t>:</w:t>
      </w:r>
      <w:r w:rsidRPr="00163252">
        <w:rPr>
          <w:rFonts w:ascii="Arial" w:hAnsi="Arial" w:cs="Arial"/>
          <w:sz w:val="24"/>
          <w:szCs w:val="24"/>
          <w:lang w:val="en"/>
        </w:rPr>
        <w:t xml:space="preserve"> </w:t>
      </w:r>
      <w:r w:rsidR="00053DDF" w:rsidRPr="00163252">
        <w:rPr>
          <w:rFonts w:ascii="Arial" w:hAnsi="Arial" w:cs="Arial"/>
          <w:sz w:val="24"/>
          <w:szCs w:val="24"/>
          <w:lang w:val="en"/>
        </w:rPr>
        <w:t xml:space="preserve">Search and </w:t>
      </w:r>
      <w:r w:rsidRPr="00163252">
        <w:rPr>
          <w:rFonts w:ascii="Arial" w:hAnsi="Arial" w:cs="Arial"/>
          <w:sz w:val="24"/>
          <w:szCs w:val="24"/>
          <w:lang w:val="en"/>
        </w:rPr>
        <w:t xml:space="preserve">Discovery Article #10221 (2010), Posted January 25, 2010, </w:t>
      </w:r>
      <w:r w:rsidR="00053DDF" w:rsidRPr="00163252">
        <w:rPr>
          <w:rFonts w:ascii="Arial" w:hAnsi="Arial" w:cs="Arial"/>
          <w:sz w:val="24"/>
          <w:szCs w:val="24"/>
          <w:lang w:val="en"/>
        </w:rPr>
        <w:t>Adapted from extended abstract from AAPG Convention, Denver, Colorado, June 7-10, 2009</w:t>
      </w:r>
      <w:r w:rsidR="00F4334A" w:rsidRPr="00163252">
        <w:rPr>
          <w:rFonts w:ascii="Arial" w:hAnsi="Arial" w:cs="Arial"/>
          <w:sz w:val="24"/>
          <w:szCs w:val="24"/>
          <w:lang w:val="en"/>
        </w:rPr>
        <w:t>.</w:t>
      </w:r>
    </w:p>
    <w:p w:rsidR="00F4334A" w:rsidRPr="00163252" w:rsidRDefault="00F331D8" w:rsidP="00053DDF">
      <w:pPr>
        <w:rPr>
          <w:rFonts w:ascii="Arial" w:hAnsi="Arial" w:cs="Arial"/>
          <w:sz w:val="24"/>
          <w:szCs w:val="24"/>
          <w:lang w:val="en"/>
        </w:rPr>
      </w:pPr>
      <w:r w:rsidRPr="00163252">
        <w:rPr>
          <w:rFonts w:ascii="Arial" w:hAnsi="Arial" w:cs="Arial"/>
          <w:sz w:val="24"/>
          <w:szCs w:val="24"/>
          <w:lang w:val="en"/>
        </w:rPr>
        <w:t xml:space="preserve">Forrest, M., </w:t>
      </w:r>
      <w:r w:rsidR="00F4334A" w:rsidRPr="00163252">
        <w:rPr>
          <w:rFonts w:ascii="Arial" w:hAnsi="Arial" w:cs="Arial"/>
          <w:sz w:val="24"/>
          <w:szCs w:val="24"/>
          <w:lang w:val="en"/>
        </w:rPr>
        <w:t>R. Roden, and R. Holeywell, 2010, Risking seismic amplitude anomaly prosp</w:t>
      </w:r>
      <w:r w:rsidR="00602CEC" w:rsidRPr="00163252">
        <w:rPr>
          <w:rFonts w:ascii="Arial" w:hAnsi="Arial" w:cs="Arial"/>
          <w:sz w:val="24"/>
          <w:szCs w:val="24"/>
          <w:lang w:val="en"/>
        </w:rPr>
        <w:t xml:space="preserve">ects based on database trends: </w:t>
      </w:r>
      <w:r w:rsidR="00F4334A" w:rsidRPr="00163252">
        <w:rPr>
          <w:rFonts w:ascii="Arial" w:hAnsi="Arial" w:cs="Arial"/>
          <w:sz w:val="24"/>
          <w:szCs w:val="24"/>
          <w:lang w:val="en"/>
        </w:rPr>
        <w:t>The Lea</w:t>
      </w:r>
      <w:r w:rsidR="00602CEC" w:rsidRPr="00163252">
        <w:rPr>
          <w:rFonts w:ascii="Arial" w:hAnsi="Arial" w:cs="Arial"/>
          <w:sz w:val="24"/>
          <w:szCs w:val="24"/>
          <w:lang w:val="en"/>
        </w:rPr>
        <w:t xml:space="preserve">ding Edge, May 2010, v. 29, p. </w:t>
      </w:r>
      <w:r w:rsidR="00F4334A" w:rsidRPr="00163252">
        <w:rPr>
          <w:rFonts w:ascii="Arial" w:hAnsi="Arial" w:cs="Arial"/>
          <w:sz w:val="24"/>
          <w:szCs w:val="24"/>
          <w:lang w:val="en"/>
        </w:rPr>
        <w:t>570-574.</w:t>
      </w:r>
    </w:p>
    <w:p w:rsidR="00BA6BC5" w:rsidRPr="00163252" w:rsidRDefault="00BA6BC5" w:rsidP="00BA6BC5">
      <w:pPr>
        <w:rPr>
          <w:rFonts w:ascii="Arial" w:hAnsi="Arial" w:cs="Arial"/>
          <w:sz w:val="24"/>
          <w:szCs w:val="24"/>
          <w:lang w:val="en"/>
        </w:rPr>
      </w:pPr>
      <w:r w:rsidRPr="00163252">
        <w:rPr>
          <w:rFonts w:ascii="Arial" w:hAnsi="Arial" w:cs="Arial"/>
          <w:sz w:val="24"/>
          <w:szCs w:val="24"/>
          <w:lang w:val="en"/>
        </w:rPr>
        <w:t xml:space="preserve">Fosvold, L., </w:t>
      </w:r>
      <w:r w:rsidR="00F00BDF" w:rsidRPr="00163252">
        <w:rPr>
          <w:rFonts w:ascii="Arial" w:hAnsi="Arial" w:cs="Arial"/>
          <w:sz w:val="24"/>
          <w:szCs w:val="24"/>
          <w:lang w:val="en"/>
        </w:rPr>
        <w:t xml:space="preserve">M. </w:t>
      </w:r>
      <w:r w:rsidRPr="00163252">
        <w:rPr>
          <w:rFonts w:ascii="Arial" w:hAnsi="Arial" w:cs="Arial"/>
          <w:sz w:val="24"/>
          <w:szCs w:val="24"/>
          <w:lang w:val="en"/>
        </w:rPr>
        <w:t xml:space="preserve">Thomsen, </w:t>
      </w:r>
      <w:r w:rsidR="00F00BDF" w:rsidRPr="00163252">
        <w:rPr>
          <w:rFonts w:ascii="Arial" w:hAnsi="Arial" w:cs="Arial"/>
          <w:sz w:val="24"/>
          <w:szCs w:val="24"/>
          <w:lang w:val="en"/>
        </w:rPr>
        <w:t xml:space="preserve">M. </w:t>
      </w:r>
      <w:r w:rsidRPr="00163252">
        <w:rPr>
          <w:rFonts w:ascii="Arial" w:hAnsi="Arial" w:cs="Arial"/>
          <w:sz w:val="24"/>
          <w:szCs w:val="24"/>
          <w:lang w:val="en"/>
        </w:rPr>
        <w:t xml:space="preserve">Brown, </w:t>
      </w:r>
      <w:r w:rsidR="00F00BDF" w:rsidRPr="00163252">
        <w:rPr>
          <w:rFonts w:ascii="Arial" w:hAnsi="Arial" w:cs="Arial"/>
          <w:sz w:val="24"/>
          <w:szCs w:val="24"/>
          <w:lang w:val="en"/>
        </w:rPr>
        <w:t xml:space="preserve">L. </w:t>
      </w:r>
      <w:r w:rsidRPr="00163252">
        <w:rPr>
          <w:rFonts w:ascii="Arial" w:hAnsi="Arial" w:cs="Arial"/>
          <w:sz w:val="24"/>
          <w:szCs w:val="24"/>
          <w:lang w:val="en"/>
        </w:rPr>
        <w:t xml:space="preserve">Kullerud., </w:t>
      </w:r>
      <w:r w:rsidR="00F00BDF" w:rsidRPr="00163252">
        <w:rPr>
          <w:rFonts w:ascii="Arial" w:hAnsi="Arial" w:cs="Arial"/>
          <w:sz w:val="24"/>
          <w:szCs w:val="24"/>
          <w:lang w:val="en"/>
        </w:rPr>
        <w:t xml:space="preserve">N. </w:t>
      </w:r>
      <w:proofErr w:type="spellStart"/>
      <w:r w:rsidRPr="00163252">
        <w:rPr>
          <w:rFonts w:ascii="Arial" w:hAnsi="Arial" w:cs="Arial"/>
          <w:sz w:val="24"/>
          <w:szCs w:val="24"/>
          <w:lang w:val="en"/>
        </w:rPr>
        <w:t>Ofstad,</w:t>
      </w:r>
      <w:r w:rsidR="00F00BDF" w:rsidRPr="00163252">
        <w:rPr>
          <w:rFonts w:ascii="Arial" w:hAnsi="Arial" w:cs="Arial"/>
          <w:sz w:val="24"/>
          <w:szCs w:val="24"/>
          <w:lang w:val="en"/>
        </w:rPr>
        <w:t>and</w:t>
      </w:r>
      <w:proofErr w:type="spellEnd"/>
      <w:r w:rsidR="00F00BDF" w:rsidRPr="00163252">
        <w:rPr>
          <w:rFonts w:ascii="Arial" w:hAnsi="Arial" w:cs="Arial"/>
          <w:sz w:val="24"/>
          <w:szCs w:val="24"/>
          <w:lang w:val="en"/>
        </w:rPr>
        <w:t xml:space="preserve"> K. </w:t>
      </w:r>
      <w:r w:rsidRPr="00163252">
        <w:rPr>
          <w:rFonts w:ascii="Arial" w:hAnsi="Arial" w:cs="Arial"/>
          <w:sz w:val="24"/>
          <w:szCs w:val="24"/>
          <w:lang w:val="en"/>
        </w:rPr>
        <w:t>Heggland, 2000, Volumes before and after exploration drilling: results from the project: Evaluation of Norwegian Wildcat Wells (Article 2)</w:t>
      </w:r>
      <w:r w:rsidR="00F00BDF" w:rsidRPr="00163252">
        <w:rPr>
          <w:rFonts w:ascii="Arial" w:hAnsi="Arial" w:cs="Arial"/>
          <w:sz w:val="24"/>
          <w:szCs w:val="24"/>
          <w:lang w:val="en"/>
        </w:rPr>
        <w:t>:</w:t>
      </w:r>
      <w:r w:rsidRPr="00163252">
        <w:rPr>
          <w:rFonts w:ascii="Arial" w:hAnsi="Arial" w:cs="Arial"/>
          <w:sz w:val="24"/>
          <w:szCs w:val="24"/>
          <w:lang w:val="en"/>
        </w:rPr>
        <w:t xml:space="preserve"> Norwegian Petroleum Society Special Publication</w:t>
      </w:r>
      <w:r w:rsidR="005A2407" w:rsidRPr="00163252">
        <w:rPr>
          <w:rFonts w:ascii="Arial" w:hAnsi="Arial" w:cs="Arial"/>
          <w:sz w:val="24"/>
          <w:szCs w:val="24"/>
          <w:lang w:val="en"/>
        </w:rPr>
        <w:t>s,</w:t>
      </w:r>
      <w:r w:rsidR="00F00BDF" w:rsidRPr="00163252">
        <w:rPr>
          <w:rFonts w:ascii="Arial" w:hAnsi="Arial" w:cs="Arial"/>
          <w:sz w:val="24"/>
          <w:szCs w:val="24"/>
          <w:lang w:val="en"/>
        </w:rPr>
        <w:t xml:space="preserve"> no.</w:t>
      </w:r>
      <w:r w:rsidRPr="00163252">
        <w:rPr>
          <w:rFonts w:ascii="Arial" w:hAnsi="Arial" w:cs="Arial"/>
          <w:sz w:val="24"/>
          <w:szCs w:val="24"/>
          <w:lang w:val="en"/>
        </w:rPr>
        <w:t xml:space="preserve"> 9, </w:t>
      </w:r>
      <w:r w:rsidR="00F00BDF" w:rsidRPr="00163252">
        <w:rPr>
          <w:rFonts w:ascii="Arial" w:hAnsi="Arial" w:cs="Arial"/>
          <w:sz w:val="24"/>
          <w:szCs w:val="24"/>
          <w:lang w:val="en"/>
        </w:rPr>
        <w:t xml:space="preserve">p. </w:t>
      </w:r>
      <w:r w:rsidRPr="00163252">
        <w:rPr>
          <w:rFonts w:ascii="Arial" w:hAnsi="Arial" w:cs="Arial"/>
          <w:sz w:val="24"/>
          <w:szCs w:val="24"/>
          <w:lang w:val="en"/>
        </w:rPr>
        <w:t>33-46</w:t>
      </w:r>
    </w:p>
    <w:p w:rsidR="00B16B71" w:rsidRPr="00163252" w:rsidRDefault="00B16B71" w:rsidP="00FF443D">
      <w:pPr>
        <w:rPr>
          <w:rFonts w:ascii="Arial" w:hAnsi="Arial" w:cs="Arial"/>
          <w:sz w:val="24"/>
          <w:szCs w:val="24"/>
          <w:lang w:val="en"/>
        </w:rPr>
      </w:pPr>
      <w:r w:rsidRPr="00163252">
        <w:rPr>
          <w:rFonts w:ascii="Arial" w:hAnsi="Arial" w:cs="Arial"/>
          <w:sz w:val="24"/>
          <w:szCs w:val="24"/>
          <w:lang w:val="en"/>
        </w:rPr>
        <w:t xml:space="preserve">Harper, </w:t>
      </w:r>
      <w:proofErr w:type="spellStart"/>
      <w:r w:rsidRPr="00163252">
        <w:rPr>
          <w:rFonts w:ascii="Arial" w:hAnsi="Arial" w:cs="Arial"/>
          <w:sz w:val="24"/>
          <w:szCs w:val="24"/>
          <w:lang w:val="en"/>
        </w:rPr>
        <w:t>F.G</w:t>
      </w:r>
      <w:proofErr w:type="spellEnd"/>
      <w:r w:rsidRPr="00163252">
        <w:rPr>
          <w:rFonts w:ascii="Arial" w:hAnsi="Arial" w:cs="Arial"/>
          <w:sz w:val="24"/>
          <w:szCs w:val="24"/>
          <w:lang w:val="en"/>
        </w:rPr>
        <w:t>., 2000, Prediction accuracy in petroleum prospect assessment: a 15 year retrospective in BP</w:t>
      </w:r>
      <w:r w:rsidR="00AD3944" w:rsidRPr="00163252">
        <w:rPr>
          <w:rFonts w:ascii="Arial" w:hAnsi="Arial" w:cs="Arial"/>
          <w:sz w:val="24"/>
          <w:szCs w:val="24"/>
          <w:lang w:val="en"/>
        </w:rPr>
        <w:t>:</w:t>
      </w:r>
      <w:r w:rsidRPr="00163252">
        <w:rPr>
          <w:rFonts w:ascii="Arial" w:hAnsi="Arial" w:cs="Arial"/>
          <w:sz w:val="24"/>
          <w:szCs w:val="24"/>
          <w:lang w:val="en"/>
        </w:rPr>
        <w:t xml:space="preserve"> Norwegian</w:t>
      </w:r>
      <w:r w:rsidR="002F6377" w:rsidRPr="00163252">
        <w:rPr>
          <w:rFonts w:ascii="Arial" w:hAnsi="Arial" w:cs="Arial"/>
          <w:sz w:val="24"/>
          <w:szCs w:val="24"/>
          <w:lang w:val="en"/>
        </w:rPr>
        <w:t xml:space="preserve"> Petroleum Society </w:t>
      </w:r>
      <w:r w:rsidRPr="00163252">
        <w:rPr>
          <w:rFonts w:ascii="Arial" w:hAnsi="Arial" w:cs="Arial"/>
          <w:sz w:val="24"/>
          <w:szCs w:val="24"/>
          <w:lang w:val="en"/>
        </w:rPr>
        <w:t>Special Publication</w:t>
      </w:r>
      <w:r w:rsidR="005A2407" w:rsidRPr="00163252">
        <w:rPr>
          <w:rFonts w:ascii="Arial" w:hAnsi="Arial" w:cs="Arial"/>
          <w:sz w:val="24"/>
          <w:szCs w:val="24"/>
          <w:lang w:val="en"/>
        </w:rPr>
        <w:t>s</w:t>
      </w:r>
      <w:r w:rsidRPr="00163252">
        <w:rPr>
          <w:rFonts w:ascii="Arial" w:hAnsi="Arial" w:cs="Arial"/>
          <w:sz w:val="24"/>
          <w:szCs w:val="24"/>
          <w:lang w:val="en"/>
        </w:rPr>
        <w:t xml:space="preserve">, </w:t>
      </w:r>
      <w:r w:rsidR="00AD3944" w:rsidRPr="00163252">
        <w:rPr>
          <w:rFonts w:ascii="Arial" w:hAnsi="Arial" w:cs="Arial"/>
          <w:sz w:val="24"/>
          <w:szCs w:val="24"/>
          <w:lang w:val="en"/>
        </w:rPr>
        <w:t xml:space="preserve">no. </w:t>
      </w:r>
      <w:r w:rsidRPr="00163252">
        <w:rPr>
          <w:rFonts w:ascii="Arial" w:hAnsi="Arial" w:cs="Arial"/>
          <w:sz w:val="24"/>
          <w:szCs w:val="24"/>
          <w:lang w:val="en"/>
        </w:rPr>
        <w:t>9</w:t>
      </w:r>
      <w:proofErr w:type="gramStart"/>
      <w:r w:rsidRPr="00163252">
        <w:rPr>
          <w:rFonts w:ascii="Arial" w:hAnsi="Arial" w:cs="Arial"/>
          <w:sz w:val="24"/>
          <w:szCs w:val="24"/>
          <w:lang w:val="en"/>
        </w:rPr>
        <w:t xml:space="preserve">,  </w:t>
      </w:r>
      <w:r w:rsidR="00AD3944" w:rsidRPr="00163252">
        <w:rPr>
          <w:rFonts w:ascii="Arial" w:hAnsi="Arial" w:cs="Arial"/>
          <w:sz w:val="24"/>
          <w:szCs w:val="24"/>
          <w:lang w:val="en"/>
        </w:rPr>
        <w:t>p</w:t>
      </w:r>
      <w:proofErr w:type="gramEnd"/>
      <w:r w:rsidR="00AD3944" w:rsidRPr="00163252">
        <w:rPr>
          <w:rFonts w:ascii="Arial" w:hAnsi="Arial" w:cs="Arial"/>
          <w:sz w:val="24"/>
          <w:szCs w:val="24"/>
          <w:lang w:val="en"/>
        </w:rPr>
        <w:t xml:space="preserve">. </w:t>
      </w:r>
      <w:r w:rsidRPr="00163252">
        <w:rPr>
          <w:rFonts w:ascii="Arial" w:hAnsi="Arial" w:cs="Arial"/>
          <w:sz w:val="24"/>
          <w:szCs w:val="24"/>
          <w:lang w:val="en"/>
        </w:rPr>
        <w:t xml:space="preserve">15-21.  </w:t>
      </w:r>
    </w:p>
    <w:p w:rsidR="00D86E0E" w:rsidRPr="00163252" w:rsidRDefault="00D86E0E" w:rsidP="00D86E0E">
      <w:pPr>
        <w:rPr>
          <w:rFonts w:ascii="Arial" w:hAnsi="Arial" w:cs="Arial"/>
          <w:sz w:val="24"/>
          <w:szCs w:val="24"/>
          <w:lang w:val="en"/>
        </w:rPr>
      </w:pPr>
      <w:r w:rsidRPr="00163252">
        <w:rPr>
          <w:rFonts w:ascii="Arial" w:hAnsi="Arial" w:cs="Arial"/>
          <w:sz w:val="24"/>
          <w:szCs w:val="24"/>
          <w:lang w:val="en"/>
        </w:rPr>
        <w:t xml:space="preserve">Hogarth, R. M., 1978, </w:t>
      </w:r>
      <w:proofErr w:type="gramStart"/>
      <w:r w:rsidRPr="00163252">
        <w:rPr>
          <w:rFonts w:ascii="Arial" w:hAnsi="Arial" w:cs="Arial"/>
          <w:sz w:val="24"/>
          <w:szCs w:val="24"/>
          <w:lang w:val="en"/>
        </w:rPr>
        <w:t>A</w:t>
      </w:r>
      <w:proofErr w:type="gramEnd"/>
      <w:r w:rsidRPr="00163252">
        <w:rPr>
          <w:rFonts w:ascii="Arial" w:hAnsi="Arial" w:cs="Arial"/>
          <w:sz w:val="24"/>
          <w:szCs w:val="24"/>
          <w:lang w:val="en"/>
        </w:rPr>
        <w:t xml:space="preserve"> note on aggregating opinions: Organizational Behavior and Human Performance, v. 21, p. 40-46.</w:t>
      </w:r>
    </w:p>
    <w:p w:rsidR="00980032" w:rsidRPr="00163252" w:rsidRDefault="00980032" w:rsidP="00FF443D">
      <w:pPr>
        <w:rPr>
          <w:rFonts w:ascii="Arial" w:hAnsi="Arial" w:cs="Arial"/>
          <w:sz w:val="24"/>
          <w:szCs w:val="24"/>
          <w:lang w:val="en"/>
        </w:rPr>
      </w:pPr>
      <w:r w:rsidRPr="00163252">
        <w:rPr>
          <w:rFonts w:ascii="Arial" w:hAnsi="Arial" w:cs="Arial"/>
          <w:sz w:val="24"/>
          <w:szCs w:val="24"/>
          <w:lang w:val="en"/>
        </w:rPr>
        <w:t>Hora, S.C., 2007, Eliciting probabilities from experts:</w:t>
      </w:r>
      <w:r w:rsidRPr="00163252">
        <w:rPr>
          <w:rFonts w:ascii="Arial" w:hAnsi="Arial" w:cs="Arial"/>
          <w:i/>
          <w:sz w:val="24"/>
          <w:szCs w:val="24"/>
          <w:lang w:val="en"/>
        </w:rPr>
        <w:t xml:space="preserve"> in:</w:t>
      </w:r>
      <w:r w:rsidRPr="00163252">
        <w:rPr>
          <w:rFonts w:ascii="Arial" w:hAnsi="Arial" w:cs="Arial"/>
          <w:sz w:val="24"/>
          <w:szCs w:val="24"/>
          <w:lang w:val="en"/>
        </w:rPr>
        <w:t xml:space="preserve"> W. Edwards, Miles, R.F., and Winterfield, D. v., eds., Advances in Decision Analysis: from foundations to applications, Cambridge, Cambridge University Press, p. 129-153.</w:t>
      </w:r>
    </w:p>
    <w:p w:rsidR="007D6FE0" w:rsidRPr="00163252" w:rsidRDefault="007D6FE0" w:rsidP="00FF443D">
      <w:pPr>
        <w:rPr>
          <w:rFonts w:ascii="Arial" w:hAnsi="Arial" w:cs="Arial"/>
          <w:sz w:val="24"/>
          <w:szCs w:val="24"/>
          <w:lang w:val="en"/>
        </w:rPr>
      </w:pPr>
      <w:r w:rsidRPr="00163252">
        <w:rPr>
          <w:rFonts w:ascii="Arial" w:hAnsi="Arial" w:cs="Arial"/>
          <w:sz w:val="24"/>
          <w:szCs w:val="24"/>
          <w:lang w:val="en"/>
        </w:rPr>
        <w:t>Jardine, E., 1997</w:t>
      </w:r>
      <w:r w:rsidR="00AD3944" w:rsidRPr="00163252">
        <w:rPr>
          <w:rFonts w:ascii="Arial" w:hAnsi="Arial" w:cs="Arial"/>
          <w:sz w:val="24"/>
          <w:szCs w:val="24"/>
          <w:lang w:val="en"/>
        </w:rPr>
        <w:t>,</w:t>
      </w:r>
      <w:r w:rsidRPr="00163252">
        <w:rPr>
          <w:rFonts w:ascii="Arial" w:hAnsi="Arial" w:cs="Arial"/>
          <w:sz w:val="24"/>
          <w:szCs w:val="24"/>
          <w:lang w:val="en"/>
        </w:rPr>
        <w:t xml:space="preserve"> Dual Petroleum Systems Governing the Prolific Pattani Basin Offshore Thailand</w:t>
      </w:r>
      <w:r w:rsidR="00AD3944" w:rsidRPr="00163252">
        <w:rPr>
          <w:rFonts w:ascii="Arial" w:hAnsi="Arial" w:cs="Arial"/>
          <w:sz w:val="24"/>
          <w:szCs w:val="24"/>
          <w:lang w:val="en"/>
        </w:rPr>
        <w:t>:</w:t>
      </w:r>
      <w:r w:rsidRPr="00163252">
        <w:rPr>
          <w:rFonts w:ascii="Arial" w:hAnsi="Arial" w:cs="Arial"/>
          <w:sz w:val="24"/>
          <w:szCs w:val="24"/>
          <w:lang w:val="en"/>
        </w:rPr>
        <w:t xml:space="preserve"> </w:t>
      </w:r>
      <w:r w:rsidRPr="00163252">
        <w:rPr>
          <w:rFonts w:ascii="Arial" w:hAnsi="Arial" w:cs="Arial"/>
          <w:i/>
          <w:sz w:val="24"/>
          <w:szCs w:val="24"/>
          <w:lang w:val="en"/>
        </w:rPr>
        <w:t>in</w:t>
      </w:r>
      <w:r w:rsidR="00AD3944" w:rsidRPr="00163252">
        <w:rPr>
          <w:rFonts w:ascii="Arial" w:hAnsi="Arial" w:cs="Arial"/>
          <w:i/>
          <w:sz w:val="24"/>
          <w:szCs w:val="24"/>
          <w:lang w:val="en"/>
        </w:rPr>
        <w:t>:</w:t>
      </w:r>
      <w:r w:rsidRPr="00163252">
        <w:rPr>
          <w:rFonts w:ascii="Arial" w:hAnsi="Arial" w:cs="Arial"/>
          <w:sz w:val="24"/>
          <w:szCs w:val="24"/>
          <w:lang w:val="en"/>
        </w:rPr>
        <w:t xml:space="preserve"> Indonesian Petroleum Association, Proceedings of the Petroleum Systems of SE Asia and Australasia Conference, Jakarta, </w:t>
      </w:r>
      <w:r w:rsidR="00AD3944" w:rsidRPr="00163252">
        <w:rPr>
          <w:rFonts w:ascii="Arial" w:hAnsi="Arial" w:cs="Arial"/>
          <w:sz w:val="24"/>
          <w:szCs w:val="24"/>
          <w:lang w:val="en"/>
        </w:rPr>
        <w:t xml:space="preserve">p. </w:t>
      </w:r>
      <w:r w:rsidRPr="00163252">
        <w:rPr>
          <w:rFonts w:ascii="Arial" w:hAnsi="Arial" w:cs="Arial"/>
          <w:sz w:val="24"/>
          <w:szCs w:val="24"/>
          <w:lang w:val="en"/>
        </w:rPr>
        <w:t xml:space="preserve">351-363 </w:t>
      </w:r>
    </w:p>
    <w:p w:rsidR="005A2407" w:rsidRPr="00163252" w:rsidRDefault="005A2407" w:rsidP="00FF443D">
      <w:pPr>
        <w:rPr>
          <w:rFonts w:ascii="Arial" w:hAnsi="Arial" w:cs="Arial"/>
          <w:sz w:val="24"/>
          <w:szCs w:val="24"/>
          <w:lang w:val="en"/>
        </w:rPr>
      </w:pPr>
      <w:r w:rsidRPr="00163252">
        <w:rPr>
          <w:rFonts w:ascii="Arial" w:hAnsi="Arial" w:cs="Arial"/>
          <w:sz w:val="24"/>
          <w:szCs w:val="24"/>
          <w:lang w:val="en"/>
        </w:rPr>
        <w:t>Kent, S., 1964, Words of estimative probability:  in D.P Steurey, ed., 1994, Sherman Kent and the Board of National Estimates: collected essays, Washington, D.C., Center for the study of intelligence, https://www.cia.gov/library/center-for-the-study-of-intelligence/csi-publications/books-and-monographs/sherman-kent-and-the-board-of-national-estimates-collected-essays</w:t>
      </w:r>
    </w:p>
    <w:p w:rsidR="00D04FBB" w:rsidRPr="00163252" w:rsidRDefault="00D04FBB" w:rsidP="00D04FBB">
      <w:pPr>
        <w:rPr>
          <w:rFonts w:ascii="Arial" w:hAnsi="Arial" w:cs="Arial"/>
          <w:sz w:val="24"/>
          <w:szCs w:val="24"/>
          <w:lang w:val="en"/>
        </w:rPr>
      </w:pPr>
      <w:r w:rsidRPr="00163252">
        <w:rPr>
          <w:rFonts w:ascii="Arial" w:hAnsi="Arial" w:cs="Arial"/>
          <w:sz w:val="24"/>
          <w:szCs w:val="24"/>
          <w:lang w:val="en"/>
        </w:rPr>
        <w:t>Laplace, P</w:t>
      </w:r>
      <w:r w:rsidR="0091406A" w:rsidRPr="00163252">
        <w:rPr>
          <w:rFonts w:ascii="Arial" w:hAnsi="Arial" w:cs="Arial"/>
          <w:sz w:val="24"/>
          <w:szCs w:val="24"/>
          <w:lang w:val="en"/>
        </w:rPr>
        <w:t>-</w:t>
      </w:r>
      <w:proofErr w:type="spellStart"/>
      <w:r w:rsidRPr="00163252">
        <w:rPr>
          <w:rFonts w:ascii="Arial" w:hAnsi="Arial" w:cs="Arial"/>
          <w:sz w:val="24"/>
          <w:szCs w:val="24"/>
          <w:lang w:val="en"/>
        </w:rPr>
        <w:t>S.</w:t>
      </w:r>
      <w:proofErr w:type="gramStart"/>
      <w:r w:rsidR="00AD3944" w:rsidRPr="00163252">
        <w:rPr>
          <w:rFonts w:ascii="Arial" w:hAnsi="Arial" w:cs="Arial"/>
          <w:sz w:val="24"/>
          <w:szCs w:val="24"/>
          <w:lang w:val="en"/>
        </w:rPr>
        <w:t>,</w:t>
      </w:r>
      <w:r w:rsidRPr="00163252">
        <w:rPr>
          <w:rFonts w:ascii="Arial" w:hAnsi="Arial" w:cs="Arial"/>
          <w:sz w:val="24"/>
          <w:szCs w:val="24"/>
          <w:lang w:val="en"/>
        </w:rPr>
        <w:t>1774</w:t>
      </w:r>
      <w:proofErr w:type="spellEnd"/>
      <w:proofErr w:type="gramEnd"/>
      <w:r w:rsidR="00AD3944" w:rsidRPr="00163252">
        <w:rPr>
          <w:rFonts w:ascii="Arial" w:hAnsi="Arial" w:cs="Arial"/>
          <w:sz w:val="24"/>
          <w:szCs w:val="24"/>
          <w:lang w:val="en"/>
        </w:rPr>
        <w:t>,</w:t>
      </w:r>
      <w:r w:rsidRPr="00163252">
        <w:rPr>
          <w:rFonts w:ascii="Arial" w:hAnsi="Arial" w:cs="Arial"/>
          <w:sz w:val="24"/>
          <w:szCs w:val="24"/>
          <w:lang w:val="en"/>
        </w:rPr>
        <w:t xml:space="preserve"> </w:t>
      </w:r>
      <w:proofErr w:type="spellStart"/>
      <w:r w:rsidRPr="00163252">
        <w:rPr>
          <w:rFonts w:ascii="Arial" w:hAnsi="Arial" w:cs="Arial"/>
          <w:sz w:val="24"/>
          <w:szCs w:val="24"/>
          <w:lang w:val="en"/>
        </w:rPr>
        <w:t>Mémoire</w:t>
      </w:r>
      <w:proofErr w:type="spellEnd"/>
      <w:r w:rsidRPr="00163252">
        <w:rPr>
          <w:rFonts w:ascii="Arial" w:hAnsi="Arial" w:cs="Arial"/>
          <w:sz w:val="24"/>
          <w:szCs w:val="24"/>
          <w:lang w:val="en"/>
        </w:rPr>
        <w:t xml:space="preserve"> sur la probabilité des causes par les </w:t>
      </w:r>
      <w:proofErr w:type="spellStart"/>
      <w:r w:rsidRPr="00163252">
        <w:rPr>
          <w:rFonts w:ascii="Arial" w:hAnsi="Arial" w:cs="Arial"/>
          <w:sz w:val="24"/>
          <w:szCs w:val="24"/>
          <w:lang w:val="en"/>
        </w:rPr>
        <w:t>événements</w:t>
      </w:r>
      <w:proofErr w:type="spellEnd"/>
      <w:r w:rsidR="00AD3944" w:rsidRPr="00163252">
        <w:rPr>
          <w:rFonts w:ascii="Arial" w:hAnsi="Arial" w:cs="Arial"/>
          <w:sz w:val="24"/>
          <w:szCs w:val="24"/>
          <w:lang w:val="en"/>
        </w:rPr>
        <w:t xml:space="preserve">: </w:t>
      </w:r>
      <w:proofErr w:type="spellStart"/>
      <w:r w:rsidRPr="00163252">
        <w:rPr>
          <w:rFonts w:ascii="Arial" w:hAnsi="Arial" w:cs="Arial"/>
          <w:sz w:val="24"/>
          <w:szCs w:val="24"/>
          <w:lang w:val="en"/>
        </w:rPr>
        <w:t>Mémoires</w:t>
      </w:r>
      <w:proofErr w:type="spellEnd"/>
      <w:r w:rsidRPr="00163252">
        <w:rPr>
          <w:rFonts w:ascii="Arial" w:hAnsi="Arial" w:cs="Arial"/>
          <w:sz w:val="24"/>
          <w:szCs w:val="24"/>
          <w:lang w:val="en"/>
        </w:rPr>
        <w:t xml:space="preserve"> de </w:t>
      </w:r>
      <w:proofErr w:type="spellStart"/>
      <w:r w:rsidRPr="00163252">
        <w:rPr>
          <w:rFonts w:ascii="Arial" w:hAnsi="Arial" w:cs="Arial"/>
          <w:sz w:val="24"/>
          <w:szCs w:val="24"/>
          <w:lang w:val="en"/>
        </w:rPr>
        <w:t>l'Académie</w:t>
      </w:r>
      <w:proofErr w:type="spellEnd"/>
      <w:r w:rsidRPr="00163252">
        <w:rPr>
          <w:rFonts w:ascii="Arial" w:hAnsi="Arial" w:cs="Arial"/>
          <w:sz w:val="24"/>
          <w:szCs w:val="24"/>
          <w:lang w:val="en"/>
        </w:rPr>
        <w:t xml:space="preserve"> Royale des Sciences de Paris, Tome VI,</w:t>
      </w:r>
      <w:r w:rsidR="00AD3944" w:rsidRPr="00163252">
        <w:rPr>
          <w:rFonts w:ascii="Arial" w:hAnsi="Arial" w:cs="Arial"/>
          <w:sz w:val="24"/>
          <w:szCs w:val="24"/>
          <w:lang w:val="en"/>
        </w:rPr>
        <w:t xml:space="preserve"> p.</w:t>
      </w:r>
      <w:r w:rsidRPr="00163252">
        <w:rPr>
          <w:rFonts w:ascii="Arial" w:hAnsi="Arial" w:cs="Arial"/>
          <w:sz w:val="24"/>
          <w:szCs w:val="24"/>
          <w:lang w:val="en"/>
        </w:rPr>
        <w:t xml:space="preserve"> 621–656.</w:t>
      </w:r>
    </w:p>
    <w:p w:rsidR="00D04FBB" w:rsidRPr="00163252" w:rsidRDefault="009213CC" w:rsidP="00FF443D">
      <w:pPr>
        <w:rPr>
          <w:rFonts w:ascii="Arial" w:hAnsi="Arial" w:cs="Arial"/>
          <w:sz w:val="24"/>
          <w:szCs w:val="24"/>
          <w:lang w:val="en"/>
        </w:rPr>
      </w:pPr>
      <w:r w:rsidRPr="00163252">
        <w:rPr>
          <w:rFonts w:ascii="Arial" w:hAnsi="Arial" w:cs="Arial"/>
          <w:sz w:val="24"/>
          <w:szCs w:val="24"/>
          <w:lang w:val="en"/>
        </w:rPr>
        <w:t xml:space="preserve">Megill, R.E., </w:t>
      </w:r>
      <w:r w:rsidR="00AD3944" w:rsidRPr="00163252">
        <w:rPr>
          <w:rFonts w:ascii="Arial" w:hAnsi="Arial" w:cs="Arial"/>
          <w:sz w:val="24"/>
          <w:szCs w:val="24"/>
          <w:lang w:val="en"/>
        </w:rPr>
        <w:t xml:space="preserve">1977, An introduction to exploration risk analysis: Tulsa, </w:t>
      </w:r>
      <w:proofErr w:type="gramStart"/>
      <w:r w:rsidR="00AD3944" w:rsidRPr="00163252">
        <w:rPr>
          <w:rFonts w:ascii="Arial" w:hAnsi="Arial" w:cs="Arial"/>
          <w:sz w:val="24"/>
          <w:szCs w:val="24"/>
          <w:lang w:val="en"/>
        </w:rPr>
        <w:t>OK.,</w:t>
      </w:r>
      <w:proofErr w:type="gramEnd"/>
      <w:r w:rsidR="00AD3944" w:rsidRPr="00163252">
        <w:rPr>
          <w:rFonts w:ascii="Arial" w:hAnsi="Arial" w:cs="Arial"/>
          <w:sz w:val="24"/>
          <w:szCs w:val="24"/>
          <w:lang w:val="en"/>
        </w:rPr>
        <w:t xml:space="preserve"> PennWell, 273 p.</w:t>
      </w:r>
    </w:p>
    <w:p w:rsidR="000F4898" w:rsidRPr="00163252" w:rsidRDefault="000F4898" w:rsidP="00FF443D">
      <w:pPr>
        <w:rPr>
          <w:rFonts w:ascii="Arial" w:hAnsi="Arial" w:cs="Arial"/>
          <w:sz w:val="24"/>
          <w:szCs w:val="24"/>
          <w:lang w:val="en"/>
        </w:rPr>
      </w:pPr>
      <w:r w:rsidRPr="00163252">
        <w:rPr>
          <w:rFonts w:ascii="Arial" w:hAnsi="Arial" w:cs="Arial"/>
          <w:sz w:val="24"/>
          <w:szCs w:val="24"/>
          <w:lang w:val="en"/>
        </w:rPr>
        <w:lastRenderedPageBreak/>
        <w:t>Moore, M.G., G.M. Apps, and F.J. Peel, 2001, The Petroleum System of the Western Atwater Foldbelt in the Ultra Deep Water Gulf of Mexico: Gulf Coast Section Society of SEPM Foundation, 21st Annual Bob F. Perkins Research Conference, December 2-5, Houston, Texas.</w:t>
      </w:r>
    </w:p>
    <w:p w:rsidR="00F4334A" w:rsidRPr="00163252" w:rsidRDefault="00F4334A" w:rsidP="00FF443D">
      <w:pPr>
        <w:rPr>
          <w:rFonts w:ascii="Arial" w:hAnsi="Arial" w:cs="Arial"/>
          <w:sz w:val="24"/>
          <w:szCs w:val="24"/>
          <w:lang w:val="en"/>
        </w:rPr>
      </w:pPr>
      <w:r w:rsidRPr="00163252">
        <w:rPr>
          <w:rFonts w:ascii="Arial" w:hAnsi="Arial" w:cs="Arial"/>
          <w:sz w:val="24"/>
          <w:szCs w:val="24"/>
          <w:lang w:val="en"/>
        </w:rPr>
        <w:t xml:space="preserve">Newendorp, P. D., 1972, Bayesian Analysis - A Method for Updating Risk Estimates: Journal of Petroleum Technology, v. 24, p. 193-198. </w:t>
      </w:r>
      <w:proofErr w:type="gramStart"/>
      <w:r w:rsidRPr="00163252">
        <w:rPr>
          <w:rFonts w:ascii="Arial" w:hAnsi="Arial" w:cs="Arial"/>
          <w:sz w:val="24"/>
          <w:szCs w:val="24"/>
          <w:lang w:val="en"/>
        </w:rPr>
        <w:t>doi:</w:t>
      </w:r>
      <w:proofErr w:type="gramEnd"/>
      <w:r w:rsidRPr="00163252">
        <w:rPr>
          <w:rFonts w:ascii="Arial" w:hAnsi="Arial" w:cs="Arial"/>
          <w:sz w:val="24"/>
          <w:szCs w:val="24"/>
          <w:lang w:val="en"/>
        </w:rPr>
        <w:t>10.2118/3463-PA</w:t>
      </w:r>
    </w:p>
    <w:p w:rsidR="00C05FC3" w:rsidRPr="00163252" w:rsidRDefault="00C05FC3" w:rsidP="00FF443D">
      <w:pPr>
        <w:rPr>
          <w:rFonts w:ascii="Arial" w:hAnsi="Arial" w:cs="Arial"/>
          <w:sz w:val="24"/>
          <w:szCs w:val="24"/>
          <w:lang w:val="en"/>
        </w:rPr>
      </w:pPr>
      <w:r w:rsidRPr="00163252">
        <w:rPr>
          <w:rFonts w:ascii="Arial" w:hAnsi="Arial" w:cs="Arial"/>
          <w:sz w:val="24"/>
          <w:szCs w:val="24"/>
          <w:lang w:val="en"/>
        </w:rPr>
        <w:t>Ofstad, K.</w:t>
      </w:r>
      <w:proofErr w:type="gramStart"/>
      <w:r w:rsidRPr="00163252">
        <w:rPr>
          <w:rFonts w:ascii="Arial" w:hAnsi="Arial" w:cs="Arial"/>
          <w:sz w:val="24"/>
          <w:szCs w:val="24"/>
          <w:lang w:val="en"/>
        </w:rPr>
        <w:t xml:space="preserve">,  </w:t>
      </w:r>
      <w:r w:rsidR="0091406A" w:rsidRPr="00163252">
        <w:rPr>
          <w:rFonts w:ascii="Arial" w:hAnsi="Arial" w:cs="Arial"/>
          <w:sz w:val="24"/>
          <w:szCs w:val="24"/>
          <w:lang w:val="en"/>
        </w:rPr>
        <w:t>E</w:t>
      </w:r>
      <w:proofErr w:type="gramEnd"/>
      <w:r w:rsidR="0091406A" w:rsidRPr="00163252">
        <w:rPr>
          <w:rFonts w:ascii="Arial" w:hAnsi="Arial" w:cs="Arial"/>
          <w:sz w:val="24"/>
          <w:szCs w:val="24"/>
          <w:lang w:val="en"/>
        </w:rPr>
        <w:t>-</w:t>
      </w:r>
      <w:r w:rsidR="00AD3944" w:rsidRPr="00163252">
        <w:rPr>
          <w:rFonts w:ascii="Arial" w:hAnsi="Arial" w:cs="Arial"/>
          <w:sz w:val="24"/>
          <w:szCs w:val="24"/>
          <w:lang w:val="en"/>
        </w:rPr>
        <w:t xml:space="preserve">J. </w:t>
      </w:r>
      <w:proofErr w:type="spellStart"/>
      <w:r w:rsidRPr="00163252">
        <w:rPr>
          <w:rFonts w:ascii="Arial" w:hAnsi="Arial" w:cs="Arial"/>
          <w:sz w:val="24"/>
          <w:szCs w:val="24"/>
          <w:lang w:val="en"/>
        </w:rPr>
        <w:t>Kittilsen</w:t>
      </w:r>
      <w:proofErr w:type="spellEnd"/>
      <w:r w:rsidR="00AD3944" w:rsidRPr="00163252">
        <w:rPr>
          <w:rFonts w:ascii="Arial" w:hAnsi="Arial" w:cs="Arial"/>
          <w:sz w:val="24"/>
          <w:szCs w:val="24"/>
          <w:lang w:val="en"/>
        </w:rPr>
        <w:t xml:space="preserve"> and P.</w:t>
      </w:r>
      <w:r w:rsidR="00DB116D" w:rsidRPr="00163252">
        <w:rPr>
          <w:rFonts w:ascii="Arial" w:hAnsi="Arial" w:cs="Arial"/>
          <w:sz w:val="24"/>
          <w:szCs w:val="24"/>
          <w:lang w:val="en"/>
        </w:rPr>
        <w:t xml:space="preserve"> </w:t>
      </w:r>
      <w:r w:rsidRPr="00163252">
        <w:rPr>
          <w:rFonts w:ascii="Arial" w:hAnsi="Arial" w:cs="Arial"/>
          <w:sz w:val="24"/>
          <w:szCs w:val="24"/>
          <w:lang w:val="en"/>
        </w:rPr>
        <w:t>Alexander-</w:t>
      </w:r>
      <w:proofErr w:type="spellStart"/>
      <w:r w:rsidRPr="00163252">
        <w:rPr>
          <w:rFonts w:ascii="Arial" w:hAnsi="Arial" w:cs="Arial"/>
          <w:sz w:val="24"/>
          <w:szCs w:val="24"/>
          <w:lang w:val="en"/>
        </w:rPr>
        <w:t>Marrack</w:t>
      </w:r>
      <w:proofErr w:type="spellEnd"/>
      <w:r w:rsidRPr="00163252">
        <w:rPr>
          <w:rFonts w:ascii="Arial" w:hAnsi="Arial" w:cs="Arial"/>
          <w:sz w:val="24"/>
          <w:szCs w:val="24"/>
          <w:lang w:val="en"/>
        </w:rPr>
        <w:t>, eds., 2000, Improving the Exploration Process by Learning from the Past</w:t>
      </w:r>
      <w:r w:rsidR="00AD3944" w:rsidRPr="00163252">
        <w:rPr>
          <w:rFonts w:ascii="Arial" w:hAnsi="Arial" w:cs="Arial"/>
          <w:sz w:val="24"/>
          <w:szCs w:val="24"/>
          <w:lang w:val="en"/>
        </w:rPr>
        <w:t>:</w:t>
      </w:r>
      <w:r w:rsidRPr="00163252">
        <w:rPr>
          <w:rFonts w:ascii="Arial" w:hAnsi="Arial" w:cs="Arial"/>
          <w:sz w:val="24"/>
          <w:szCs w:val="24"/>
          <w:lang w:val="en"/>
        </w:rPr>
        <w:t xml:space="preserve"> Norwegian Petroleum Society (NPF) Special Publication</w:t>
      </w:r>
      <w:r w:rsidR="00AC2569" w:rsidRPr="00163252">
        <w:rPr>
          <w:rFonts w:ascii="Arial" w:hAnsi="Arial" w:cs="Arial"/>
          <w:sz w:val="24"/>
          <w:szCs w:val="24"/>
          <w:lang w:val="en"/>
        </w:rPr>
        <w:t xml:space="preserve"> </w:t>
      </w:r>
      <w:r w:rsidR="0091406A" w:rsidRPr="00163252">
        <w:rPr>
          <w:rFonts w:ascii="Arial" w:hAnsi="Arial" w:cs="Arial"/>
          <w:sz w:val="24"/>
          <w:szCs w:val="24"/>
          <w:lang w:val="en"/>
        </w:rPr>
        <w:t>no. 9</w:t>
      </w:r>
      <w:proofErr w:type="gramStart"/>
      <w:r w:rsidRPr="00163252">
        <w:rPr>
          <w:rFonts w:ascii="Arial" w:hAnsi="Arial" w:cs="Arial"/>
          <w:sz w:val="24"/>
          <w:szCs w:val="24"/>
          <w:lang w:val="en"/>
        </w:rPr>
        <w:t xml:space="preserve">, </w:t>
      </w:r>
      <w:r w:rsidR="00DB116D" w:rsidRPr="00163252">
        <w:rPr>
          <w:rFonts w:ascii="Arial" w:hAnsi="Arial" w:cs="Arial"/>
          <w:sz w:val="24"/>
          <w:szCs w:val="24"/>
          <w:lang w:val="en"/>
        </w:rPr>
        <w:t xml:space="preserve"> </w:t>
      </w:r>
      <w:r w:rsidRPr="00163252">
        <w:rPr>
          <w:rFonts w:ascii="Arial" w:hAnsi="Arial" w:cs="Arial"/>
          <w:sz w:val="24"/>
          <w:szCs w:val="24"/>
          <w:lang w:val="en"/>
        </w:rPr>
        <w:t>ISBN</w:t>
      </w:r>
      <w:proofErr w:type="gramEnd"/>
      <w:r w:rsidRPr="00163252">
        <w:rPr>
          <w:rFonts w:ascii="Arial" w:hAnsi="Arial" w:cs="Arial"/>
          <w:sz w:val="24"/>
          <w:szCs w:val="24"/>
          <w:lang w:val="en"/>
        </w:rPr>
        <w:t xml:space="preserve"> 0-444-50155-0</w:t>
      </w:r>
    </w:p>
    <w:p w:rsidR="002F6377" w:rsidRPr="00163252" w:rsidRDefault="002F6377" w:rsidP="002F6377">
      <w:pPr>
        <w:rPr>
          <w:rFonts w:ascii="Arial" w:hAnsi="Arial" w:cs="Arial"/>
          <w:sz w:val="24"/>
          <w:szCs w:val="24"/>
          <w:lang w:val="en"/>
        </w:rPr>
      </w:pPr>
      <w:proofErr w:type="gramStart"/>
      <w:r w:rsidRPr="00163252">
        <w:rPr>
          <w:rFonts w:ascii="Arial" w:hAnsi="Arial" w:cs="Arial"/>
          <w:sz w:val="24"/>
          <w:szCs w:val="24"/>
          <w:lang w:val="en"/>
        </w:rPr>
        <w:t xml:space="preserve">Ofstad, K., </w:t>
      </w:r>
      <w:r w:rsidR="00AD3944" w:rsidRPr="00163252">
        <w:rPr>
          <w:rFonts w:ascii="Arial" w:hAnsi="Arial" w:cs="Arial"/>
          <w:sz w:val="24"/>
          <w:szCs w:val="24"/>
          <w:lang w:val="en"/>
        </w:rPr>
        <w:t xml:space="preserve">L. </w:t>
      </w:r>
      <w:r w:rsidRPr="00163252">
        <w:rPr>
          <w:rFonts w:ascii="Arial" w:hAnsi="Arial" w:cs="Arial"/>
          <w:sz w:val="24"/>
          <w:szCs w:val="24"/>
          <w:lang w:val="en"/>
        </w:rPr>
        <w:t xml:space="preserve">Kullerud, </w:t>
      </w:r>
      <w:r w:rsidR="00AC2569" w:rsidRPr="00163252">
        <w:rPr>
          <w:rFonts w:ascii="Arial" w:hAnsi="Arial" w:cs="Arial"/>
          <w:sz w:val="24"/>
          <w:szCs w:val="24"/>
          <w:lang w:val="en"/>
        </w:rPr>
        <w:t>and D.</w:t>
      </w:r>
      <w:proofErr w:type="gramEnd"/>
      <w:r w:rsidR="00AC2569" w:rsidRPr="00163252">
        <w:rPr>
          <w:rFonts w:ascii="Arial" w:hAnsi="Arial" w:cs="Arial"/>
          <w:sz w:val="24"/>
          <w:szCs w:val="24"/>
          <w:lang w:val="en"/>
        </w:rPr>
        <w:t xml:space="preserve"> </w:t>
      </w:r>
      <w:r w:rsidR="00FA5876" w:rsidRPr="00163252">
        <w:rPr>
          <w:rFonts w:ascii="Arial" w:hAnsi="Arial" w:cs="Arial"/>
          <w:sz w:val="24"/>
          <w:szCs w:val="24"/>
          <w:lang w:val="en"/>
        </w:rPr>
        <w:t xml:space="preserve"> </w:t>
      </w:r>
      <w:r w:rsidRPr="00163252">
        <w:rPr>
          <w:rFonts w:ascii="Arial" w:hAnsi="Arial" w:cs="Arial"/>
          <w:sz w:val="24"/>
          <w:szCs w:val="24"/>
          <w:lang w:val="en"/>
        </w:rPr>
        <w:t>Helliksen, 2000, Evaluation of Norwegian wildcat wells (Article 1)</w:t>
      </w:r>
      <w:r w:rsidR="00AD3944" w:rsidRPr="00163252">
        <w:rPr>
          <w:rFonts w:ascii="Arial" w:hAnsi="Arial" w:cs="Arial"/>
          <w:sz w:val="24"/>
          <w:szCs w:val="24"/>
          <w:lang w:val="en"/>
        </w:rPr>
        <w:t>:</w:t>
      </w:r>
      <w:r w:rsidRPr="00163252">
        <w:rPr>
          <w:rFonts w:ascii="Arial" w:hAnsi="Arial" w:cs="Arial"/>
          <w:sz w:val="24"/>
          <w:szCs w:val="24"/>
          <w:lang w:val="en"/>
        </w:rPr>
        <w:t xml:space="preserve"> Norwegian Petroleum Society Special Publication</w:t>
      </w:r>
      <w:r w:rsidR="0096641A" w:rsidRPr="00163252">
        <w:rPr>
          <w:rFonts w:ascii="Arial" w:hAnsi="Arial" w:cs="Arial"/>
          <w:sz w:val="24"/>
          <w:szCs w:val="24"/>
          <w:lang w:val="en"/>
        </w:rPr>
        <w:t>s,</w:t>
      </w:r>
      <w:r w:rsidR="00AC2569" w:rsidRPr="00163252">
        <w:rPr>
          <w:rFonts w:ascii="Arial" w:hAnsi="Arial" w:cs="Arial"/>
          <w:sz w:val="24"/>
          <w:szCs w:val="24"/>
          <w:lang w:val="en"/>
        </w:rPr>
        <w:t xml:space="preserve"> no.</w:t>
      </w:r>
      <w:r w:rsidRPr="00163252">
        <w:rPr>
          <w:rFonts w:ascii="Arial" w:hAnsi="Arial" w:cs="Arial"/>
          <w:sz w:val="24"/>
          <w:szCs w:val="24"/>
          <w:lang w:val="en"/>
        </w:rPr>
        <w:t xml:space="preserve"> 9, </w:t>
      </w:r>
      <w:r w:rsidR="00AD3944" w:rsidRPr="00163252">
        <w:rPr>
          <w:rFonts w:ascii="Arial" w:hAnsi="Arial" w:cs="Arial"/>
          <w:sz w:val="24"/>
          <w:szCs w:val="24"/>
          <w:lang w:val="en"/>
        </w:rPr>
        <w:t xml:space="preserve">p. </w:t>
      </w:r>
      <w:r w:rsidRPr="00163252">
        <w:rPr>
          <w:rFonts w:ascii="Arial" w:hAnsi="Arial" w:cs="Arial"/>
          <w:sz w:val="24"/>
          <w:szCs w:val="24"/>
          <w:lang w:val="en"/>
        </w:rPr>
        <w:t>23-31</w:t>
      </w:r>
    </w:p>
    <w:p w:rsidR="002F6377" w:rsidRPr="00163252" w:rsidRDefault="0091406A" w:rsidP="002F6377">
      <w:pPr>
        <w:rPr>
          <w:rFonts w:ascii="Arial" w:hAnsi="Arial" w:cs="Arial"/>
          <w:sz w:val="24"/>
          <w:szCs w:val="24"/>
          <w:lang w:val="en"/>
        </w:rPr>
      </w:pPr>
      <w:r w:rsidRPr="00163252">
        <w:rPr>
          <w:rFonts w:ascii="Arial" w:hAnsi="Arial" w:cs="Arial"/>
          <w:sz w:val="24"/>
          <w:szCs w:val="24"/>
          <w:lang w:val="en"/>
        </w:rPr>
        <w:t>Ofstad, K.,  A. Øvretveit., L. Kullerud., and K. Heggland., 2000, Probability of discovery and the reasons for dry wells: results from the project: Evaluation of Norwegian Wildcat Wells (Article 3): Norwegian Petroleum Society Special Publications, no. 9, p. 47-55</w:t>
      </w:r>
    </w:p>
    <w:p w:rsidR="009B6C0F" w:rsidRPr="00163252" w:rsidRDefault="009B6C0F" w:rsidP="009B6C0F">
      <w:pPr>
        <w:rPr>
          <w:rFonts w:ascii="Arial" w:hAnsi="Arial" w:cs="Arial"/>
          <w:sz w:val="24"/>
          <w:szCs w:val="24"/>
          <w:lang w:val="en"/>
        </w:rPr>
      </w:pPr>
      <w:r w:rsidRPr="00163252">
        <w:rPr>
          <w:rFonts w:ascii="Arial" w:hAnsi="Arial" w:cs="Arial"/>
          <w:sz w:val="24"/>
          <w:szCs w:val="24"/>
          <w:lang w:val="en"/>
        </w:rPr>
        <w:t xml:space="preserve">Peel, F.J. and J.R.V. Brooks, in press, </w:t>
      </w:r>
      <w:proofErr w:type="gramStart"/>
      <w:r w:rsidRPr="00163252">
        <w:rPr>
          <w:rFonts w:ascii="Arial" w:hAnsi="Arial" w:cs="Arial"/>
          <w:sz w:val="24"/>
          <w:szCs w:val="24"/>
          <w:lang w:val="en"/>
        </w:rPr>
        <w:t>What</w:t>
      </w:r>
      <w:proofErr w:type="gramEnd"/>
      <w:r w:rsidRPr="00163252">
        <w:rPr>
          <w:rFonts w:ascii="Arial" w:hAnsi="Arial" w:cs="Arial"/>
          <w:sz w:val="24"/>
          <w:szCs w:val="24"/>
          <w:lang w:val="en"/>
        </w:rPr>
        <w:t xml:space="preserve"> to expect when you’re prospecting: how new information changes our estimate of the chance of success of a prospect: AAPG Bulletin</w:t>
      </w:r>
    </w:p>
    <w:p w:rsidR="00EF5931" w:rsidRPr="00163252" w:rsidRDefault="009B6C0F" w:rsidP="00EF5931">
      <w:pPr>
        <w:rPr>
          <w:rFonts w:ascii="Arial" w:hAnsi="Arial" w:cs="Arial"/>
          <w:sz w:val="24"/>
          <w:szCs w:val="24"/>
          <w:lang w:val="en"/>
        </w:rPr>
      </w:pPr>
      <w:r w:rsidRPr="00163252">
        <w:rPr>
          <w:rFonts w:ascii="Arial" w:hAnsi="Arial" w:cs="Arial"/>
          <w:sz w:val="24"/>
          <w:szCs w:val="24"/>
          <w:lang w:val="en"/>
        </w:rPr>
        <w:t xml:space="preserve">Peel, F.J., and White, J, in press, </w:t>
      </w:r>
      <w:proofErr w:type="gramStart"/>
      <w:r w:rsidRPr="00163252">
        <w:rPr>
          <w:rFonts w:ascii="Arial" w:hAnsi="Arial" w:cs="Arial"/>
          <w:sz w:val="24"/>
          <w:szCs w:val="24"/>
          <w:lang w:val="en"/>
        </w:rPr>
        <w:t>Do</w:t>
      </w:r>
      <w:proofErr w:type="gramEnd"/>
      <w:r w:rsidRPr="00163252">
        <w:rPr>
          <w:rFonts w:ascii="Arial" w:hAnsi="Arial" w:cs="Arial"/>
          <w:sz w:val="24"/>
          <w:szCs w:val="24"/>
          <w:lang w:val="en"/>
        </w:rPr>
        <w:t xml:space="preserve"> technical studies reduce subsurface risk in hydrocarbon exploration - and if not, how do they add value? in: Hirst, P., and Bowman, M., eds., The Value of Outcrop Studies in Reducing Subsurface Uncertainty and Risk in Hydrocarbon Exploration, Development and Production, Geological Society, London, Special Publications</w:t>
      </w:r>
      <w:r w:rsidR="00EF5931" w:rsidRPr="00163252">
        <w:rPr>
          <w:rFonts w:ascii="Arial" w:hAnsi="Arial" w:cs="Arial"/>
          <w:sz w:val="24"/>
          <w:szCs w:val="24"/>
          <w:lang w:val="en"/>
        </w:rPr>
        <w:t xml:space="preserve">Polahan, P., 1986. Oil Potential </w:t>
      </w:r>
      <w:proofErr w:type="gramStart"/>
      <w:r w:rsidR="00EF5931" w:rsidRPr="00163252">
        <w:rPr>
          <w:rFonts w:ascii="Arial" w:hAnsi="Arial" w:cs="Arial"/>
          <w:sz w:val="24"/>
          <w:szCs w:val="24"/>
          <w:lang w:val="en"/>
        </w:rPr>
        <w:t>In</w:t>
      </w:r>
      <w:proofErr w:type="gramEnd"/>
      <w:r w:rsidR="00EF5931" w:rsidRPr="00163252">
        <w:rPr>
          <w:rFonts w:ascii="Arial" w:hAnsi="Arial" w:cs="Arial"/>
          <w:sz w:val="24"/>
          <w:szCs w:val="24"/>
          <w:lang w:val="en"/>
        </w:rPr>
        <w:t xml:space="preserve"> The Gulf Of Thailand</w:t>
      </w:r>
      <w:r w:rsidR="00AC2569" w:rsidRPr="00163252">
        <w:rPr>
          <w:rFonts w:ascii="Arial" w:hAnsi="Arial" w:cs="Arial"/>
          <w:sz w:val="24"/>
          <w:szCs w:val="24"/>
          <w:lang w:val="en"/>
        </w:rPr>
        <w:t>:</w:t>
      </w:r>
      <w:r w:rsidR="00EF5931" w:rsidRPr="00163252">
        <w:rPr>
          <w:rFonts w:ascii="Arial" w:hAnsi="Arial" w:cs="Arial"/>
          <w:sz w:val="24"/>
          <w:szCs w:val="24"/>
          <w:lang w:val="en"/>
        </w:rPr>
        <w:t xml:space="preserve"> Offshore Technology Conference, Houston Texas. </w:t>
      </w:r>
      <w:proofErr w:type="gramStart"/>
      <w:r w:rsidR="00EF5931" w:rsidRPr="00163252">
        <w:rPr>
          <w:rFonts w:ascii="Arial" w:hAnsi="Arial" w:cs="Arial"/>
          <w:sz w:val="24"/>
          <w:szCs w:val="24"/>
          <w:lang w:val="en"/>
        </w:rPr>
        <w:t>doi:</w:t>
      </w:r>
      <w:proofErr w:type="gramEnd"/>
      <w:r w:rsidR="00EF5931" w:rsidRPr="00163252">
        <w:rPr>
          <w:rFonts w:ascii="Arial" w:hAnsi="Arial" w:cs="Arial"/>
          <w:sz w:val="24"/>
          <w:szCs w:val="24"/>
          <w:lang w:val="en"/>
        </w:rPr>
        <w:t>10.4043/5179-MS</w:t>
      </w:r>
    </w:p>
    <w:p w:rsidR="00EF5931" w:rsidRPr="00163252" w:rsidRDefault="00FA5876" w:rsidP="002F6377">
      <w:pPr>
        <w:rPr>
          <w:rFonts w:ascii="Arial" w:hAnsi="Arial" w:cs="Arial"/>
          <w:sz w:val="24"/>
          <w:szCs w:val="24"/>
          <w:lang w:val="en"/>
        </w:rPr>
      </w:pPr>
      <w:r w:rsidRPr="00163252">
        <w:rPr>
          <w:rFonts w:ascii="Arial" w:hAnsi="Arial" w:cs="Arial"/>
          <w:sz w:val="24"/>
          <w:szCs w:val="24"/>
          <w:lang w:val="en"/>
        </w:rPr>
        <w:t xml:space="preserve">Ridd, M.F., </w:t>
      </w:r>
      <w:proofErr w:type="spellStart"/>
      <w:r w:rsidR="00AC2569" w:rsidRPr="00163252">
        <w:rPr>
          <w:rFonts w:ascii="Arial" w:hAnsi="Arial" w:cs="Arial"/>
          <w:sz w:val="24"/>
          <w:szCs w:val="24"/>
          <w:lang w:val="en"/>
        </w:rPr>
        <w:t>A.J</w:t>
      </w:r>
      <w:proofErr w:type="spellEnd"/>
      <w:r w:rsidR="00AC2569" w:rsidRPr="00163252">
        <w:rPr>
          <w:rFonts w:ascii="Arial" w:hAnsi="Arial" w:cs="Arial"/>
          <w:sz w:val="24"/>
          <w:szCs w:val="24"/>
          <w:lang w:val="en"/>
        </w:rPr>
        <w:t xml:space="preserve">. </w:t>
      </w:r>
      <w:r w:rsidRPr="00163252">
        <w:rPr>
          <w:rFonts w:ascii="Arial" w:hAnsi="Arial" w:cs="Arial"/>
          <w:sz w:val="24"/>
          <w:szCs w:val="24"/>
          <w:lang w:val="en"/>
        </w:rPr>
        <w:t xml:space="preserve">Barber, </w:t>
      </w:r>
      <w:r w:rsidR="00AC2569" w:rsidRPr="00163252">
        <w:rPr>
          <w:rFonts w:ascii="Arial" w:hAnsi="Arial" w:cs="Arial"/>
          <w:sz w:val="24"/>
          <w:szCs w:val="24"/>
          <w:lang w:val="en"/>
        </w:rPr>
        <w:t xml:space="preserve">and </w:t>
      </w:r>
      <w:proofErr w:type="spellStart"/>
      <w:r w:rsidR="00AC2569" w:rsidRPr="00163252">
        <w:rPr>
          <w:rFonts w:ascii="Arial" w:hAnsi="Arial" w:cs="Arial"/>
          <w:sz w:val="24"/>
          <w:szCs w:val="24"/>
          <w:lang w:val="en"/>
        </w:rPr>
        <w:t>M.J</w:t>
      </w:r>
      <w:proofErr w:type="spellEnd"/>
      <w:r w:rsidR="00AC2569" w:rsidRPr="00163252">
        <w:rPr>
          <w:rFonts w:ascii="Arial" w:hAnsi="Arial" w:cs="Arial"/>
          <w:sz w:val="24"/>
          <w:szCs w:val="24"/>
          <w:lang w:val="en"/>
        </w:rPr>
        <w:t xml:space="preserve">. </w:t>
      </w:r>
      <w:r w:rsidR="00EF5931" w:rsidRPr="00163252">
        <w:rPr>
          <w:rFonts w:ascii="Arial" w:hAnsi="Arial" w:cs="Arial"/>
          <w:sz w:val="24"/>
          <w:szCs w:val="24"/>
          <w:lang w:val="en"/>
        </w:rPr>
        <w:t>Crow</w:t>
      </w:r>
      <w:r w:rsidR="00766CC6" w:rsidRPr="00163252">
        <w:rPr>
          <w:rFonts w:ascii="Arial" w:hAnsi="Arial" w:cs="Arial"/>
          <w:sz w:val="24"/>
          <w:szCs w:val="24"/>
          <w:lang w:val="en"/>
        </w:rPr>
        <w:t xml:space="preserve">, </w:t>
      </w:r>
      <w:r w:rsidR="00EF5931" w:rsidRPr="00163252">
        <w:rPr>
          <w:rFonts w:ascii="Arial" w:hAnsi="Arial" w:cs="Arial"/>
          <w:sz w:val="24"/>
          <w:szCs w:val="24"/>
          <w:lang w:val="en"/>
        </w:rPr>
        <w:t xml:space="preserve">2011, </w:t>
      </w:r>
      <w:proofErr w:type="gramStart"/>
      <w:r w:rsidR="00EF5931" w:rsidRPr="00163252">
        <w:rPr>
          <w:rFonts w:ascii="Arial" w:hAnsi="Arial" w:cs="Arial"/>
          <w:sz w:val="24"/>
          <w:szCs w:val="24"/>
          <w:lang w:val="en"/>
        </w:rPr>
        <w:t>The</w:t>
      </w:r>
      <w:proofErr w:type="gramEnd"/>
      <w:r w:rsidR="00EF5931" w:rsidRPr="00163252">
        <w:rPr>
          <w:rFonts w:ascii="Arial" w:hAnsi="Arial" w:cs="Arial"/>
          <w:sz w:val="24"/>
          <w:szCs w:val="24"/>
          <w:lang w:val="en"/>
        </w:rPr>
        <w:t xml:space="preserve"> Geology of Thailand</w:t>
      </w:r>
      <w:r w:rsidR="00AC2569" w:rsidRPr="00163252">
        <w:rPr>
          <w:rFonts w:ascii="Arial" w:hAnsi="Arial" w:cs="Arial"/>
          <w:sz w:val="24"/>
          <w:szCs w:val="24"/>
          <w:lang w:val="en"/>
        </w:rPr>
        <w:t>:</w:t>
      </w:r>
      <w:r w:rsidR="00766CC6" w:rsidRPr="00163252">
        <w:rPr>
          <w:rFonts w:ascii="Arial" w:hAnsi="Arial" w:cs="Arial"/>
          <w:sz w:val="24"/>
          <w:szCs w:val="24"/>
          <w:lang w:val="en"/>
        </w:rPr>
        <w:t xml:space="preserve"> Geological Society of London, 640p, ISBN 978-1-86239-319-6 </w:t>
      </w:r>
    </w:p>
    <w:p w:rsidR="00B16B71" w:rsidRPr="00163252" w:rsidRDefault="00B16B71" w:rsidP="00B16B71">
      <w:pPr>
        <w:rPr>
          <w:rFonts w:ascii="Arial" w:hAnsi="Arial" w:cs="Arial"/>
          <w:sz w:val="24"/>
          <w:szCs w:val="24"/>
          <w:lang w:val="en"/>
        </w:rPr>
      </w:pPr>
      <w:r w:rsidRPr="00163252">
        <w:rPr>
          <w:rFonts w:ascii="Arial" w:hAnsi="Arial" w:cs="Arial"/>
          <w:sz w:val="24"/>
          <w:szCs w:val="24"/>
          <w:lang w:val="en"/>
        </w:rPr>
        <w:t xml:space="preserve">Rose, P.R., 1987, </w:t>
      </w:r>
      <w:proofErr w:type="gramStart"/>
      <w:r w:rsidRPr="00163252">
        <w:rPr>
          <w:rFonts w:ascii="Arial" w:hAnsi="Arial" w:cs="Arial"/>
          <w:sz w:val="24"/>
          <w:szCs w:val="24"/>
          <w:lang w:val="en"/>
        </w:rPr>
        <w:t>Dealing</w:t>
      </w:r>
      <w:proofErr w:type="gramEnd"/>
      <w:r w:rsidRPr="00163252">
        <w:rPr>
          <w:rFonts w:ascii="Arial" w:hAnsi="Arial" w:cs="Arial"/>
          <w:sz w:val="24"/>
          <w:szCs w:val="24"/>
          <w:lang w:val="en"/>
        </w:rPr>
        <w:t xml:space="preserve"> with Risk and Uncertainty in Exploration: How can we improve? AAPG Bulletin, </w:t>
      </w:r>
      <w:r w:rsidR="000B5DC4" w:rsidRPr="00163252">
        <w:rPr>
          <w:rFonts w:ascii="Arial" w:hAnsi="Arial" w:cs="Arial"/>
          <w:sz w:val="24"/>
          <w:szCs w:val="24"/>
          <w:lang w:val="en"/>
        </w:rPr>
        <w:t>v. 71, no. 1, p. 1-16.</w:t>
      </w:r>
    </w:p>
    <w:p w:rsidR="000B5DC4" w:rsidRPr="00163252" w:rsidRDefault="000B5DC4" w:rsidP="000B5DC4">
      <w:pPr>
        <w:rPr>
          <w:rFonts w:ascii="Arial" w:hAnsi="Arial" w:cs="Arial"/>
          <w:sz w:val="24"/>
          <w:szCs w:val="24"/>
          <w:lang w:val="en"/>
        </w:rPr>
      </w:pPr>
      <w:r w:rsidRPr="00163252">
        <w:rPr>
          <w:rFonts w:ascii="Arial" w:hAnsi="Arial" w:cs="Arial"/>
          <w:sz w:val="24"/>
          <w:szCs w:val="24"/>
          <w:lang w:val="en"/>
        </w:rPr>
        <w:t>Rose, P. R., 1992, Chance of success and its use in petroleum exploration,</w:t>
      </w:r>
      <w:r w:rsidRPr="00163252">
        <w:rPr>
          <w:rFonts w:ascii="Arial" w:hAnsi="Arial" w:cs="Arial"/>
          <w:i/>
          <w:sz w:val="24"/>
          <w:szCs w:val="24"/>
          <w:lang w:val="en"/>
        </w:rPr>
        <w:t xml:space="preserve"> in</w:t>
      </w:r>
      <w:r w:rsidRPr="00163252">
        <w:rPr>
          <w:rFonts w:ascii="Arial" w:hAnsi="Arial" w:cs="Arial"/>
          <w:sz w:val="24"/>
          <w:szCs w:val="24"/>
          <w:lang w:val="en"/>
        </w:rPr>
        <w:t xml:space="preserve"> R. Steinmetz, ed., The Business of Petroleum Exploration: AAPG Treatise of Petroleum Geology, Handbook of Petroleum Geology, p. 71–86.</w:t>
      </w:r>
    </w:p>
    <w:p w:rsidR="00B16B71" w:rsidRPr="00163252" w:rsidRDefault="00B16B71" w:rsidP="00B16B71">
      <w:pPr>
        <w:rPr>
          <w:rFonts w:ascii="Arial" w:hAnsi="Arial" w:cs="Arial"/>
          <w:sz w:val="24"/>
          <w:szCs w:val="24"/>
          <w:lang w:val="en"/>
        </w:rPr>
      </w:pPr>
      <w:r w:rsidRPr="00163252">
        <w:rPr>
          <w:rFonts w:ascii="Arial" w:hAnsi="Arial" w:cs="Arial"/>
          <w:sz w:val="24"/>
          <w:szCs w:val="24"/>
          <w:lang w:val="en"/>
        </w:rPr>
        <w:t>Rose, P.R., 2001, Risk Analysis and Management of Petroleum Exploration Ventures</w:t>
      </w:r>
      <w:r w:rsidR="000B5DC4" w:rsidRPr="00163252">
        <w:rPr>
          <w:rFonts w:ascii="Arial" w:hAnsi="Arial" w:cs="Arial"/>
          <w:sz w:val="24"/>
          <w:szCs w:val="24"/>
          <w:lang w:val="en"/>
        </w:rPr>
        <w:t>:</w:t>
      </w:r>
      <w:r w:rsidRPr="00163252">
        <w:rPr>
          <w:rFonts w:ascii="Arial" w:hAnsi="Arial" w:cs="Arial"/>
          <w:sz w:val="24"/>
          <w:szCs w:val="24"/>
          <w:lang w:val="en"/>
        </w:rPr>
        <w:t xml:space="preserve"> AAPG Methods in Exploration No. 12, </w:t>
      </w:r>
      <w:proofErr w:type="spellStart"/>
      <w:r w:rsidRPr="00163252">
        <w:rPr>
          <w:rFonts w:ascii="Arial" w:hAnsi="Arial" w:cs="Arial"/>
          <w:sz w:val="24"/>
          <w:szCs w:val="24"/>
          <w:lang w:val="en"/>
        </w:rPr>
        <w:t>178p</w:t>
      </w:r>
      <w:proofErr w:type="spellEnd"/>
    </w:p>
    <w:p w:rsidR="00B16B71" w:rsidRPr="00163252" w:rsidRDefault="00B16B71" w:rsidP="00B16B71">
      <w:pPr>
        <w:rPr>
          <w:rFonts w:ascii="Arial" w:hAnsi="Arial" w:cs="Arial"/>
          <w:sz w:val="24"/>
          <w:szCs w:val="24"/>
          <w:lang w:val="en"/>
        </w:rPr>
      </w:pPr>
      <w:r w:rsidRPr="00163252">
        <w:rPr>
          <w:rFonts w:ascii="Arial" w:hAnsi="Arial" w:cs="Arial"/>
          <w:sz w:val="24"/>
          <w:szCs w:val="24"/>
          <w:lang w:val="en"/>
        </w:rPr>
        <w:t>Securities and Exchange Commission, 2008</w:t>
      </w:r>
      <w:r w:rsidR="000B5DC4" w:rsidRPr="00163252">
        <w:rPr>
          <w:rFonts w:ascii="Arial" w:hAnsi="Arial" w:cs="Arial"/>
          <w:sz w:val="24"/>
          <w:szCs w:val="24"/>
          <w:lang w:val="en"/>
        </w:rPr>
        <w:t>;</w:t>
      </w:r>
      <w:r w:rsidRPr="00163252">
        <w:rPr>
          <w:rFonts w:ascii="Arial" w:hAnsi="Arial" w:cs="Arial"/>
          <w:sz w:val="24"/>
          <w:szCs w:val="24"/>
          <w:lang w:val="en"/>
        </w:rPr>
        <w:t xml:space="preserve"> Invest Wisely: An Introduction to Mutual Funds, (July 2, 2008), </w:t>
      </w:r>
      <w:hyperlink r:id="rId22" w:history="1">
        <w:r w:rsidRPr="00163252">
          <w:rPr>
            <w:rStyle w:val="Hyperlink"/>
            <w:rFonts w:ascii="Arial" w:hAnsi="Arial" w:cs="Arial"/>
            <w:sz w:val="24"/>
            <w:szCs w:val="24"/>
            <w:lang w:val="en"/>
          </w:rPr>
          <w:t>http://sec.gov/investor/pubs/inwsmf.htm</w:t>
        </w:r>
      </w:hyperlink>
    </w:p>
    <w:p w:rsidR="0096641A" w:rsidRPr="00163252" w:rsidRDefault="0096641A" w:rsidP="000B5DC4">
      <w:pPr>
        <w:rPr>
          <w:rFonts w:ascii="Arial" w:hAnsi="Arial" w:cs="Arial"/>
          <w:sz w:val="24"/>
          <w:szCs w:val="24"/>
          <w:lang w:val="en"/>
        </w:rPr>
      </w:pPr>
      <w:r w:rsidRPr="00163252">
        <w:rPr>
          <w:rFonts w:ascii="Arial" w:hAnsi="Arial" w:cs="Arial"/>
          <w:sz w:val="24"/>
          <w:szCs w:val="24"/>
          <w:lang w:val="en"/>
        </w:rPr>
        <w:lastRenderedPageBreak/>
        <w:t xml:space="preserve">Surowiecki, J., 2004, The wisdom of </w:t>
      </w:r>
      <w:proofErr w:type="gramStart"/>
      <w:r w:rsidRPr="00163252">
        <w:rPr>
          <w:rFonts w:ascii="Arial" w:hAnsi="Arial" w:cs="Arial"/>
          <w:sz w:val="24"/>
          <w:szCs w:val="24"/>
          <w:lang w:val="en"/>
        </w:rPr>
        <w:t>crowds :</w:t>
      </w:r>
      <w:proofErr w:type="gramEnd"/>
      <w:r w:rsidRPr="00163252">
        <w:rPr>
          <w:rFonts w:ascii="Arial" w:hAnsi="Arial" w:cs="Arial"/>
          <w:sz w:val="24"/>
          <w:szCs w:val="24"/>
          <w:lang w:val="en"/>
        </w:rPr>
        <w:t xml:space="preserve"> why the many are smarter than the few and how collective wisdom shapes business, economies, societies, and nations: New York, Doubleday, 296 p.</w:t>
      </w:r>
    </w:p>
    <w:p w:rsidR="000B5DC4" w:rsidRPr="00163252" w:rsidRDefault="000B5DC4" w:rsidP="000B5DC4">
      <w:pPr>
        <w:rPr>
          <w:rFonts w:ascii="Arial" w:hAnsi="Arial" w:cs="Arial"/>
          <w:sz w:val="24"/>
          <w:szCs w:val="24"/>
          <w:lang w:val="en"/>
        </w:rPr>
      </w:pPr>
      <w:r w:rsidRPr="00163252">
        <w:rPr>
          <w:rFonts w:ascii="Arial" w:hAnsi="Arial" w:cs="Arial"/>
          <w:sz w:val="24"/>
          <w:szCs w:val="24"/>
          <w:lang w:val="en"/>
        </w:rPr>
        <w:t>White, D. A. 1993, Geologic risking guide for prospects and plays: AAPG Bulletin, v. 77, p. 2048–64.</w:t>
      </w:r>
    </w:p>
    <w:p w:rsidR="00B16B71" w:rsidRPr="00163252" w:rsidRDefault="00B16B71" w:rsidP="00B16B71">
      <w:pPr>
        <w:rPr>
          <w:rFonts w:ascii="Arial" w:hAnsi="Arial" w:cs="Arial"/>
          <w:sz w:val="24"/>
          <w:szCs w:val="24"/>
          <w:lang w:val="en"/>
        </w:rPr>
      </w:pPr>
    </w:p>
    <w:p w:rsidR="00FA5876" w:rsidRPr="00163252" w:rsidRDefault="00FA5876">
      <w:pPr>
        <w:rPr>
          <w:rFonts w:ascii="Arial" w:hAnsi="Arial" w:cs="Arial"/>
          <w:sz w:val="24"/>
          <w:szCs w:val="24"/>
          <w:lang w:val="en"/>
        </w:rPr>
      </w:pPr>
      <w:r w:rsidRPr="00163252">
        <w:rPr>
          <w:rFonts w:ascii="Arial" w:hAnsi="Arial" w:cs="Arial"/>
          <w:sz w:val="24"/>
          <w:szCs w:val="24"/>
          <w:lang w:val="en"/>
        </w:rPr>
        <w:br w:type="page"/>
      </w:r>
    </w:p>
    <w:p w:rsidR="0098747F" w:rsidRPr="00163252" w:rsidRDefault="00FA5876">
      <w:pPr>
        <w:rPr>
          <w:rFonts w:ascii="Arial" w:hAnsi="Arial" w:cs="Arial"/>
          <w:b/>
          <w:sz w:val="24"/>
          <w:szCs w:val="24"/>
        </w:rPr>
      </w:pPr>
      <w:r w:rsidRPr="00163252">
        <w:rPr>
          <w:rFonts w:ascii="Arial" w:hAnsi="Arial" w:cs="Arial"/>
          <w:b/>
          <w:sz w:val="24"/>
          <w:szCs w:val="24"/>
        </w:rPr>
        <w:lastRenderedPageBreak/>
        <w:t>Tables</w:t>
      </w:r>
    </w:p>
    <w:p w:rsidR="008D2000" w:rsidRPr="00163252" w:rsidRDefault="008D2000">
      <w:pPr>
        <w:rPr>
          <w:rFonts w:ascii="Arial" w:hAnsi="Arial" w:cs="Arial"/>
          <w:b/>
          <w:sz w:val="24"/>
          <w:szCs w:val="24"/>
        </w:rPr>
      </w:pPr>
    </w:p>
    <w:tbl>
      <w:tblPr>
        <w:tblW w:w="9240" w:type="dxa"/>
        <w:tblInd w:w="93" w:type="dxa"/>
        <w:tblLook w:val="04A0" w:firstRow="1" w:lastRow="0" w:firstColumn="1" w:lastColumn="0" w:noHBand="0" w:noVBand="1"/>
      </w:tblPr>
      <w:tblGrid>
        <w:gridCol w:w="506"/>
        <w:gridCol w:w="483"/>
        <w:gridCol w:w="700"/>
        <w:gridCol w:w="700"/>
        <w:gridCol w:w="700"/>
        <w:gridCol w:w="700"/>
        <w:gridCol w:w="700"/>
        <w:gridCol w:w="700"/>
        <w:gridCol w:w="700"/>
        <w:gridCol w:w="700"/>
        <w:gridCol w:w="700"/>
        <w:gridCol w:w="700"/>
        <w:gridCol w:w="700"/>
        <w:gridCol w:w="700"/>
      </w:tblGrid>
      <w:tr w:rsidR="0098747F" w:rsidRPr="00163252" w:rsidTr="003443D1">
        <w:trPr>
          <w:trHeight w:val="300"/>
        </w:trPr>
        <w:tc>
          <w:tcPr>
            <w:tcW w:w="42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p>
          <w:p w:rsidR="0098747F" w:rsidRPr="00163252" w:rsidRDefault="0098747F" w:rsidP="003443D1">
            <w:pPr>
              <w:spacing w:after="0" w:line="240" w:lineRule="auto"/>
              <w:rPr>
                <w:rFonts w:ascii="Arial" w:eastAsia="Times New Roman" w:hAnsi="Arial" w:cs="Arial"/>
                <w:color w:val="000000"/>
                <w:sz w:val="24"/>
                <w:szCs w:val="24"/>
                <w:lang w:eastAsia="en-GB"/>
              </w:rPr>
            </w:pPr>
          </w:p>
        </w:tc>
        <w:tc>
          <w:tcPr>
            <w:tcW w:w="42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p>
        </w:tc>
        <w:tc>
          <w:tcPr>
            <w:tcW w:w="8400" w:type="dxa"/>
            <w:gridSpan w:val="12"/>
            <w:tcBorders>
              <w:top w:val="nil"/>
              <w:left w:val="nil"/>
              <w:bottom w:val="nil"/>
              <w:right w:val="nil"/>
            </w:tcBorders>
            <w:shd w:val="clear" w:color="auto" w:fill="auto"/>
            <w:noWrap/>
            <w:vAlign w:val="center"/>
            <w:hideMark/>
          </w:tcPr>
          <w:p w:rsidR="0098747F" w:rsidRPr="00163252" w:rsidRDefault="0098747F" w:rsidP="003443D1">
            <w:pPr>
              <w:spacing w:after="0" w:line="240" w:lineRule="auto"/>
              <w:jc w:val="center"/>
              <w:rPr>
                <w:rFonts w:ascii="Arial" w:eastAsia="Times New Roman" w:hAnsi="Arial" w:cs="Arial"/>
                <w:b/>
                <w:bCs/>
                <w:color w:val="000000"/>
                <w:sz w:val="24"/>
                <w:szCs w:val="24"/>
                <w:lang w:eastAsia="en-GB"/>
              </w:rPr>
            </w:pPr>
            <w:r w:rsidRPr="00163252">
              <w:rPr>
                <w:rFonts w:ascii="Arial" w:eastAsia="Times New Roman" w:hAnsi="Arial" w:cs="Arial"/>
                <w:b/>
                <w:bCs/>
                <w:color w:val="000000"/>
                <w:sz w:val="24"/>
                <w:szCs w:val="24"/>
                <w:lang w:eastAsia="en-GB"/>
              </w:rPr>
              <w:t>number of failures</w:t>
            </w:r>
          </w:p>
        </w:tc>
      </w:tr>
      <w:tr w:rsidR="0098747F" w:rsidRPr="00163252" w:rsidTr="003443D1">
        <w:trPr>
          <w:trHeight w:val="300"/>
        </w:trPr>
        <w:tc>
          <w:tcPr>
            <w:tcW w:w="42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p>
        </w:tc>
        <w:tc>
          <w:tcPr>
            <w:tcW w:w="42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1</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2</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3</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4</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5</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6</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7</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8</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9</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10</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11</w:t>
            </w:r>
          </w:p>
        </w:tc>
      </w:tr>
      <w:tr w:rsidR="0098747F" w:rsidRPr="00163252" w:rsidTr="003443D1">
        <w:trPr>
          <w:trHeight w:val="300"/>
        </w:trPr>
        <w:tc>
          <w:tcPr>
            <w:tcW w:w="420" w:type="dxa"/>
            <w:vMerge w:val="restart"/>
            <w:tcBorders>
              <w:top w:val="nil"/>
              <w:left w:val="nil"/>
              <w:bottom w:val="nil"/>
              <w:right w:val="nil"/>
            </w:tcBorders>
            <w:shd w:val="clear" w:color="auto" w:fill="auto"/>
            <w:noWrap/>
            <w:textDirection w:val="btLr"/>
            <w:vAlign w:val="center"/>
            <w:hideMark/>
          </w:tcPr>
          <w:p w:rsidR="0098747F" w:rsidRPr="00163252" w:rsidRDefault="0098747F" w:rsidP="003443D1">
            <w:pPr>
              <w:spacing w:after="0" w:line="240" w:lineRule="auto"/>
              <w:jc w:val="center"/>
              <w:rPr>
                <w:rFonts w:ascii="Arial" w:eastAsia="Times New Roman" w:hAnsi="Arial" w:cs="Arial"/>
                <w:b/>
                <w:bCs/>
                <w:color w:val="000000"/>
                <w:sz w:val="24"/>
                <w:szCs w:val="24"/>
                <w:lang w:eastAsia="en-GB"/>
              </w:rPr>
            </w:pPr>
            <w:r w:rsidRPr="00163252">
              <w:rPr>
                <w:rFonts w:ascii="Arial" w:eastAsia="Times New Roman" w:hAnsi="Arial" w:cs="Arial"/>
                <w:b/>
                <w:bCs/>
                <w:color w:val="000000"/>
                <w:sz w:val="24"/>
                <w:szCs w:val="24"/>
                <w:lang w:eastAsia="en-GB"/>
              </w:rPr>
              <w:t>n = number of tests</w:t>
            </w:r>
          </w:p>
        </w:tc>
        <w:tc>
          <w:tcPr>
            <w:tcW w:w="42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w:t>
            </w:r>
          </w:p>
        </w:tc>
        <w:tc>
          <w:tcPr>
            <w:tcW w:w="700" w:type="dxa"/>
            <w:tcBorders>
              <w:top w:val="single" w:sz="4" w:space="0" w:color="auto"/>
              <w:left w:val="single" w:sz="4" w:space="0" w:color="auto"/>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0.50</w:t>
            </w:r>
          </w:p>
        </w:tc>
        <w:tc>
          <w:tcPr>
            <w:tcW w:w="700" w:type="dxa"/>
            <w:tcBorders>
              <w:top w:val="single" w:sz="4" w:space="0" w:color="auto"/>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 </w:t>
            </w:r>
          </w:p>
        </w:tc>
        <w:tc>
          <w:tcPr>
            <w:tcW w:w="700" w:type="dxa"/>
            <w:tcBorders>
              <w:top w:val="single" w:sz="4" w:space="0" w:color="auto"/>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 </w:t>
            </w:r>
          </w:p>
        </w:tc>
        <w:tc>
          <w:tcPr>
            <w:tcW w:w="700" w:type="dxa"/>
            <w:tcBorders>
              <w:top w:val="single" w:sz="4" w:space="0" w:color="auto"/>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 </w:t>
            </w:r>
          </w:p>
        </w:tc>
        <w:tc>
          <w:tcPr>
            <w:tcW w:w="700" w:type="dxa"/>
            <w:tcBorders>
              <w:top w:val="single" w:sz="4" w:space="0" w:color="auto"/>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 </w:t>
            </w:r>
          </w:p>
        </w:tc>
        <w:tc>
          <w:tcPr>
            <w:tcW w:w="700" w:type="dxa"/>
            <w:tcBorders>
              <w:top w:val="single" w:sz="4" w:space="0" w:color="auto"/>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 </w:t>
            </w:r>
          </w:p>
        </w:tc>
        <w:tc>
          <w:tcPr>
            <w:tcW w:w="700" w:type="dxa"/>
            <w:tcBorders>
              <w:top w:val="single" w:sz="4" w:space="0" w:color="auto"/>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 </w:t>
            </w:r>
          </w:p>
        </w:tc>
        <w:tc>
          <w:tcPr>
            <w:tcW w:w="700" w:type="dxa"/>
            <w:tcBorders>
              <w:top w:val="single" w:sz="4" w:space="0" w:color="auto"/>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 </w:t>
            </w:r>
          </w:p>
        </w:tc>
        <w:tc>
          <w:tcPr>
            <w:tcW w:w="700" w:type="dxa"/>
            <w:tcBorders>
              <w:top w:val="single" w:sz="4" w:space="0" w:color="auto"/>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 </w:t>
            </w:r>
          </w:p>
        </w:tc>
        <w:tc>
          <w:tcPr>
            <w:tcW w:w="700" w:type="dxa"/>
            <w:tcBorders>
              <w:top w:val="single" w:sz="4" w:space="0" w:color="auto"/>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 </w:t>
            </w:r>
          </w:p>
        </w:tc>
        <w:tc>
          <w:tcPr>
            <w:tcW w:w="700" w:type="dxa"/>
            <w:tcBorders>
              <w:top w:val="single" w:sz="4" w:space="0" w:color="auto"/>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 </w:t>
            </w:r>
          </w:p>
        </w:tc>
        <w:tc>
          <w:tcPr>
            <w:tcW w:w="700" w:type="dxa"/>
            <w:tcBorders>
              <w:top w:val="single" w:sz="4" w:space="0" w:color="auto"/>
              <w:left w:val="nil"/>
              <w:bottom w:val="nil"/>
              <w:right w:val="single" w:sz="4" w:space="0" w:color="auto"/>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 </w:t>
            </w:r>
          </w:p>
        </w:tc>
      </w:tr>
      <w:tr w:rsidR="0098747F" w:rsidRPr="00163252" w:rsidTr="003443D1">
        <w:trPr>
          <w:trHeight w:val="300"/>
        </w:trPr>
        <w:tc>
          <w:tcPr>
            <w:tcW w:w="420" w:type="dxa"/>
            <w:vMerge/>
            <w:tcBorders>
              <w:top w:val="nil"/>
              <w:left w:val="nil"/>
              <w:bottom w:val="nil"/>
              <w:right w:val="nil"/>
            </w:tcBorders>
            <w:vAlign w:val="center"/>
            <w:hideMark/>
          </w:tcPr>
          <w:p w:rsidR="0098747F" w:rsidRPr="00163252" w:rsidRDefault="0098747F" w:rsidP="003443D1">
            <w:pPr>
              <w:spacing w:after="0" w:line="240" w:lineRule="auto"/>
              <w:rPr>
                <w:rFonts w:ascii="Arial" w:eastAsia="Times New Roman" w:hAnsi="Arial" w:cs="Arial"/>
                <w:b/>
                <w:bCs/>
                <w:color w:val="000000"/>
                <w:sz w:val="24"/>
                <w:szCs w:val="24"/>
                <w:lang w:eastAsia="en-GB"/>
              </w:rPr>
            </w:pPr>
          </w:p>
        </w:tc>
        <w:tc>
          <w:tcPr>
            <w:tcW w:w="42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1</w:t>
            </w:r>
          </w:p>
        </w:tc>
        <w:tc>
          <w:tcPr>
            <w:tcW w:w="700" w:type="dxa"/>
            <w:tcBorders>
              <w:top w:val="nil"/>
              <w:left w:val="single" w:sz="4" w:space="0" w:color="auto"/>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0.67</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0.33</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p>
        </w:tc>
        <w:tc>
          <w:tcPr>
            <w:tcW w:w="700" w:type="dxa"/>
            <w:tcBorders>
              <w:top w:val="nil"/>
              <w:left w:val="nil"/>
              <w:bottom w:val="nil"/>
              <w:right w:val="single" w:sz="4" w:space="0" w:color="auto"/>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 </w:t>
            </w:r>
          </w:p>
        </w:tc>
      </w:tr>
      <w:tr w:rsidR="0098747F" w:rsidRPr="00163252" w:rsidTr="003443D1">
        <w:trPr>
          <w:trHeight w:val="300"/>
        </w:trPr>
        <w:tc>
          <w:tcPr>
            <w:tcW w:w="420" w:type="dxa"/>
            <w:vMerge/>
            <w:tcBorders>
              <w:top w:val="nil"/>
              <w:left w:val="nil"/>
              <w:bottom w:val="nil"/>
              <w:right w:val="nil"/>
            </w:tcBorders>
            <w:vAlign w:val="center"/>
            <w:hideMark/>
          </w:tcPr>
          <w:p w:rsidR="0098747F" w:rsidRPr="00163252" w:rsidRDefault="0098747F" w:rsidP="003443D1">
            <w:pPr>
              <w:spacing w:after="0" w:line="240" w:lineRule="auto"/>
              <w:rPr>
                <w:rFonts w:ascii="Arial" w:eastAsia="Times New Roman" w:hAnsi="Arial" w:cs="Arial"/>
                <w:b/>
                <w:bCs/>
                <w:color w:val="000000"/>
                <w:sz w:val="24"/>
                <w:szCs w:val="24"/>
                <w:lang w:eastAsia="en-GB"/>
              </w:rPr>
            </w:pPr>
          </w:p>
        </w:tc>
        <w:tc>
          <w:tcPr>
            <w:tcW w:w="42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2</w:t>
            </w:r>
          </w:p>
        </w:tc>
        <w:tc>
          <w:tcPr>
            <w:tcW w:w="700" w:type="dxa"/>
            <w:tcBorders>
              <w:top w:val="nil"/>
              <w:left w:val="single" w:sz="4" w:space="0" w:color="auto"/>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0.75</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0.50</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0.25</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p>
        </w:tc>
        <w:tc>
          <w:tcPr>
            <w:tcW w:w="700" w:type="dxa"/>
            <w:tcBorders>
              <w:top w:val="nil"/>
              <w:left w:val="nil"/>
              <w:bottom w:val="nil"/>
              <w:right w:val="single" w:sz="4" w:space="0" w:color="auto"/>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 </w:t>
            </w:r>
          </w:p>
        </w:tc>
      </w:tr>
      <w:tr w:rsidR="0098747F" w:rsidRPr="00163252" w:rsidTr="003443D1">
        <w:trPr>
          <w:trHeight w:val="300"/>
        </w:trPr>
        <w:tc>
          <w:tcPr>
            <w:tcW w:w="420" w:type="dxa"/>
            <w:vMerge/>
            <w:tcBorders>
              <w:top w:val="nil"/>
              <w:left w:val="nil"/>
              <w:bottom w:val="nil"/>
              <w:right w:val="nil"/>
            </w:tcBorders>
            <w:vAlign w:val="center"/>
            <w:hideMark/>
          </w:tcPr>
          <w:p w:rsidR="0098747F" w:rsidRPr="00163252" w:rsidRDefault="0098747F" w:rsidP="003443D1">
            <w:pPr>
              <w:spacing w:after="0" w:line="240" w:lineRule="auto"/>
              <w:rPr>
                <w:rFonts w:ascii="Arial" w:eastAsia="Times New Roman" w:hAnsi="Arial" w:cs="Arial"/>
                <w:b/>
                <w:bCs/>
                <w:color w:val="000000"/>
                <w:sz w:val="24"/>
                <w:szCs w:val="24"/>
                <w:lang w:eastAsia="en-GB"/>
              </w:rPr>
            </w:pPr>
          </w:p>
        </w:tc>
        <w:tc>
          <w:tcPr>
            <w:tcW w:w="42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3</w:t>
            </w:r>
          </w:p>
        </w:tc>
        <w:tc>
          <w:tcPr>
            <w:tcW w:w="700" w:type="dxa"/>
            <w:tcBorders>
              <w:top w:val="nil"/>
              <w:left w:val="single" w:sz="4" w:space="0" w:color="auto"/>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0.80</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0.60</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0.40</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0.20</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p>
        </w:tc>
        <w:tc>
          <w:tcPr>
            <w:tcW w:w="700" w:type="dxa"/>
            <w:tcBorders>
              <w:top w:val="nil"/>
              <w:left w:val="nil"/>
              <w:bottom w:val="nil"/>
              <w:right w:val="single" w:sz="4" w:space="0" w:color="auto"/>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 </w:t>
            </w:r>
          </w:p>
        </w:tc>
      </w:tr>
      <w:tr w:rsidR="0098747F" w:rsidRPr="00163252" w:rsidTr="003443D1">
        <w:trPr>
          <w:trHeight w:val="300"/>
        </w:trPr>
        <w:tc>
          <w:tcPr>
            <w:tcW w:w="420" w:type="dxa"/>
            <w:vMerge/>
            <w:tcBorders>
              <w:top w:val="nil"/>
              <w:left w:val="nil"/>
              <w:bottom w:val="nil"/>
              <w:right w:val="nil"/>
            </w:tcBorders>
            <w:vAlign w:val="center"/>
            <w:hideMark/>
          </w:tcPr>
          <w:p w:rsidR="0098747F" w:rsidRPr="00163252" w:rsidRDefault="0098747F" w:rsidP="003443D1">
            <w:pPr>
              <w:spacing w:after="0" w:line="240" w:lineRule="auto"/>
              <w:rPr>
                <w:rFonts w:ascii="Arial" w:eastAsia="Times New Roman" w:hAnsi="Arial" w:cs="Arial"/>
                <w:b/>
                <w:bCs/>
                <w:color w:val="000000"/>
                <w:sz w:val="24"/>
                <w:szCs w:val="24"/>
                <w:lang w:eastAsia="en-GB"/>
              </w:rPr>
            </w:pPr>
          </w:p>
        </w:tc>
        <w:tc>
          <w:tcPr>
            <w:tcW w:w="42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4</w:t>
            </w:r>
          </w:p>
        </w:tc>
        <w:tc>
          <w:tcPr>
            <w:tcW w:w="700" w:type="dxa"/>
            <w:tcBorders>
              <w:top w:val="nil"/>
              <w:left w:val="single" w:sz="4" w:space="0" w:color="auto"/>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0.84</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0.67</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0.50</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0.33</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0.16</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p>
        </w:tc>
        <w:tc>
          <w:tcPr>
            <w:tcW w:w="700" w:type="dxa"/>
            <w:tcBorders>
              <w:top w:val="nil"/>
              <w:left w:val="nil"/>
              <w:bottom w:val="nil"/>
              <w:right w:val="single" w:sz="4" w:space="0" w:color="auto"/>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 </w:t>
            </w:r>
          </w:p>
        </w:tc>
      </w:tr>
      <w:tr w:rsidR="0098747F" w:rsidRPr="00163252" w:rsidTr="003443D1">
        <w:trPr>
          <w:trHeight w:val="300"/>
        </w:trPr>
        <w:tc>
          <w:tcPr>
            <w:tcW w:w="420" w:type="dxa"/>
            <w:vMerge/>
            <w:tcBorders>
              <w:top w:val="nil"/>
              <w:left w:val="nil"/>
              <w:bottom w:val="nil"/>
              <w:right w:val="nil"/>
            </w:tcBorders>
            <w:vAlign w:val="center"/>
            <w:hideMark/>
          </w:tcPr>
          <w:p w:rsidR="0098747F" w:rsidRPr="00163252" w:rsidRDefault="0098747F" w:rsidP="003443D1">
            <w:pPr>
              <w:spacing w:after="0" w:line="240" w:lineRule="auto"/>
              <w:rPr>
                <w:rFonts w:ascii="Arial" w:eastAsia="Times New Roman" w:hAnsi="Arial" w:cs="Arial"/>
                <w:b/>
                <w:bCs/>
                <w:color w:val="000000"/>
                <w:sz w:val="24"/>
                <w:szCs w:val="24"/>
                <w:lang w:eastAsia="en-GB"/>
              </w:rPr>
            </w:pPr>
          </w:p>
        </w:tc>
        <w:tc>
          <w:tcPr>
            <w:tcW w:w="42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5</w:t>
            </w:r>
          </w:p>
        </w:tc>
        <w:tc>
          <w:tcPr>
            <w:tcW w:w="700" w:type="dxa"/>
            <w:tcBorders>
              <w:top w:val="nil"/>
              <w:left w:val="single" w:sz="4" w:space="0" w:color="auto"/>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0.86</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0.71</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0.57</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0.43</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0.29</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0.14</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p>
        </w:tc>
        <w:tc>
          <w:tcPr>
            <w:tcW w:w="700" w:type="dxa"/>
            <w:tcBorders>
              <w:top w:val="nil"/>
              <w:left w:val="nil"/>
              <w:bottom w:val="nil"/>
              <w:right w:val="single" w:sz="4" w:space="0" w:color="auto"/>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 </w:t>
            </w:r>
          </w:p>
        </w:tc>
      </w:tr>
      <w:tr w:rsidR="0098747F" w:rsidRPr="00163252" w:rsidTr="003443D1">
        <w:trPr>
          <w:trHeight w:val="300"/>
        </w:trPr>
        <w:tc>
          <w:tcPr>
            <w:tcW w:w="420" w:type="dxa"/>
            <w:vMerge/>
            <w:tcBorders>
              <w:top w:val="nil"/>
              <w:left w:val="nil"/>
              <w:bottom w:val="nil"/>
              <w:right w:val="nil"/>
            </w:tcBorders>
            <w:vAlign w:val="center"/>
            <w:hideMark/>
          </w:tcPr>
          <w:p w:rsidR="0098747F" w:rsidRPr="00163252" w:rsidRDefault="0098747F" w:rsidP="003443D1">
            <w:pPr>
              <w:spacing w:after="0" w:line="240" w:lineRule="auto"/>
              <w:rPr>
                <w:rFonts w:ascii="Arial" w:eastAsia="Times New Roman" w:hAnsi="Arial" w:cs="Arial"/>
                <w:b/>
                <w:bCs/>
                <w:color w:val="000000"/>
                <w:sz w:val="24"/>
                <w:szCs w:val="24"/>
                <w:lang w:eastAsia="en-GB"/>
              </w:rPr>
            </w:pPr>
          </w:p>
        </w:tc>
        <w:tc>
          <w:tcPr>
            <w:tcW w:w="42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6</w:t>
            </w:r>
          </w:p>
        </w:tc>
        <w:tc>
          <w:tcPr>
            <w:tcW w:w="700" w:type="dxa"/>
            <w:tcBorders>
              <w:top w:val="nil"/>
              <w:left w:val="single" w:sz="4" w:space="0" w:color="auto"/>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0.88</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0.75</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0.63</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0.50</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0.38</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0.25</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0.12</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p>
        </w:tc>
        <w:tc>
          <w:tcPr>
            <w:tcW w:w="700" w:type="dxa"/>
            <w:tcBorders>
              <w:top w:val="nil"/>
              <w:left w:val="nil"/>
              <w:bottom w:val="nil"/>
              <w:right w:val="single" w:sz="4" w:space="0" w:color="auto"/>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 </w:t>
            </w:r>
          </w:p>
        </w:tc>
      </w:tr>
      <w:tr w:rsidR="0098747F" w:rsidRPr="00163252" w:rsidTr="003443D1">
        <w:trPr>
          <w:trHeight w:val="300"/>
        </w:trPr>
        <w:tc>
          <w:tcPr>
            <w:tcW w:w="420" w:type="dxa"/>
            <w:vMerge/>
            <w:tcBorders>
              <w:top w:val="nil"/>
              <w:left w:val="nil"/>
              <w:bottom w:val="nil"/>
              <w:right w:val="nil"/>
            </w:tcBorders>
            <w:vAlign w:val="center"/>
            <w:hideMark/>
          </w:tcPr>
          <w:p w:rsidR="0098747F" w:rsidRPr="00163252" w:rsidRDefault="0098747F" w:rsidP="003443D1">
            <w:pPr>
              <w:spacing w:after="0" w:line="240" w:lineRule="auto"/>
              <w:rPr>
                <w:rFonts w:ascii="Arial" w:eastAsia="Times New Roman" w:hAnsi="Arial" w:cs="Arial"/>
                <w:b/>
                <w:bCs/>
                <w:color w:val="000000"/>
                <w:sz w:val="24"/>
                <w:szCs w:val="24"/>
                <w:lang w:eastAsia="en-GB"/>
              </w:rPr>
            </w:pPr>
          </w:p>
        </w:tc>
        <w:tc>
          <w:tcPr>
            <w:tcW w:w="42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7</w:t>
            </w:r>
          </w:p>
        </w:tc>
        <w:tc>
          <w:tcPr>
            <w:tcW w:w="700" w:type="dxa"/>
            <w:tcBorders>
              <w:top w:val="nil"/>
              <w:left w:val="single" w:sz="4" w:space="0" w:color="auto"/>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0.89</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0.78</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0.67</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0.56</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0.44</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0.33</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0.22</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0.11</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p>
        </w:tc>
        <w:tc>
          <w:tcPr>
            <w:tcW w:w="700" w:type="dxa"/>
            <w:tcBorders>
              <w:top w:val="nil"/>
              <w:left w:val="nil"/>
              <w:bottom w:val="nil"/>
              <w:right w:val="single" w:sz="4" w:space="0" w:color="auto"/>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 </w:t>
            </w:r>
          </w:p>
        </w:tc>
      </w:tr>
      <w:tr w:rsidR="0098747F" w:rsidRPr="00163252" w:rsidTr="003443D1">
        <w:trPr>
          <w:trHeight w:val="300"/>
        </w:trPr>
        <w:tc>
          <w:tcPr>
            <w:tcW w:w="420" w:type="dxa"/>
            <w:vMerge/>
            <w:tcBorders>
              <w:top w:val="nil"/>
              <w:left w:val="nil"/>
              <w:bottom w:val="nil"/>
              <w:right w:val="nil"/>
            </w:tcBorders>
            <w:vAlign w:val="center"/>
            <w:hideMark/>
          </w:tcPr>
          <w:p w:rsidR="0098747F" w:rsidRPr="00163252" w:rsidRDefault="0098747F" w:rsidP="003443D1">
            <w:pPr>
              <w:spacing w:after="0" w:line="240" w:lineRule="auto"/>
              <w:rPr>
                <w:rFonts w:ascii="Arial" w:eastAsia="Times New Roman" w:hAnsi="Arial" w:cs="Arial"/>
                <w:b/>
                <w:bCs/>
                <w:color w:val="000000"/>
                <w:sz w:val="24"/>
                <w:szCs w:val="24"/>
                <w:lang w:eastAsia="en-GB"/>
              </w:rPr>
            </w:pPr>
          </w:p>
        </w:tc>
        <w:tc>
          <w:tcPr>
            <w:tcW w:w="42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8</w:t>
            </w:r>
          </w:p>
        </w:tc>
        <w:tc>
          <w:tcPr>
            <w:tcW w:w="700" w:type="dxa"/>
            <w:tcBorders>
              <w:top w:val="nil"/>
              <w:left w:val="single" w:sz="4" w:space="0" w:color="auto"/>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0.90</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0.80</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0.70</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0.60</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0.50</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0.40</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0.30</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0.20</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0.10</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p>
        </w:tc>
        <w:tc>
          <w:tcPr>
            <w:tcW w:w="700" w:type="dxa"/>
            <w:tcBorders>
              <w:top w:val="nil"/>
              <w:left w:val="nil"/>
              <w:bottom w:val="nil"/>
              <w:right w:val="single" w:sz="4" w:space="0" w:color="auto"/>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 </w:t>
            </w:r>
          </w:p>
        </w:tc>
      </w:tr>
      <w:tr w:rsidR="0098747F" w:rsidRPr="00163252" w:rsidTr="003443D1">
        <w:trPr>
          <w:trHeight w:val="300"/>
        </w:trPr>
        <w:tc>
          <w:tcPr>
            <w:tcW w:w="420" w:type="dxa"/>
            <w:vMerge/>
            <w:tcBorders>
              <w:top w:val="nil"/>
              <w:left w:val="nil"/>
              <w:bottom w:val="nil"/>
              <w:right w:val="nil"/>
            </w:tcBorders>
            <w:vAlign w:val="center"/>
            <w:hideMark/>
          </w:tcPr>
          <w:p w:rsidR="0098747F" w:rsidRPr="00163252" w:rsidRDefault="0098747F" w:rsidP="003443D1">
            <w:pPr>
              <w:spacing w:after="0" w:line="240" w:lineRule="auto"/>
              <w:rPr>
                <w:rFonts w:ascii="Arial" w:eastAsia="Times New Roman" w:hAnsi="Arial" w:cs="Arial"/>
                <w:b/>
                <w:bCs/>
                <w:color w:val="000000"/>
                <w:sz w:val="24"/>
                <w:szCs w:val="24"/>
                <w:lang w:eastAsia="en-GB"/>
              </w:rPr>
            </w:pPr>
          </w:p>
        </w:tc>
        <w:tc>
          <w:tcPr>
            <w:tcW w:w="42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9</w:t>
            </w:r>
          </w:p>
        </w:tc>
        <w:tc>
          <w:tcPr>
            <w:tcW w:w="700" w:type="dxa"/>
            <w:tcBorders>
              <w:top w:val="nil"/>
              <w:left w:val="single" w:sz="4" w:space="0" w:color="auto"/>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0.91</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0.82</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0.73</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0.64</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0.55</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0.45</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0.36</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0.27</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0.18</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0.09</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p>
        </w:tc>
        <w:tc>
          <w:tcPr>
            <w:tcW w:w="700" w:type="dxa"/>
            <w:tcBorders>
              <w:top w:val="nil"/>
              <w:left w:val="nil"/>
              <w:bottom w:val="nil"/>
              <w:right w:val="single" w:sz="4" w:space="0" w:color="auto"/>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 </w:t>
            </w:r>
          </w:p>
        </w:tc>
      </w:tr>
      <w:tr w:rsidR="0098747F" w:rsidRPr="00163252" w:rsidTr="003443D1">
        <w:trPr>
          <w:trHeight w:val="300"/>
        </w:trPr>
        <w:tc>
          <w:tcPr>
            <w:tcW w:w="420" w:type="dxa"/>
            <w:vMerge/>
            <w:tcBorders>
              <w:top w:val="nil"/>
              <w:left w:val="nil"/>
              <w:bottom w:val="nil"/>
              <w:right w:val="nil"/>
            </w:tcBorders>
            <w:vAlign w:val="center"/>
            <w:hideMark/>
          </w:tcPr>
          <w:p w:rsidR="0098747F" w:rsidRPr="00163252" w:rsidRDefault="0098747F" w:rsidP="003443D1">
            <w:pPr>
              <w:spacing w:after="0" w:line="240" w:lineRule="auto"/>
              <w:rPr>
                <w:rFonts w:ascii="Arial" w:eastAsia="Times New Roman" w:hAnsi="Arial" w:cs="Arial"/>
                <w:b/>
                <w:bCs/>
                <w:color w:val="000000"/>
                <w:sz w:val="24"/>
                <w:szCs w:val="24"/>
                <w:lang w:eastAsia="en-GB"/>
              </w:rPr>
            </w:pPr>
          </w:p>
        </w:tc>
        <w:tc>
          <w:tcPr>
            <w:tcW w:w="42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10</w:t>
            </w:r>
          </w:p>
        </w:tc>
        <w:tc>
          <w:tcPr>
            <w:tcW w:w="700" w:type="dxa"/>
            <w:tcBorders>
              <w:top w:val="nil"/>
              <w:left w:val="single" w:sz="4" w:space="0" w:color="auto"/>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0.92</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0.83</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0.75</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0.67</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0.58</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0.50</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0.42</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0.33</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0.25</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0.17</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0.08</w:t>
            </w:r>
          </w:p>
        </w:tc>
        <w:tc>
          <w:tcPr>
            <w:tcW w:w="700" w:type="dxa"/>
            <w:tcBorders>
              <w:top w:val="nil"/>
              <w:left w:val="nil"/>
              <w:bottom w:val="nil"/>
              <w:right w:val="single" w:sz="4" w:space="0" w:color="auto"/>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 </w:t>
            </w:r>
          </w:p>
        </w:tc>
      </w:tr>
      <w:tr w:rsidR="0098747F" w:rsidRPr="00163252" w:rsidTr="003443D1">
        <w:trPr>
          <w:trHeight w:val="300"/>
        </w:trPr>
        <w:tc>
          <w:tcPr>
            <w:tcW w:w="420" w:type="dxa"/>
            <w:vMerge/>
            <w:tcBorders>
              <w:top w:val="nil"/>
              <w:left w:val="nil"/>
              <w:bottom w:val="nil"/>
              <w:right w:val="nil"/>
            </w:tcBorders>
            <w:vAlign w:val="center"/>
            <w:hideMark/>
          </w:tcPr>
          <w:p w:rsidR="0098747F" w:rsidRPr="00163252" w:rsidRDefault="0098747F" w:rsidP="003443D1">
            <w:pPr>
              <w:spacing w:after="0" w:line="240" w:lineRule="auto"/>
              <w:rPr>
                <w:rFonts w:ascii="Arial" w:eastAsia="Times New Roman" w:hAnsi="Arial" w:cs="Arial"/>
                <w:b/>
                <w:bCs/>
                <w:color w:val="000000"/>
                <w:sz w:val="24"/>
                <w:szCs w:val="24"/>
                <w:lang w:eastAsia="en-GB"/>
              </w:rPr>
            </w:pPr>
          </w:p>
        </w:tc>
        <w:tc>
          <w:tcPr>
            <w:tcW w:w="42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11</w:t>
            </w:r>
          </w:p>
        </w:tc>
        <w:tc>
          <w:tcPr>
            <w:tcW w:w="700" w:type="dxa"/>
            <w:tcBorders>
              <w:top w:val="nil"/>
              <w:left w:val="single" w:sz="4" w:space="0" w:color="auto"/>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0.93</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0.85</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0.77</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0.69</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0.62</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0.54</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0.46</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0.39</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0.31</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0.23</w:t>
            </w:r>
          </w:p>
        </w:tc>
        <w:tc>
          <w:tcPr>
            <w:tcW w:w="70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0.15</w:t>
            </w:r>
          </w:p>
        </w:tc>
        <w:tc>
          <w:tcPr>
            <w:tcW w:w="700" w:type="dxa"/>
            <w:tcBorders>
              <w:top w:val="nil"/>
              <w:left w:val="nil"/>
              <w:bottom w:val="nil"/>
              <w:right w:val="single" w:sz="4" w:space="0" w:color="auto"/>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0.07</w:t>
            </w:r>
          </w:p>
        </w:tc>
      </w:tr>
      <w:tr w:rsidR="0098747F" w:rsidRPr="00163252" w:rsidTr="003443D1">
        <w:trPr>
          <w:trHeight w:val="300"/>
        </w:trPr>
        <w:tc>
          <w:tcPr>
            <w:tcW w:w="420" w:type="dxa"/>
            <w:vMerge/>
            <w:tcBorders>
              <w:top w:val="nil"/>
              <w:left w:val="nil"/>
              <w:bottom w:val="nil"/>
              <w:right w:val="nil"/>
            </w:tcBorders>
            <w:vAlign w:val="center"/>
            <w:hideMark/>
          </w:tcPr>
          <w:p w:rsidR="0098747F" w:rsidRPr="00163252" w:rsidRDefault="0098747F" w:rsidP="003443D1">
            <w:pPr>
              <w:spacing w:after="0" w:line="240" w:lineRule="auto"/>
              <w:rPr>
                <w:rFonts w:ascii="Arial" w:eastAsia="Times New Roman" w:hAnsi="Arial" w:cs="Arial"/>
                <w:b/>
                <w:bCs/>
                <w:color w:val="000000"/>
                <w:sz w:val="24"/>
                <w:szCs w:val="24"/>
                <w:lang w:eastAsia="en-GB"/>
              </w:rPr>
            </w:pPr>
          </w:p>
        </w:tc>
        <w:tc>
          <w:tcPr>
            <w:tcW w:w="42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20</w:t>
            </w:r>
          </w:p>
        </w:tc>
        <w:tc>
          <w:tcPr>
            <w:tcW w:w="700" w:type="dxa"/>
            <w:tcBorders>
              <w:top w:val="nil"/>
              <w:left w:val="single" w:sz="4" w:space="0" w:color="auto"/>
              <w:bottom w:val="single" w:sz="4" w:space="0" w:color="auto"/>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0.96</w:t>
            </w:r>
          </w:p>
        </w:tc>
        <w:tc>
          <w:tcPr>
            <w:tcW w:w="700" w:type="dxa"/>
            <w:tcBorders>
              <w:top w:val="nil"/>
              <w:left w:val="nil"/>
              <w:bottom w:val="single" w:sz="4" w:space="0" w:color="auto"/>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0.91</w:t>
            </w:r>
          </w:p>
        </w:tc>
        <w:tc>
          <w:tcPr>
            <w:tcW w:w="700" w:type="dxa"/>
            <w:tcBorders>
              <w:top w:val="nil"/>
              <w:left w:val="nil"/>
              <w:bottom w:val="single" w:sz="4" w:space="0" w:color="auto"/>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0.86</w:t>
            </w:r>
          </w:p>
        </w:tc>
        <w:tc>
          <w:tcPr>
            <w:tcW w:w="700" w:type="dxa"/>
            <w:tcBorders>
              <w:top w:val="nil"/>
              <w:left w:val="nil"/>
              <w:bottom w:val="single" w:sz="4" w:space="0" w:color="auto"/>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0.82</w:t>
            </w:r>
          </w:p>
        </w:tc>
        <w:tc>
          <w:tcPr>
            <w:tcW w:w="700" w:type="dxa"/>
            <w:tcBorders>
              <w:top w:val="nil"/>
              <w:left w:val="nil"/>
              <w:bottom w:val="single" w:sz="4" w:space="0" w:color="auto"/>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0.77</w:t>
            </w:r>
          </w:p>
        </w:tc>
        <w:tc>
          <w:tcPr>
            <w:tcW w:w="700" w:type="dxa"/>
            <w:tcBorders>
              <w:top w:val="nil"/>
              <w:left w:val="nil"/>
              <w:bottom w:val="single" w:sz="4" w:space="0" w:color="auto"/>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0.73</w:t>
            </w:r>
          </w:p>
        </w:tc>
        <w:tc>
          <w:tcPr>
            <w:tcW w:w="700" w:type="dxa"/>
            <w:tcBorders>
              <w:top w:val="nil"/>
              <w:left w:val="nil"/>
              <w:bottom w:val="single" w:sz="4" w:space="0" w:color="auto"/>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0.68</w:t>
            </w:r>
          </w:p>
        </w:tc>
        <w:tc>
          <w:tcPr>
            <w:tcW w:w="700" w:type="dxa"/>
            <w:tcBorders>
              <w:top w:val="nil"/>
              <w:left w:val="nil"/>
              <w:bottom w:val="single" w:sz="4" w:space="0" w:color="auto"/>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0.64</w:t>
            </w:r>
          </w:p>
        </w:tc>
        <w:tc>
          <w:tcPr>
            <w:tcW w:w="700" w:type="dxa"/>
            <w:tcBorders>
              <w:top w:val="nil"/>
              <w:left w:val="nil"/>
              <w:bottom w:val="single" w:sz="4" w:space="0" w:color="auto"/>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0.59</w:t>
            </w:r>
          </w:p>
        </w:tc>
        <w:tc>
          <w:tcPr>
            <w:tcW w:w="700" w:type="dxa"/>
            <w:tcBorders>
              <w:top w:val="nil"/>
              <w:left w:val="nil"/>
              <w:bottom w:val="single" w:sz="4" w:space="0" w:color="auto"/>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0.55</w:t>
            </w:r>
          </w:p>
        </w:tc>
        <w:tc>
          <w:tcPr>
            <w:tcW w:w="700" w:type="dxa"/>
            <w:tcBorders>
              <w:top w:val="nil"/>
              <w:left w:val="nil"/>
              <w:bottom w:val="single" w:sz="4" w:space="0" w:color="auto"/>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0.50</w:t>
            </w:r>
          </w:p>
        </w:tc>
        <w:tc>
          <w:tcPr>
            <w:tcW w:w="700" w:type="dxa"/>
            <w:tcBorders>
              <w:top w:val="nil"/>
              <w:left w:val="nil"/>
              <w:bottom w:val="single" w:sz="4" w:space="0" w:color="auto"/>
              <w:right w:val="single" w:sz="4" w:space="0" w:color="auto"/>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0.45</w:t>
            </w:r>
          </w:p>
        </w:tc>
      </w:tr>
    </w:tbl>
    <w:p w:rsidR="0098747F" w:rsidRPr="00163252" w:rsidRDefault="0098747F" w:rsidP="0098747F">
      <w:pPr>
        <w:rPr>
          <w:rFonts w:ascii="Arial" w:hAnsi="Arial" w:cs="Arial"/>
          <w:sz w:val="24"/>
          <w:szCs w:val="24"/>
          <w:lang w:val="en"/>
        </w:rPr>
      </w:pPr>
    </w:p>
    <w:p w:rsidR="0098747F" w:rsidRPr="00163252" w:rsidRDefault="0098747F" w:rsidP="0098747F">
      <w:pPr>
        <w:rPr>
          <w:rFonts w:ascii="Arial" w:hAnsi="Arial" w:cs="Arial"/>
          <w:i/>
          <w:sz w:val="24"/>
          <w:szCs w:val="24"/>
          <w:u w:val="single"/>
          <w:lang w:val="en"/>
        </w:rPr>
      </w:pPr>
      <w:proofErr w:type="gramStart"/>
      <w:r w:rsidRPr="00163252">
        <w:rPr>
          <w:rFonts w:ascii="Arial" w:hAnsi="Arial" w:cs="Arial"/>
          <w:i/>
          <w:sz w:val="24"/>
          <w:szCs w:val="24"/>
          <w:u w:val="single"/>
          <w:lang w:val="en"/>
        </w:rPr>
        <w:t>Table 1.</w:t>
      </w:r>
      <w:proofErr w:type="gramEnd"/>
      <w:r w:rsidRPr="00163252">
        <w:rPr>
          <w:rFonts w:ascii="Arial" w:hAnsi="Arial" w:cs="Arial"/>
          <w:i/>
          <w:sz w:val="24"/>
          <w:szCs w:val="24"/>
          <w:u w:val="single"/>
          <w:lang w:val="en"/>
        </w:rPr>
        <w:t xml:space="preserve"> The calculated mean probability of success, using the </w:t>
      </w:r>
      <w:r w:rsidR="00B330BE" w:rsidRPr="00163252">
        <w:rPr>
          <w:rFonts w:ascii="Arial" w:hAnsi="Arial" w:cs="Arial"/>
          <w:i/>
          <w:sz w:val="24"/>
          <w:szCs w:val="24"/>
          <w:u w:val="single"/>
          <w:lang w:val="en"/>
        </w:rPr>
        <w:t>Rule of Succession</w:t>
      </w:r>
      <w:r w:rsidRPr="00163252">
        <w:rPr>
          <w:rFonts w:ascii="Arial" w:hAnsi="Arial" w:cs="Arial"/>
          <w:i/>
          <w:sz w:val="24"/>
          <w:szCs w:val="24"/>
          <w:u w:val="single"/>
          <w:lang w:val="en"/>
        </w:rPr>
        <w:t>, that delivers an observed number of failures out of a set of n tests.</w:t>
      </w:r>
    </w:p>
    <w:tbl>
      <w:tblPr>
        <w:tblW w:w="9241" w:type="dxa"/>
        <w:tblInd w:w="93" w:type="dxa"/>
        <w:tblLook w:val="04A0" w:firstRow="1" w:lastRow="0" w:firstColumn="1" w:lastColumn="0" w:noHBand="0" w:noVBand="1"/>
      </w:tblPr>
      <w:tblGrid>
        <w:gridCol w:w="506"/>
        <w:gridCol w:w="483"/>
        <w:gridCol w:w="350"/>
        <w:gridCol w:w="741"/>
        <w:gridCol w:w="741"/>
        <w:gridCol w:w="741"/>
        <w:gridCol w:w="741"/>
        <w:gridCol w:w="741"/>
        <w:gridCol w:w="741"/>
        <w:gridCol w:w="741"/>
        <w:gridCol w:w="741"/>
        <w:gridCol w:w="741"/>
        <w:gridCol w:w="741"/>
        <w:gridCol w:w="741"/>
      </w:tblGrid>
      <w:tr w:rsidR="0098747F" w:rsidRPr="00163252" w:rsidTr="003443D1">
        <w:trPr>
          <w:trHeight w:val="300"/>
        </w:trPr>
        <w:tc>
          <w:tcPr>
            <w:tcW w:w="42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p>
        </w:tc>
        <w:tc>
          <w:tcPr>
            <w:tcW w:w="42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p>
        </w:tc>
        <w:tc>
          <w:tcPr>
            <w:tcW w:w="8401" w:type="dxa"/>
            <w:gridSpan w:val="12"/>
            <w:tcBorders>
              <w:top w:val="nil"/>
              <w:left w:val="nil"/>
              <w:bottom w:val="nil"/>
              <w:right w:val="nil"/>
            </w:tcBorders>
            <w:shd w:val="clear" w:color="auto" w:fill="auto"/>
            <w:noWrap/>
            <w:vAlign w:val="center"/>
            <w:hideMark/>
          </w:tcPr>
          <w:p w:rsidR="0098747F" w:rsidRPr="00163252" w:rsidRDefault="0098747F" w:rsidP="003443D1">
            <w:pPr>
              <w:spacing w:after="0" w:line="240" w:lineRule="auto"/>
              <w:jc w:val="center"/>
              <w:rPr>
                <w:rFonts w:ascii="Arial" w:eastAsia="Times New Roman" w:hAnsi="Arial" w:cs="Arial"/>
                <w:b/>
                <w:bCs/>
                <w:color w:val="000000"/>
                <w:sz w:val="24"/>
                <w:szCs w:val="24"/>
                <w:lang w:eastAsia="en-GB"/>
              </w:rPr>
            </w:pPr>
            <w:r w:rsidRPr="00163252">
              <w:rPr>
                <w:rFonts w:ascii="Arial" w:eastAsia="Times New Roman" w:hAnsi="Arial" w:cs="Arial"/>
                <w:b/>
                <w:bCs/>
                <w:color w:val="000000"/>
                <w:sz w:val="24"/>
                <w:szCs w:val="24"/>
                <w:lang w:eastAsia="en-GB"/>
              </w:rPr>
              <w:t>number of failures</w:t>
            </w:r>
          </w:p>
        </w:tc>
      </w:tr>
      <w:tr w:rsidR="0098747F" w:rsidRPr="00163252" w:rsidTr="003443D1">
        <w:trPr>
          <w:trHeight w:val="300"/>
        </w:trPr>
        <w:tc>
          <w:tcPr>
            <w:tcW w:w="42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p>
        </w:tc>
        <w:tc>
          <w:tcPr>
            <w:tcW w:w="42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p>
        </w:tc>
        <w:tc>
          <w:tcPr>
            <w:tcW w:w="25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1</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2</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3</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4</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5</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6</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7</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8</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9</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10</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center"/>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11</w:t>
            </w:r>
          </w:p>
        </w:tc>
      </w:tr>
      <w:tr w:rsidR="0098747F" w:rsidRPr="00163252" w:rsidTr="003443D1">
        <w:trPr>
          <w:trHeight w:val="300"/>
        </w:trPr>
        <w:tc>
          <w:tcPr>
            <w:tcW w:w="420" w:type="dxa"/>
            <w:vMerge w:val="restart"/>
            <w:tcBorders>
              <w:top w:val="nil"/>
              <w:left w:val="nil"/>
              <w:bottom w:val="nil"/>
              <w:right w:val="nil"/>
            </w:tcBorders>
            <w:shd w:val="clear" w:color="auto" w:fill="auto"/>
            <w:noWrap/>
            <w:textDirection w:val="btLr"/>
            <w:vAlign w:val="center"/>
            <w:hideMark/>
          </w:tcPr>
          <w:p w:rsidR="0098747F" w:rsidRPr="00163252" w:rsidRDefault="0098747F" w:rsidP="003443D1">
            <w:pPr>
              <w:spacing w:after="0" w:line="240" w:lineRule="auto"/>
              <w:jc w:val="center"/>
              <w:rPr>
                <w:rFonts w:ascii="Arial" w:eastAsia="Times New Roman" w:hAnsi="Arial" w:cs="Arial"/>
                <w:b/>
                <w:bCs/>
                <w:color w:val="000000"/>
                <w:sz w:val="24"/>
                <w:szCs w:val="24"/>
                <w:lang w:eastAsia="en-GB"/>
              </w:rPr>
            </w:pPr>
            <w:r w:rsidRPr="00163252">
              <w:rPr>
                <w:rFonts w:ascii="Arial" w:eastAsia="Times New Roman" w:hAnsi="Arial" w:cs="Arial"/>
                <w:b/>
                <w:bCs/>
                <w:color w:val="000000"/>
                <w:sz w:val="24"/>
                <w:szCs w:val="24"/>
                <w:lang w:eastAsia="en-GB"/>
              </w:rPr>
              <w:t>n = number of tests</w:t>
            </w:r>
          </w:p>
        </w:tc>
        <w:tc>
          <w:tcPr>
            <w:tcW w:w="42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w:t>
            </w:r>
          </w:p>
        </w:tc>
        <w:tc>
          <w:tcPr>
            <w:tcW w:w="250" w:type="dxa"/>
            <w:tcBorders>
              <w:top w:val="single" w:sz="4" w:space="0" w:color="auto"/>
              <w:left w:val="single" w:sz="4" w:space="0" w:color="auto"/>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1</w:t>
            </w:r>
          </w:p>
        </w:tc>
        <w:tc>
          <w:tcPr>
            <w:tcW w:w="741" w:type="dxa"/>
            <w:tcBorders>
              <w:top w:val="single" w:sz="4" w:space="0" w:color="auto"/>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 </w:t>
            </w:r>
          </w:p>
        </w:tc>
        <w:tc>
          <w:tcPr>
            <w:tcW w:w="741" w:type="dxa"/>
            <w:tcBorders>
              <w:top w:val="single" w:sz="4" w:space="0" w:color="auto"/>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 </w:t>
            </w:r>
          </w:p>
        </w:tc>
        <w:tc>
          <w:tcPr>
            <w:tcW w:w="741" w:type="dxa"/>
            <w:tcBorders>
              <w:top w:val="single" w:sz="4" w:space="0" w:color="auto"/>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 </w:t>
            </w:r>
          </w:p>
        </w:tc>
        <w:tc>
          <w:tcPr>
            <w:tcW w:w="741" w:type="dxa"/>
            <w:tcBorders>
              <w:top w:val="single" w:sz="4" w:space="0" w:color="auto"/>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 </w:t>
            </w:r>
          </w:p>
        </w:tc>
        <w:tc>
          <w:tcPr>
            <w:tcW w:w="741" w:type="dxa"/>
            <w:tcBorders>
              <w:top w:val="single" w:sz="4" w:space="0" w:color="auto"/>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 </w:t>
            </w:r>
          </w:p>
        </w:tc>
        <w:tc>
          <w:tcPr>
            <w:tcW w:w="741" w:type="dxa"/>
            <w:tcBorders>
              <w:top w:val="single" w:sz="4" w:space="0" w:color="auto"/>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 </w:t>
            </w:r>
          </w:p>
        </w:tc>
        <w:tc>
          <w:tcPr>
            <w:tcW w:w="741" w:type="dxa"/>
            <w:tcBorders>
              <w:top w:val="single" w:sz="4" w:space="0" w:color="auto"/>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 </w:t>
            </w:r>
          </w:p>
        </w:tc>
        <w:tc>
          <w:tcPr>
            <w:tcW w:w="741" w:type="dxa"/>
            <w:tcBorders>
              <w:top w:val="single" w:sz="4" w:space="0" w:color="auto"/>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 </w:t>
            </w:r>
          </w:p>
        </w:tc>
        <w:tc>
          <w:tcPr>
            <w:tcW w:w="741" w:type="dxa"/>
            <w:tcBorders>
              <w:top w:val="single" w:sz="4" w:space="0" w:color="auto"/>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 </w:t>
            </w:r>
          </w:p>
        </w:tc>
        <w:tc>
          <w:tcPr>
            <w:tcW w:w="741" w:type="dxa"/>
            <w:tcBorders>
              <w:top w:val="single" w:sz="4" w:space="0" w:color="auto"/>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 </w:t>
            </w:r>
          </w:p>
        </w:tc>
        <w:tc>
          <w:tcPr>
            <w:tcW w:w="741" w:type="dxa"/>
            <w:tcBorders>
              <w:top w:val="single" w:sz="4" w:space="0" w:color="auto"/>
              <w:left w:val="nil"/>
              <w:bottom w:val="nil"/>
              <w:right w:val="single" w:sz="4" w:space="0" w:color="auto"/>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 </w:t>
            </w:r>
          </w:p>
        </w:tc>
      </w:tr>
      <w:tr w:rsidR="0098747F" w:rsidRPr="00163252" w:rsidTr="003443D1">
        <w:trPr>
          <w:trHeight w:val="300"/>
        </w:trPr>
        <w:tc>
          <w:tcPr>
            <w:tcW w:w="420" w:type="dxa"/>
            <w:vMerge/>
            <w:tcBorders>
              <w:top w:val="nil"/>
              <w:left w:val="nil"/>
              <w:bottom w:val="nil"/>
              <w:right w:val="nil"/>
            </w:tcBorders>
            <w:vAlign w:val="center"/>
            <w:hideMark/>
          </w:tcPr>
          <w:p w:rsidR="0098747F" w:rsidRPr="00163252" w:rsidRDefault="0098747F" w:rsidP="003443D1">
            <w:pPr>
              <w:spacing w:after="0" w:line="240" w:lineRule="auto"/>
              <w:rPr>
                <w:rFonts w:ascii="Arial" w:eastAsia="Times New Roman" w:hAnsi="Arial" w:cs="Arial"/>
                <w:b/>
                <w:bCs/>
                <w:color w:val="000000"/>
                <w:sz w:val="24"/>
                <w:szCs w:val="24"/>
                <w:lang w:eastAsia="en-GB"/>
              </w:rPr>
            </w:pPr>
          </w:p>
        </w:tc>
        <w:tc>
          <w:tcPr>
            <w:tcW w:w="42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1</w:t>
            </w:r>
          </w:p>
        </w:tc>
        <w:tc>
          <w:tcPr>
            <w:tcW w:w="250" w:type="dxa"/>
            <w:tcBorders>
              <w:top w:val="nil"/>
              <w:left w:val="single" w:sz="4" w:space="0" w:color="auto"/>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1</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0.00</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p>
        </w:tc>
        <w:tc>
          <w:tcPr>
            <w:tcW w:w="741" w:type="dxa"/>
            <w:tcBorders>
              <w:top w:val="nil"/>
              <w:left w:val="nil"/>
              <w:bottom w:val="nil"/>
              <w:right w:val="single" w:sz="4" w:space="0" w:color="auto"/>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 </w:t>
            </w:r>
          </w:p>
        </w:tc>
      </w:tr>
      <w:tr w:rsidR="0098747F" w:rsidRPr="00163252" w:rsidTr="003443D1">
        <w:trPr>
          <w:trHeight w:val="300"/>
        </w:trPr>
        <w:tc>
          <w:tcPr>
            <w:tcW w:w="420" w:type="dxa"/>
            <w:vMerge/>
            <w:tcBorders>
              <w:top w:val="nil"/>
              <w:left w:val="nil"/>
              <w:bottom w:val="nil"/>
              <w:right w:val="nil"/>
            </w:tcBorders>
            <w:vAlign w:val="center"/>
            <w:hideMark/>
          </w:tcPr>
          <w:p w:rsidR="0098747F" w:rsidRPr="00163252" w:rsidRDefault="0098747F" w:rsidP="003443D1">
            <w:pPr>
              <w:spacing w:after="0" w:line="240" w:lineRule="auto"/>
              <w:rPr>
                <w:rFonts w:ascii="Arial" w:eastAsia="Times New Roman" w:hAnsi="Arial" w:cs="Arial"/>
                <w:b/>
                <w:bCs/>
                <w:color w:val="000000"/>
                <w:sz w:val="24"/>
                <w:szCs w:val="24"/>
                <w:lang w:eastAsia="en-GB"/>
              </w:rPr>
            </w:pPr>
          </w:p>
        </w:tc>
        <w:tc>
          <w:tcPr>
            <w:tcW w:w="42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2</w:t>
            </w:r>
          </w:p>
        </w:tc>
        <w:tc>
          <w:tcPr>
            <w:tcW w:w="250" w:type="dxa"/>
            <w:tcBorders>
              <w:top w:val="nil"/>
              <w:left w:val="single" w:sz="4" w:space="0" w:color="auto"/>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1</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0.50</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0.00</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p>
        </w:tc>
        <w:tc>
          <w:tcPr>
            <w:tcW w:w="741" w:type="dxa"/>
            <w:tcBorders>
              <w:top w:val="nil"/>
              <w:left w:val="nil"/>
              <w:bottom w:val="nil"/>
              <w:right w:val="single" w:sz="4" w:space="0" w:color="auto"/>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 </w:t>
            </w:r>
          </w:p>
        </w:tc>
      </w:tr>
      <w:tr w:rsidR="0098747F" w:rsidRPr="00163252" w:rsidTr="003443D1">
        <w:trPr>
          <w:trHeight w:val="300"/>
        </w:trPr>
        <w:tc>
          <w:tcPr>
            <w:tcW w:w="420" w:type="dxa"/>
            <w:vMerge/>
            <w:tcBorders>
              <w:top w:val="nil"/>
              <w:left w:val="nil"/>
              <w:bottom w:val="nil"/>
              <w:right w:val="nil"/>
            </w:tcBorders>
            <w:vAlign w:val="center"/>
            <w:hideMark/>
          </w:tcPr>
          <w:p w:rsidR="0098747F" w:rsidRPr="00163252" w:rsidRDefault="0098747F" w:rsidP="003443D1">
            <w:pPr>
              <w:spacing w:after="0" w:line="240" w:lineRule="auto"/>
              <w:rPr>
                <w:rFonts w:ascii="Arial" w:eastAsia="Times New Roman" w:hAnsi="Arial" w:cs="Arial"/>
                <w:b/>
                <w:bCs/>
                <w:color w:val="000000"/>
                <w:sz w:val="24"/>
                <w:szCs w:val="24"/>
                <w:lang w:eastAsia="en-GB"/>
              </w:rPr>
            </w:pPr>
          </w:p>
        </w:tc>
        <w:tc>
          <w:tcPr>
            <w:tcW w:w="42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3</w:t>
            </w:r>
          </w:p>
        </w:tc>
        <w:tc>
          <w:tcPr>
            <w:tcW w:w="250" w:type="dxa"/>
            <w:tcBorders>
              <w:top w:val="nil"/>
              <w:left w:val="single" w:sz="4" w:space="0" w:color="auto"/>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1</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0.67</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0.33</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0.00</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p>
        </w:tc>
        <w:tc>
          <w:tcPr>
            <w:tcW w:w="741" w:type="dxa"/>
            <w:tcBorders>
              <w:top w:val="nil"/>
              <w:left w:val="nil"/>
              <w:bottom w:val="nil"/>
              <w:right w:val="single" w:sz="4" w:space="0" w:color="auto"/>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 </w:t>
            </w:r>
          </w:p>
        </w:tc>
      </w:tr>
      <w:tr w:rsidR="0098747F" w:rsidRPr="00163252" w:rsidTr="003443D1">
        <w:trPr>
          <w:trHeight w:val="300"/>
        </w:trPr>
        <w:tc>
          <w:tcPr>
            <w:tcW w:w="420" w:type="dxa"/>
            <w:vMerge/>
            <w:tcBorders>
              <w:top w:val="nil"/>
              <w:left w:val="nil"/>
              <w:bottom w:val="nil"/>
              <w:right w:val="nil"/>
            </w:tcBorders>
            <w:vAlign w:val="center"/>
            <w:hideMark/>
          </w:tcPr>
          <w:p w:rsidR="0098747F" w:rsidRPr="00163252" w:rsidRDefault="0098747F" w:rsidP="003443D1">
            <w:pPr>
              <w:spacing w:after="0" w:line="240" w:lineRule="auto"/>
              <w:rPr>
                <w:rFonts w:ascii="Arial" w:eastAsia="Times New Roman" w:hAnsi="Arial" w:cs="Arial"/>
                <w:b/>
                <w:bCs/>
                <w:color w:val="000000"/>
                <w:sz w:val="24"/>
                <w:szCs w:val="24"/>
                <w:lang w:eastAsia="en-GB"/>
              </w:rPr>
            </w:pPr>
          </w:p>
        </w:tc>
        <w:tc>
          <w:tcPr>
            <w:tcW w:w="42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4</w:t>
            </w:r>
          </w:p>
        </w:tc>
        <w:tc>
          <w:tcPr>
            <w:tcW w:w="250" w:type="dxa"/>
            <w:tcBorders>
              <w:top w:val="nil"/>
              <w:left w:val="single" w:sz="4" w:space="0" w:color="auto"/>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1</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0.75</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0.50</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0.25</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0.00</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p>
        </w:tc>
        <w:tc>
          <w:tcPr>
            <w:tcW w:w="741" w:type="dxa"/>
            <w:tcBorders>
              <w:top w:val="nil"/>
              <w:left w:val="nil"/>
              <w:bottom w:val="nil"/>
              <w:right w:val="single" w:sz="4" w:space="0" w:color="auto"/>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 </w:t>
            </w:r>
          </w:p>
        </w:tc>
      </w:tr>
      <w:tr w:rsidR="0098747F" w:rsidRPr="00163252" w:rsidTr="003443D1">
        <w:trPr>
          <w:trHeight w:val="300"/>
        </w:trPr>
        <w:tc>
          <w:tcPr>
            <w:tcW w:w="420" w:type="dxa"/>
            <w:vMerge/>
            <w:tcBorders>
              <w:top w:val="nil"/>
              <w:left w:val="nil"/>
              <w:bottom w:val="nil"/>
              <w:right w:val="nil"/>
            </w:tcBorders>
            <w:vAlign w:val="center"/>
            <w:hideMark/>
          </w:tcPr>
          <w:p w:rsidR="0098747F" w:rsidRPr="00163252" w:rsidRDefault="0098747F" w:rsidP="003443D1">
            <w:pPr>
              <w:spacing w:after="0" w:line="240" w:lineRule="auto"/>
              <w:rPr>
                <w:rFonts w:ascii="Arial" w:eastAsia="Times New Roman" w:hAnsi="Arial" w:cs="Arial"/>
                <w:b/>
                <w:bCs/>
                <w:color w:val="000000"/>
                <w:sz w:val="24"/>
                <w:szCs w:val="24"/>
                <w:lang w:eastAsia="en-GB"/>
              </w:rPr>
            </w:pPr>
          </w:p>
        </w:tc>
        <w:tc>
          <w:tcPr>
            <w:tcW w:w="42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5</w:t>
            </w:r>
          </w:p>
        </w:tc>
        <w:tc>
          <w:tcPr>
            <w:tcW w:w="250" w:type="dxa"/>
            <w:tcBorders>
              <w:top w:val="nil"/>
              <w:left w:val="single" w:sz="4" w:space="0" w:color="auto"/>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1</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0.80</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0.60</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0.40</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0.20</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0.00</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p>
        </w:tc>
        <w:tc>
          <w:tcPr>
            <w:tcW w:w="741" w:type="dxa"/>
            <w:tcBorders>
              <w:top w:val="nil"/>
              <w:left w:val="nil"/>
              <w:bottom w:val="nil"/>
              <w:right w:val="single" w:sz="4" w:space="0" w:color="auto"/>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 </w:t>
            </w:r>
          </w:p>
        </w:tc>
      </w:tr>
      <w:tr w:rsidR="0098747F" w:rsidRPr="00163252" w:rsidTr="003443D1">
        <w:trPr>
          <w:trHeight w:val="300"/>
        </w:trPr>
        <w:tc>
          <w:tcPr>
            <w:tcW w:w="420" w:type="dxa"/>
            <w:vMerge/>
            <w:tcBorders>
              <w:top w:val="nil"/>
              <w:left w:val="nil"/>
              <w:bottom w:val="nil"/>
              <w:right w:val="nil"/>
            </w:tcBorders>
            <w:vAlign w:val="center"/>
            <w:hideMark/>
          </w:tcPr>
          <w:p w:rsidR="0098747F" w:rsidRPr="00163252" w:rsidRDefault="0098747F" w:rsidP="003443D1">
            <w:pPr>
              <w:spacing w:after="0" w:line="240" w:lineRule="auto"/>
              <w:rPr>
                <w:rFonts w:ascii="Arial" w:eastAsia="Times New Roman" w:hAnsi="Arial" w:cs="Arial"/>
                <w:b/>
                <w:bCs/>
                <w:color w:val="000000"/>
                <w:sz w:val="24"/>
                <w:szCs w:val="24"/>
                <w:lang w:eastAsia="en-GB"/>
              </w:rPr>
            </w:pPr>
          </w:p>
        </w:tc>
        <w:tc>
          <w:tcPr>
            <w:tcW w:w="42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6</w:t>
            </w:r>
          </w:p>
        </w:tc>
        <w:tc>
          <w:tcPr>
            <w:tcW w:w="250" w:type="dxa"/>
            <w:tcBorders>
              <w:top w:val="nil"/>
              <w:left w:val="single" w:sz="4" w:space="0" w:color="auto"/>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1</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0.83</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0.67</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0.50</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0.33</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0.17</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0.00</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p>
        </w:tc>
        <w:tc>
          <w:tcPr>
            <w:tcW w:w="741" w:type="dxa"/>
            <w:tcBorders>
              <w:top w:val="nil"/>
              <w:left w:val="nil"/>
              <w:bottom w:val="nil"/>
              <w:right w:val="single" w:sz="4" w:space="0" w:color="auto"/>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 </w:t>
            </w:r>
          </w:p>
        </w:tc>
      </w:tr>
      <w:tr w:rsidR="0098747F" w:rsidRPr="00163252" w:rsidTr="003443D1">
        <w:trPr>
          <w:trHeight w:val="300"/>
        </w:trPr>
        <w:tc>
          <w:tcPr>
            <w:tcW w:w="420" w:type="dxa"/>
            <w:vMerge/>
            <w:tcBorders>
              <w:top w:val="nil"/>
              <w:left w:val="nil"/>
              <w:bottom w:val="nil"/>
              <w:right w:val="nil"/>
            </w:tcBorders>
            <w:vAlign w:val="center"/>
            <w:hideMark/>
          </w:tcPr>
          <w:p w:rsidR="0098747F" w:rsidRPr="00163252" w:rsidRDefault="0098747F" w:rsidP="003443D1">
            <w:pPr>
              <w:spacing w:after="0" w:line="240" w:lineRule="auto"/>
              <w:rPr>
                <w:rFonts w:ascii="Arial" w:eastAsia="Times New Roman" w:hAnsi="Arial" w:cs="Arial"/>
                <w:b/>
                <w:bCs/>
                <w:color w:val="000000"/>
                <w:sz w:val="24"/>
                <w:szCs w:val="24"/>
                <w:lang w:eastAsia="en-GB"/>
              </w:rPr>
            </w:pPr>
          </w:p>
        </w:tc>
        <w:tc>
          <w:tcPr>
            <w:tcW w:w="42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7</w:t>
            </w:r>
          </w:p>
        </w:tc>
        <w:tc>
          <w:tcPr>
            <w:tcW w:w="250" w:type="dxa"/>
            <w:tcBorders>
              <w:top w:val="nil"/>
              <w:left w:val="single" w:sz="4" w:space="0" w:color="auto"/>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1</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0.86</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0.71</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0.57</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0.43</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0.29</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0.14</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0.00</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p>
        </w:tc>
        <w:tc>
          <w:tcPr>
            <w:tcW w:w="741" w:type="dxa"/>
            <w:tcBorders>
              <w:top w:val="nil"/>
              <w:left w:val="nil"/>
              <w:bottom w:val="nil"/>
              <w:right w:val="single" w:sz="4" w:space="0" w:color="auto"/>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 </w:t>
            </w:r>
          </w:p>
        </w:tc>
      </w:tr>
      <w:tr w:rsidR="0098747F" w:rsidRPr="00163252" w:rsidTr="003443D1">
        <w:trPr>
          <w:trHeight w:val="300"/>
        </w:trPr>
        <w:tc>
          <w:tcPr>
            <w:tcW w:w="420" w:type="dxa"/>
            <w:vMerge/>
            <w:tcBorders>
              <w:top w:val="nil"/>
              <w:left w:val="nil"/>
              <w:bottom w:val="nil"/>
              <w:right w:val="nil"/>
            </w:tcBorders>
            <w:vAlign w:val="center"/>
            <w:hideMark/>
          </w:tcPr>
          <w:p w:rsidR="0098747F" w:rsidRPr="00163252" w:rsidRDefault="0098747F" w:rsidP="003443D1">
            <w:pPr>
              <w:spacing w:after="0" w:line="240" w:lineRule="auto"/>
              <w:rPr>
                <w:rFonts w:ascii="Arial" w:eastAsia="Times New Roman" w:hAnsi="Arial" w:cs="Arial"/>
                <w:b/>
                <w:bCs/>
                <w:color w:val="000000"/>
                <w:sz w:val="24"/>
                <w:szCs w:val="24"/>
                <w:lang w:eastAsia="en-GB"/>
              </w:rPr>
            </w:pPr>
          </w:p>
        </w:tc>
        <w:tc>
          <w:tcPr>
            <w:tcW w:w="42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8</w:t>
            </w:r>
          </w:p>
        </w:tc>
        <w:tc>
          <w:tcPr>
            <w:tcW w:w="250" w:type="dxa"/>
            <w:tcBorders>
              <w:top w:val="nil"/>
              <w:left w:val="single" w:sz="4" w:space="0" w:color="auto"/>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1</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0.88</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0.75</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0.63</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0.50</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0.38</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0.25</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0.13</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0.00</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p>
        </w:tc>
        <w:tc>
          <w:tcPr>
            <w:tcW w:w="741" w:type="dxa"/>
            <w:tcBorders>
              <w:top w:val="nil"/>
              <w:left w:val="nil"/>
              <w:bottom w:val="nil"/>
              <w:right w:val="single" w:sz="4" w:space="0" w:color="auto"/>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 </w:t>
            </w:r>
          </w:p>
        </w:tc>
      </w:tr>
      <w:tr w:rsidR="0098747F" w:rsidRPr="00163252" w:rsidTr="003443D1">
        <w:trPr>
          <w:trHeight w:val="300"/>
        </w:trPr>
        <w:tc>
          <w:tcPr>
            <w:tcW w:w="420" w:type="dxa"/>
            <w:vMerge/>
            <w:tcBorders>
              <w:top w:val="nil"/>
              <w:left w:val="nil"/>
              <w:bottom w:val="nil"/>
              <w:right w:val="nil"/>
            </w:tcBorders>
            <w:vAlign w:val="center"/>
            <w:hideMark/>
          </w:tcPr>
          <w:p w:rsidR="0098747F" w:rsidRPr="00163252" w:rsidRDefault="0098747F" w:rsidP="003443D1">
            <w:pPr>
              <w:spacing w:after="0" w:line="240" w:lineRule="auto"/>
              <w:rPr>
                <w:rFonts w:ascii="Arial" w:eastAsia="Times New Roman" w:hAnsi="Arial" w:cs="Arial"/>
                <w:b/>
                <w:bCs/>
                <w:color w:val="000000"/>
                <w:sz w:val="24"/>
                <w:szCs w:val="24"/>
                <w:lang w:eastAsia="en-GB"/>
              </w:rPr>
            </w:pPr>
          </w:p>
        </w:tc>
        <w:tc>
          <w:tcPr>
            <w:tcW w:w="42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9</w:t>
            </w:r>
          </w:p>
        </w:tc>
        <w:tc>
          <w:tcPr>
            <w:tcW w:w="250" w:type="dxa"/>
            <w:tcBorders>
              <w:top w:val="nil"/>
              <w:left w:val="single" w:sz="4" w:space="0" w:color="auto"/>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1</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0.89</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0.78</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0.67</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0.56</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0.44</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0.33</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0.22</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0.11</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0.00</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p>
        </w:tc>
        <w:tc>
          <w:tcPr>
            <w:tcW w:w="741" w:type="dxa"/>
            <w:tcBorders>
              <w:top w:val="nil"/>
              <w:left w:val="nil"/>
              <w:bottom w:val="nil"/>
              <w:right w:val="single" w:sz="4" w:space="0" w:color="auto"/>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 </w:t>
            </w:r>
          </w:p>
        </w:tc>
      </w:tr>
      <w:tr w:rsidR="0098747F" w:rsidRPr="00163252" w:rsidTr="003443D1">
        <w:trPr>
          <w:trHeight w:val="300"/>
        </w:trPr>
        <w:tc>
          <w:tcPr>
            <w:tcW w:w="420" w:type="dxa"/>
            <w:vMerge/>
            <w:tcBorders>
              <w:top w:val="nil"/>
              <w:left w:val="nil"/>
              <w:bottom w:val="nil"/>
              <w:right w:val="nil"/>
            </w:tcBorders>
            <w:vAlign w:val="center"/>
            <w:hideMark/>
          </w:tcPr>
          <w:p w:rsidR="0098747F" w:rsidRPr="00163252" w:rsidRDefault="0098747F" w:rsidP="003443D1">
            <w:pPr>
              <w:spacing w:after="0" w:line="240" w:lineRule="auto"/>
              <w:rPr>
                <w:rFonts w:ascii="Arial" w:eastAsia="Times New Roman" w:hAnsi="Arial" w:cs="Arial"/>
                <w:b/>
                <w:bCs/>
                <w:color w:val="000000"/>
                <w:sz w:val="24"/>
                <w:szCs w:val="24"/>
                <w:lang w:eastAsia="en-GB"/>
              </w:rPr>
            </w:pPr>
          </w:p>
        </w:tc>
        <w:tc>
          <w:tcPr>
            <w:tcW w:w="42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10</w:t>
            </w:r>
          </w:p>
        </w:tc>
        <w:tc>
          <w:tcPr>
            <w:tcW w:w="250" w:type="dxa"/>
            <w:tcBorders>
              <w:top w:val="nil"/>
              <w:left w:val="single" w:sz="4" w:space="0" w:color="auto"/>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1</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0.90</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0.80</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0.70</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0.60</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0.50</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0.40</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0.30</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0.20</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0.10</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0.00</w:t>
            </w:r>
          </w:p>
        </w:tc>
        <w:tc>
          <w:tcPr>
            <w:tcW w:w="741" w:type="dxa"/>
            <w:tcBorders>
              <w:top w:val="nil"/>
              <w:left w:val="nil"/>
              <w:bottom w:val="nil"/>
              <w:right w:val="single" w:sz="4" w:space="0" w:color="auto"/>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 </w:t>
            </w:r>
          </w:p>
        </w:tc>
      </w:tr>
      <w:tr w:rsidR="0098747F" w:rsidRPr="00163252" w:rsidTr="003443D1">
        <w:trPr>
          <w:trHeight w:val="300"/>
        </w:trPr>
        <w:tc>
          <w:tcPr>
            <w:tcW w:w="420" w:type="dxa"/>
            <w:vMerge/>
            <w:tcBorders>
              <w:top w:val="nil"/>
              <w:left w:val="nil"/>
              <w:bottom w:val="nil"/>
              <w:right w:val="nil"/>
            </w:tcBorders>
            <w:vAlign w:val="center"/>
            <w:hideMark/>
          </w:tcPr>
          <w:p w:rsidR="0098747F" w:rsidRPr="00163252" w:rsidRDefault="0098747F" w:rsidP="003443D1">
            <w:pPr>
              <w:spacing w:after="0" w:line="240" w:lineRule="auto"/>
              <w:rPr>
                <w:rFonts w:ascii="Arial" w:eastAsia="Times New Roman" w:hAnsi="Arial" w:cs="Arial"/>
                <w:b/>
                <w:bCs/>
                <w:color w:val="000000"/>
                <w:sz w:val="24"/>
                <w:szCs w:val="24"/>
                <w:lang w:eastAsia="en-GB"/>
              </w:rPr>
            </w:pPr>
          </w:p>
        </w:tc>
        <w:tc>
          <w:tcPr>
            <w:tcW w:w="42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11</w:t>
            </w:r>
          </w:p>
        </w:tc>
        <w:tc>
          <w:tcPr>
            <w:tcW w:w="250" w:type="dxa"/>
            <w:tcBorders>
              <w:top w:val="nil"/>
              <w:left w:val="single" w:sz="4" w:space="0" w:color="auto"/>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1</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0.91</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0.82</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0.73</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0.64</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0.55</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0.45</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0.36</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0.27</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0.18</w:t>
            </w:r>
          </w:p>
        </w:tc>
        <w:tc>
          <w:tcPr>
            <w:tcW w:w="741"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0.09</w:t>
            </w:r>
          </w:p>
        </w:tc>
        <w:tc>
          <w:tcPr>
            <w:tcW w:w="741" w:type="dxa"/>
            <w:tcBorders>
              <w:top w:val="nil"/>
              <w:left w:val="nil"/>
              <w:bottom w:val="nil"/>
              <w:right w:val="single" w:sz="4" w:space="0" w:color="auto"/>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0.00</w:t>
            </w:r>
          </w:p>
        </w:tc>
      </w:tr>
      <w:tr w:rsidR="0098747F" w:rsidRPr="00163252" w:rsidTr="003443D1">
        <w:trPr>
          <w:trHeight w:val="300"/>
        </w:trPr>
        <w:tc>
          <w:tcPr>
            <w:tcW w:w="420" w:type="dxa"/>
            <w:vMerge/>
            <w:tcBorders>
              <w:top w:val="nil"/>
              <w:left w:val="nil"/>
              <w:bottom w:val="nil"/>
              <w:right w:val="nil"/>
            </w:tcBorders>
            <w:vAlign w:val="center"/>
            <w:hideMark/>
          </w:tcPr>
          <w:p w:rsidR="0098747F" w:rsidRPr="00163252" w:rsidRDefault="0098747F" w:rsidP="003443D1">
            <w:pPr>
              <w:spacing w:after="0" w:line="240" w:lineRule="auto"/>
              <w:rPr>
                <w:rFonts w:ascii="Arial" w:eastAsia="Times New Roman" w:hAnsi="Arial" w:cs="Arial"/>
                <w:b/>
                <w:bCs/>
                <w:color w:val="000000"/>
                <w:sz w:val="24"/>
                <w:szCs w:val="24"/>
                <w:lang w:eastAsia="en-GB"/>
              </w:rPr>
            </w:pPr>
          </w:p>
        </w:tc>
        <w:tc>
          <w:tcPr>
            <w:tcW w:w="420" w:type="dxa"/>
            <w:tcBorders>
              <w:top w:val="nil"/>
              <w:left w:val="nil"/>
              <w:bottom w:val="nil"/>
              <w:right w:val="nil"/>
            </w:tcBorders>
            <w:shd w:val="clear" w:color="auto" w:fill="auto"/>
            <w:noWrap/>
            <w:vAlign w:val="bottom"/>
            <w:hideMark/>
          </w:tcPr>
          <w:p w:rsidR="0098747F" w:rsidRPr="00163252" w:rsidRDefault="0098747F" w:rsidP="003443D1">
            <w:pPr>
              <w:spacing w:after="0" w:line="240" w:lineRule="auto"/>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20</w:t>
            </w:r>
          </w:p>
        </w:tc>
        <w:tc>
          <w:tcPr>
            <w:tcW w:w="250" w:type="dxa"/>
            <w:tcBorders>
              <w:top w:val="nil"/>
              <w:left w:val="single" w:sz="4" w:space="0" w:color="auto"/>
              <w:bottom w:val="single" w:sz="4" w:space="0" w:color="auto"/>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1</w:t>
            </w:r>
          </w:p>
        </w:tc>
        <w:tc>
          <w:tcPr>
            <w:tcW w:w="741" w:type="dxa"/>
            <w:tcBorders>
              <w:top w:val="nil"/>
              <w:left w:val="nil"/>
              <w:bottom w:val="single" w:sz="4" w:space="0" w:color="auto"/>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0.95</w:t>
            </w:r>
          </w:p>
        </w:tc>
        <w:tc>
          <w:tcPr>
            <w:tcW w:w="741" w:type="dxa"/>
            <w:tcBorders>
              <w:top w:val="nil"/>
              <w:left w:val="nil"/>
              <w:bottom w:val="single" w:sz="4" w:space="0" w:color="auto"/>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0.90</w:t>
            </w:r>
          </w:p>
        </w:tc>
        <w:tc>
          <w:tcPr>
            <w:tcW w:w="741" w:type="dxa"/>
            <w:tcBorders>
              <w:top w:val="nil"/>
              <w:left w:val="nil"/>
              <w:bottom w:val="single" w:sz="4" w:space="0" w:color="auto"/>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0.85</w:t>
            </w:r>
          </w:p>
        </w:tc>
        <w:tc>
          <w:tcPr>
            <w:tcW w:w="741" w:type="dxa"/>
            <w:tcBorders>
              <w:top w:val="nil"/>
              <w:left w:val="nil"/>
              <w:bottom w:val="single" w:sz="4" w:space="0" w:color="auto"/>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0.80</w:t>
            </w:r>
          </w:p>
        </w:tc>
        <w:tc>
          <w:tcPr>
            <w:tcW w:w="741" w:type="dxa"/>
            <w:tcBorders>
              <w:top w:val="nil"/>
              <w:left w:val="nil"/>
              <w:bottom w:val="single" w:sz="4" w:space="0" w:color="auto"/>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0.75</w:t>
            </w:r>
          </w:p>
        </w:tc>
        <w:tc>
          <w:tcPr>
            <w:tcW w:w="741" w:type="dxa"/>
            <w:tcBorders>
              <w:top w:val="nil"/>
              <w:left w:val="nil"/>
              <w:bottom w:val="single" w:sz="4" w:space="0" w:color="auto"/>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0.70</w:t>
            </w:r>
          </w:p>
        </w:tc>
        <w:tc>
          <w:tcPr>
            <w:tcW w:w="741" w:type="dxa"/>
            <w:tcBorders>
              <w:top w:val="nil"/>
              <w:left w:val="nil"/>
              <w:bottom w:val="single" w:sz="4" w:space="0" w:color="auto"/>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0.65</w:t>
            </w:r>
          </w:p>
        </w:tc>
        <w:tc>
          <w:tcPr>
            <w:tcW w:w="741" w:type="dxa"/>
            <w:tcBorders>
              <w:top w:val="nil"/>
              <w:left w:val="nil"/>
              <w:bottom w:val="single" w:sz="4" w:space="0" w:color="auto"/>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0.60</w:t>
            </w:r>
          </w:p>
        </w:tc>
        <w:tc>
          <w:tcPr>
            <w:tcW w:w="741" w:type="dxa"/>
            <w:tcBorders>
              <w:top w:val="nil"/>
              <w:left w:val="nil"/>
              <w:bottom w:val="single" w:sz="4" w:space="0" w:color="auto"/>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0.55</w:t>
            </w:r>
          </w:p>
        </w:tc>
        <w:tc>
          <w:tcPr>
            <w:tcW w:w="741" w:type="dxa"/>
            <w:tcBorders>
              <w:top w:val="nil"/>
              <w:left w:val="nil"/>
              <w:bottom w:val="single" w:sz="4" w:space="0" w:color="auto"/>
              <w:right w:val="nil"/>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0.50</w:t>
            </w:r>
          </w:p>
        </w:tc>
        <w:tc>
          <w:tcPr>
            <w:tcW w:w="741" w:type="dxa"/>
            <w:tcBorders>
              <w:top w:val="nil"/>
              <w:left w:val="nil"/>
              <w:bottom w:val="single" w:sz="4" w:space="0" w:color="auto"/>
              <w:right w:val="single" w:sz="4" w:space="0" w:color="auto"/>
            </w:tcBorders>
            <w:shd w:val="clear" w:color="auto" w:fill="auto"/>
            <w:noWrap/>
            <w:vAlign w:val="bottom"/>
            <w:hideMark/>
          </w:tcPr>
          <w:p w:rsidR="0098747F" w:rsidRPr="00163252" w:rsidRDefault="0098747F" w:rsidP="003443D1">
            <w:pPr>
              <w:spacing w:after="0" w:line="240" w:lineRule="auto"/>
              <w:jc w:val="right"/>
              <w:rPr>
                <w:rFonts w:ascii="Arial" w:eastAsia="Times New Roman" w:hAnsi="Arial" w:cs="Arial"/>
                <w:color w:val="000000"/>
                <w:sz w:val="24"/>
                <w:szCs w:val="24"/>
                <w:lang w:eastAsia="en-GB"/>
              </w:rPr>
            </w:pPr>
            <w:r w:rsidRPr="00163252">
              <w:rPr>
                <w:rFonts w:ascii="Arial" w:eastAsia="Times New Roman" w:hAnsi="Arial" w:cs="Arial"/>
                <w:color w:val="000000"/>
                <w:sz w:val="24"/>
                <w:szCs w:val="24"/>
                <w:lang w:eastAsia="en-GB"/>
              </w:rPr>
              <w:t>0.45</w:t>
            </w:r>
          </w:p>
        </w:tc>
      </w:tr>
    </w:tbl>
    <w:p w:rsidR="0098747F" w:rsidRPr="00163252" w:rsidRDefault="0098747F" w:rsidP="0098747F">
      <w:pPr>
        <w:rPr>
          <w:rFonts w:ascii="Arial" w:hAnsi="Arial" w:cs="Arial"/>
          <w:sz w:val="24"/>
          <w:szCs w:val="24"/>
          <w:lang w:val="en"/>
        </w:rPr>
      </w:pPr>
    </w:p>
    <w:p w:rsidR="0098747F" w:rsidRPr="00163252" w:rsidRDefault="0098747F" w:rsidP="0098747F">
      <w:pPr>
        <w:rPr>
          <w:rFonts w:ascii="Arial" w:hAnsi="Arial" w:cs="Arial"/>
          <w:i/>
          <w:sz w:val="24"/>
          <w:szCs w:val="24"/>
          <w:u w:val="single"/>
          <w:lang w:val="en"/>
        </w:rPr>
      </w:pPr>
      <w:proofErr w:type="gramStart"/>
      <w:r w:rsidRPr="00163252">
        <w:rPr>
          <w:rFonts w:ascii="Arial" w:hAnsi="Arial" w:cs="Arial"/>
          <w:i/>
          <w:sz w:val="24"/>
          <w:szCs w:val="24"/>
          <w:u w:val="single"/>
          <w:lang w:val="en"/>
        </w:rPr>
        <w:t>Table 2.</w:t>
      </w:r>
      <w:proofErr w:type="gramEnd"/>
      <w:r w:rsidRPr="00163252">
        <w:rPr>
          <w:rFonts w:ascii="Arial" w:hAnsi="Arial" w:cs="Arial"/>
          <w:i/>
          <w:sz w:val="24"/>
          <w:szCs w:val="24"/>
          <w:u w:val="single"/>
          <w:lang w:val="en"/>
        </w:rPr>
        <w:t xml:space="preserve"> Past success rate as a frequency, for the same set of n tests. This is shown for </w:t>
      </w:r>
      <w:proofErr w:type="gramStart"/>
      <w:r w:rsidRPr="00163252">
        <w:rPr>
          <w:rFonts w:ascii="Arial" w:hAnsi="Arial" w:cs="Arial"/>
          <w:i/>
          <w:sz w:val="24"/>
          <w:szCs w:val="24"/>
          <w:u w:val="single"/>
          <w:lang w:val="en"/>
        </w:rPr>
        <w:t>comparison,</w:t>
      </w:r>
      <w:proofErr w:type="gramEnd"/>
      <w:r w:rsidRPr="00163252">
        <w:rPr>
          <w:rFonts w:ascii="Arial" w:hAnsi="Arial" w:cs="Arial"/>
          <w:i/>
          <w:sz w:val="24"/>
          <w:szCs w:val="24"/>
          <w:u w:val="single"/>
          <w:lang w:val="en"/>
        </w:rPr>
        <w:t xml:space="preserve"> we do not recommend using past frequency as a proxy for future probability</w:t>
      </w:r>
    </w:p>
    <w:p w:rsidR="0098747F" w:rsidRPr="00163252" w:rsidRDefault="0098747F" w:rsidP="0098747F">
      <w:pPr>
        <w:rPr>
          <w:rFonts w:ascii="Arial" w:hAnsi="Arial" w:cs="Arial"/>
          <w:sz w:val="24"/>
          <w:szCs w:val="24"/>
          <w:lang w:val="en"/>
        </w:rPr>
      </w:pPr>
      <w:r w:rsidRPr="00163252">
        <w:rPr>
          <w:rFonts w:ascii="Arial" w:hAnsi="Arial" w:cs="Arial"/>
          <w:noProof/>
          <w:sz w:val="24"/>
          <w:szCs w:val="24"/>
          <w:lang w:eastAsia="en-GB"/>
        </w:rPr>
        <w:lastRenderedPageBreak/>
        <w:drawing>
          <wp:inline distT="0" distB="0" distL="0" distR="0" wp14:anchorId="6F762712" wp14:editId="22C5D3B4">
            <wp:extent cx="4167072" cy="2488223"/>
            <wp:effectExtent l="0" t="0" r="508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169711" cy="2489799"/>
                    </a:xfrm>
                    <a:prstGeom prst="rect">
                      <a:avLst/>
                    </a:prstGeom>
                  </pic:spPr>
                </pic:pic>
              </a:graphicData>
            </a:graphic>
          </wp:inline>
        </w:drawing>
      </w:r>
    </w:p>
    <w:p w:rsidR="0098747F" w:rsidRPr="00163252" w:rsidRDefault="0098747F" w:rsidP="0098747F">
      <w:pPr>
        <w:rPr>
          <w:rFonts w:ascii="Arial" w:hAnsi="Arial" w:cs="Arial"/>
          <w:i/>
          <w:sz w:val="24"/>
          <w:szCs w:val="24"/>
          <w:u w:val="single"/>
          <w:lang w:val="en"/>
        </w:rPr>
      </w:pPr>
      <w:proofErr w:type="gramStart"/>
      <w:r w:rsidRPr="00163252">
        <w:rPr>
          <w:rFonts w:ascii="Arial" w:hAnsi="Arial" w:cs="Arial"/>
          <w:i/>
          <w:sz w:val="24"/>
          <w:szCs w:val="24"/>
          <w:u w:val="single"/>
          <w:lang w:val="en"/>
        </w:rPr>
        <w:t>Table 3.</w:t>
      </w:r>
      <w:proofErr w:type="gramEnd"/>
      <w:r w:rsidRPr="00163252">
        <w:rPr>
          <w:rFonts w:ascii="Arial" w:hAnsi="Arial" w:cs="Arial"/>
          <w:i/>
          <w:sz w:val="24"/>
          <w:szCs w:val="24"/>
          <w:u w:val="single"/>
          <w:lang w:val="en"/>
        </w:rPr>
        <w:t xml:space="preserve"> </w:t>
      </w:r>
      <w:proofErr w:type="gramStart"/>
      <w:r w:rsidRPr="00163252">
        <w:rPr>
          <w:rFonts w:ascii="Arial" w:hAnsi="Arial" w:cs="Arial"/>
          <w:i/>
          <w:sz w:val="24"/>
          <w:szCs w:val="24"/>
          <w:u w:val="single"/>
          <w:lang w:val="en"/>
        </w:rPr>
        <w:t xml:space="preserve">Difference between Pg prediction using </w:t>
      </w:r>
      <w:r w:rsidR="008E5C6B" w:rsidRPr="00163252">
        <w:rPr>
          <w:rFonts w:ascii="Arial" w:hAnsi="Arial" w:cs="Arial"/>
          <w:i/>
          <w:sz w:val="24"/>
          <w:szCs w:val="24"/>
          <w:u w:val="single"/>
          <w:lang w:val="en"/>
        </w:rPr>
        <w:t>the Rule of Succession</w:t>
      </w:r>
      <w:r w:rsidRPr="00163252">
        <w:rPr>
          <w:rFonts w:ascii="Arial" w:hAnsi="Arial" w:cs="Arial"/>
          <w:i/>
          <w:sz w:val="24"/>
          <w:szCs w:val="24"/>
          <w:u w:val="single"/>
          <w:lang w:val="en"/>
        </w:rPr>
        <w:t xml:space="preserve"> (table 1), compared to simple frequency.</w:t>
      </w:r>
      <w:proofErr w:type="gramEnd"/>
      <w:r w:rsidRPr="00163252">
        <w:rPr>
          <w:rFonts w:ascii="Arial" w:hAnsi="Arial" w:cs="Arial"/>
          <w:i/>
          <w:sz w:val="24"/>
          <w:szCs w:val="24"/>
          <w:u w:val="single"/>
          <w:lang w:val="en"/>
        </w:rPr>
        <w:t xml:space="preserve"> Positive numbers denote </w:t>
      </w:r>
      <w:r w:rsidR="008E5C6B" w:rsidRPr="00163252">
        <w:rPr>
          <w:rFonts w:ascii="Arial" w:hAnsi="Arial" w:cs="Arial"/>
          <w:i/>
          <w:sz w:val="24"/>
          <w:szCs w:val="24"/>
          <w:u w:val="single"/>
          <w:lang w:val="en"/>
        </w:rPr>
        <w:t xml:space="preserve">that </w:t>
      </w:r>
      <w:r w:rsidR="0091406A" w:rsidRPr="00163252">
        <w:rPr>
          <w:rFonts w:ascii="Arial" w:hAnsi="Arial" w:cs="Arial"/>
          <w:i/>
          <w:sz w:val="24"/>
          <w:szCs w:val="24"/>
          <w:u w:val="single"/>
          <w:lang w:val="en"/>
        </w:rPr>
        <w:t>the simple</w:t>
      </w:r>
      <w:r w:rsidR="008E5C6B" w:rsidRPr="00163252">
        <w:rPr>
          <w:rFonts w:ascii="Arial" w:hAnsi="Arial" w:cs="Arial"/>
          <w:i/>
          <w:sz w:val="24"/>
          <w:szCs w:val="24"/>
          <w:u w:val="single"/>
          <w:lang w:val="en"/>
        </w:rPr>
        <w:t xml:space="preserve"> </w:t>
      </w:r>
      <w:r w:rsidRPr="00163252">
        <w:rPr>
          <w:rFonts w:ascii="Arial" w:hAnsi="Arial" w:cs="Arial"/>
          <w:i/>
          <w:sz w:val="24"/>
          <w:szCs w:val="24"/>
          <w:u w:val="single"/>
          <w:lang w:val="en"/>
        </w:rPr>
        <w:t xml:space="preserve">frequency </w:t>
      </w:r>
      <w:r w:rsidR="008E5C6B" w:rsidRPr="00163252">
        <w:rPr>
          <w:rFonts w:ascii="Arial" w:hAnsi="Arial" w:cs="Arial"/>
          <w:i/>
          <w:sz w:val="24"/>
          <w:szCs w:val="24"/>
          <w:u w:val="single"/>
          <w:lang w:val="en"/>
        </w:rPr>
        <w:t>is greater than the appropriately</w:t>
      </w:r>
      <w:r w:rsidRPr="00163252">
        <w:rPr>
          <w:rFonts w:ascii="Arial" w:hAnsi="Arial" w:cs="Arial"/>
          <w:i/>
          <w:sz w:val="24"/>
          <w:szCs w:val="24"/>
          <w:u w:val="single"/>
          <w:lang w:val="en"/>
        </w:rPr>
        <w:t xml:space="preserve"> calculated mean Pg.</w:t>
      </w:r>
    </w:p>
    <w:p w:rsidR="00F63754" w:rsidRDefault="00F63754">
      <w:pPr>
        <w:rPr>
          <w:rFonts w:ascii="Arial" w:hAnsi="Arial" w:cs="Arial"/>
          <w:b/>
          <w:sz w:val="24"/>
          <w:szCs w:val="24"/>
        </w:rPr>
      </w:pPr>
    </w:p>
    <w:p w:rsidR="007618A6" w:rsidRPr="004E442E" w:rsidRDefault="007618A6" w:rsidP="007618A6">
      <w:pPr>
        <w:rPr>
          <w:b/>
          <w:sz w:val="24"/>
          <w:szCs w:val="24"/>
        </w:rPr>
      </w:pPr>
      <w:r w:rsidRPr="004E442E">
        <w:rPr>
          <w:b/>
          <w:sz w:val="24"/>
          <w:szCs w:val="24"/>
        </w:rPr>
        <w:t>Authors</w:t>
      </w:r>
    </w:p>
    <w:p w:rsidR="007618A6" w:rsidRPr="004E442E" w:rsidRDefault="007618A6" w:rsidP="007618A6">
      <w:pPr>
        <w:rPr>
          <w:rFonts w:ascii="Cambria" w:hAnsi="Cambria" w:cs="Arial"/>
          <w:i/>
          <w:sz w:val="24"/>
          <w:szCs w:val="24"/>
        </w:rPr>
      </w:pPr>
      <w:r w:rsidRPr="004E442E">
        <w:rPr>
          <w:sz w:val="24"/>
          <w:szCs w:val="24"/>
        </w:rPr>
        <w:t xml:space="preserve">FRANK J. PEEL ~ </w:t>
      </w:r>
      <w:r w:rsidRPr="004E442E">
        <w:rPr>
          <w:rFonts w:ascii="Cambria" w:hAnsi="Cambria" w:cs="Arial"/>
          <w:i/>
          <w:sz w:val="24"/>
          <w:szCs w:val="24"/>
        </w:rPr>
        <w:t xml:space="preserve">National Oceanography Centre, Southampton, United Kingdom </w:t>
      </w:r>
      <w:hyperlink r:id="rId24" w:history="1">
        <w:r w:rsidRPr="004E442E">
          <w:rPr>
            <w:rStyle w:val="Hyperlink"/>
            <w:rFonts w:ascii="Cambria" w:hAnsi="Cambria" w:cs="Arial"/>
            <w:i/>
            <w:color w:val="auto"/>
            <w:sz w:val="24"/>
            <w:szCs w:val="24"/>
          </w:rPr>
          <w:t>Frank.peel@noc.ac.uk</w:t>
        </w:r>
      </w:hyperlink>
      <w:r w:rsidRPr="004E442E">
        <w:rPr>
          <w:rFonts w:ascii="Cambria" w:hAnsi="Cambria" w:cs="Arial"/>
          <w:i/>
          <w:sz w:val="24"/>
          <w:szCs w:val="24"/>
        </w:rPr>
        <w:t xml:space="preserve">  </w:t>
      </w:r>
    </w:p>
    <w:p w:rsidR="007618A6" w:rsidRPr="004E442E" w:rsidRDefault="007618A6" w:rsidP="007618A6">
      <w:pPr>
        <w:rPr>
          <w:sz w:val="24"/>
          <w:szCs w:val="24"/>
        </w:rPr>
      </w:pPr>
      <w:r w:rsidRPr="004E442E">
        <w:rPr>
          <w:sz w:val="24"/>
          <w:szCs w:val="24"/>
        </w:rPr>
        <w:t>Frank Peel received his doctorate from the University of Oxford. He was a structural geologist and senior technical advisor at BP and BHP from 1985 to 2013. He joined the National Oceanography Centre in 2013; research interests include salt tectonics, gravity-driven deformation, fluid flow, and exploration risk. He is a recipient of the Matson Award of AAPG.</w:t>
      </w:r>
    </w:p>
    <w:p w:rsidR="007618A6" w:rsidRPr="004E442E" w:rsidRDefault="007618A6" w:rsidP="007618A6">
      <w:pPr>
        <w:rPr>
          <w:rFonts w:ascii="Cambria" w:hAnsi="Cambria" w:cs="Arial"/>
          <w:i/>
          <w:sz w:val="24"/>
          <w:szCs w:val="24"/>
        </w:rPr>
      </w:pPr>
      <w:r w:rsidRPr="004E442E">
        <w:rPr>
          <w:rFonts w:ascii="Cambria" w:hAnsi="Cambria" w:cs="Arial"/>
          <w:sz w:val="24"/>
          <w:szCs w:val="24"/>
        </w:rPr>
        <w:t xml:space="preserve">JOHN </w:t>
      </w:r>
      <w:proofErr w:type="spellStart"/>
      <w:r w:rsidRPr="004E442E">
        <w:rPr>
          <w:rFonts w:ascii="Cambria" w:hAnsi="Cambria" w:cs="Arial"/>
          <w:sz w:val="24"/>
          <w:szCs w:val="24"/>
        </w:rPr>
        <w:t>R.V</w:t>
      </w:r>
      <w:proofErr w:type="spellEnd"/>
      <w:r w:rsidRPr="004E442E">
        <w:rPr>
          <w:rFonts w:ascii="Cambria" w:hAnsi="Cambria" w:cs="Arial"/>
          <w:sz w:val="24"/>
          <w:szCs w:val="24"/>
        </w:rPr>
        <w:t xml:space="preserve">. BROOKS, </w:t>
      </w:r>
      <w:proofErr w:type="gramStart"/>
      <w:r w:rsidRPr="004E442E">
        <w:rPr>
          <w:rFonts w:ascii="Cambria" w:hAnsi="Cambria" w:cs="Arial"/>
          <w:sz w:val="24"/>
          <w:szCs w:val="24"/>
        </w:rPr>
        <w:t>CBE</w:t>
      </w:r>
      <w:r w:rsidRPr="004E442E">
        <w:rPr>
          <w:rFonts w:ascii="Cambria" w:hAnsi="Cambria" w:cs="Arial"/>
          <w:i/>
          <w:sz w:val="24"/>
          <w:szCs w:val="24"/>
        </w:rPr>
        <w:t xml:space="preserve">  ~</w:t>
      </w:r>
      <w:proofErr w:type="gramEnd"/>
      <w:r w:rsidRPr="004E442E">
        <w:rPr>
          <w:rFonts w:ascii="Cambria" w:hAnsi="Cambria" w:cs="Arial"/>
          <w:i/>
          <w:sz w:val="24"/>
          <w:szCs w:val="24"/>
        </w:rPr>
        <w:t xml:space="preserve"> University of Southampton, United Kingdom </w:t>
      </w:r>
      <w:hyperlink r:id="rId25" w:history="1">
        <w:r w:rsidRPr="004E442E">
          <w:rPr>
            <w:rStyle w:val="Hyperlink"/>
            <w:rFonts w:ascii="Cambria" w:hAnsi="Cambria" w:cs="Arial"/>
            <w:i/>
            <w:color w:val="auto"/>
            <w:sz w:val="24"/>
            <w:szCs w:val="24"/>
          </w:rPr>
          <w:t>jrvbrooks@supanet.com</w:t>
        </w:r>
      </w:hyperlink>
    </w:p>
    <w:p w:rsidR="007618A6" w:rsidRPr="004E442E" w:rsidRDefault="007618A6" w:rsidP="007618A6">
      <w:pPr>
        <w:rPr>
          <w:sz w:val="24"/>
          <w:szCs w:val="24"/>
        </w:rPr>
      </w:pPr>
      <w:r w:rsidRPr="004E442E">
        <w:rPr>
          <w:sz w:val="24"/>
          <w:szCs w:val="24"/>
        </w:rPr>
        <w:t xml:space="preserve">John Brooks received his doctorate from the University of Kingston. As Director of Exploration and Licensing of the UK DoE, he was responsible for regulating UK petroleum licensing rounds. His company, </w:t>
      </w:r>
      <w:proofErr w:type="spellStart"/>
      <w:r w:rsidRPr="004E442E">
        <w:rPr>
          <w:sz w:val="24"/>
          <w:szCs w:val="24"/>
        </w:rPr>
        <w:t>Brookwood</w:t>
      </w:r>
      <w:proofErr w:type="spellEnd"/>
      <w:r w:rsidRPr="004E442E">
        <w:rPr>
          <w:sz w:val="24"/>
          <w:szCs w:val="24"/>
        </w:rPr>
        <w:t xml:space="preserve"> Petroleum, provides advice to international governments establishing petroleum licensing rounds, and as Senior Visiting Research Fellow, he mentors students at Southampton. He is past president, European Region AAPG.</w:t>
      </w:r>
    </w:p>
    <w:p w:rsidR="007618A6" w:rsidRPr="00163252" w:rsidRDefault="007618A6">
      <w:pPr>
        <w:rPr>
          <w:rFonts w:ascii="Arial" w:hAnsi="Arial" w:cs="Arial"/>
          <w:b/>
          <w:sz w:val="24"/>
          <w:szCs w:val="24"/>
        </w:rPr>
      </w:pPr>
    </w:p>
    <w:sectPr w:rsidR="007618A6" w:rsidRPr="001632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F24" w:rsidRDefault="00D30F24" w:rsidP="00D80022">
      <w:pPr>
        <w:spacing w:after="0" w:line="240" w:lineRule="auto"/>
      </w:pPr>
      <w:r>
        <w:separator/>
      </w:r>
    </w:p>
  </w:endnote>
  <w:endnote w:type="continuationSeparator" w:id="0">
    <w:p w:rsidR="00D30F24" w:rsidRDefault="00D30F24" w:rsidP="00D80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F24" w:rsidRDefault="00D30F24" w:rsidP="00D80022">
      <w:pPr>
        <w:spacing w:after="0" w:line="240" w:lineRule="auto"/>
      </w:pPr>
      <w:r>
        <w:separator/>
      </w:r>
    </w:p>
  </w:footnote>
  <w:footnote w:type="continuationSeparator" w:id="0">
    <w:p w:rsidR="00D30F24" w:rsidRDefault="00D30F24" w:rsidP="00D800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BC3"/>
    <w:multiLevelType w:val="hybridMultilevel"/>
    <w:tmpl w:val="E514B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6C5041"/>
    <w:multiLevelType w:val="hybridMultilevel"/>
    <w:tmpl w:val="D3DC1528"/>
    <w:lvl w:ilvl="0" w:tplc="2466C5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CE6631"/>
    <w:multiLevelType w:val="hybridMultilevel"/>
    <w:tmpl w:val="9F54DFA4"/>
    <w:lvl w:ilvl="0" w:tplc="27289D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A9C5116"/>
    <w:multiLevelType w:val="hybridMultilevel"/>
    <w:tmpl w:val="07022E08"/>
    <w:lvl w:ilvl="0" w:tplc="CACA4066">
      <w:start w:val="20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21135B"/>
    <w:multiLevelType w:val="hybridMultilevel"/>
    <w:tmpl w:val="27902420"/>
    <w:lvl w:ilvl="0" w:tplc="F5AAFB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43D"/>
    <w:rsid w:val="00011C81"/>
    <w:rsid w:val="00015EB1"/>
    <w:rsid w:val="00024B40"/>
    <w:rsid w:val="00035AF6"/>
    <w:rsid w:val="00037B6E"/>
    <w:rsid w:val="000448D4"/>
    <w:rsid w:val="00053DDF"/>
    <w:rsid w:val="0008211B"/>
    <w:rsid w:val="000A0D7A"/>
    <w:rsid w:val="000A26B5"/>
    <w:rsid w:val="000A2954"/>
    <w:rsid w:val="000B5DC4"/>
    <w:rsid w:val="000B7E75"/>
    <w:rsid w:val="000D0175"/>
    <w:rsid w:val="000D5446"/>
    <w:rsid w:val="000E7626"/>
    <w:rsid w:val="000F4898"/>
    <w:rsid w:val="000F5F27"/>
    <w:rsid w:val="0010053D"/>
    <w:rsid w:val="0010310F"/>
    <w:rsid w:val="00107AFE"/>
    <w:rsid w:val="00110FC3"/>
    <w:rsid w:val="00111534"/>
    <w:rsid w:val="001132F9"/>
    <w:rsid w:val="0013256D"/>
    <w:rsid w:val="001534F6"/>
    <w:rsid w:val="001568F4"/>
    <w:rsid w:val="00163252"/>
    <w:rsid w:val="001813DB"/>
    <w:rsid w:val="00184226"/>
    <w:rsid w:val="001863D2"/>
    <w:rsid w:val="00192350"/>
    <w:rsid w:val="001A7DC3"/>
    <w:rsid w:val="001B2999"/>
    <w:rsid w:val="001C2BEC"/>
    <w:rsid w:val="001C4D7A"/>
    <w:rsid w:val="001C7070"/>
    <w:rsid w:val="001D3363"/>
    <w:rsid w:val="001D6DDF"/>
    <w:rsid w:val="0020247A"/>
    <w:rsid w:val="00204BB7"/>
    <w:rsid w:val="00216F60"/>
    <w:rsid w:val="0022231A"/>
    <w:rsid w:val="00240411"/>
    <w:rsid w:val="00254C22"/>
    <w:rsid w:val="002571B9"/>
    <w:rsid w:val="00261873"/>
    <w:rsid w:val="00270C60"/>
    <w:rsid w:val="0027453C"/>
    <w:rsid w:val="00282072"/>
    <w:rsid w:val="0028492A"/>
    <w:rsid w:val="002938D5"/>
    <w:rsid w:val="002A5981"/>
    <w:rsid w:val="002A5F13"/>
    <w:rsid w:val="002C3AC7"/>
    <w:rsid w:val="002D39DB"/>
    <w:rsid w:val="002D3D21"/>
    <w:rsid w:val="002F6377"/>
    <w:rsid w:val="003112E9"/>
    <w:rsid w:val="00324CEA"/>
    <w:rsid w:val="0033207F"/>
    <w:rsid w:val="00332778"/>
    <w:rsid w:val="0033486C"/>
    <w:rsid w:val="00343772"/>
    <w:rsid w:val="003443D1"/>
    <w:rsid w:val="003664D8"/>
    <w:rsid w:val="00375B96"/>
    <w:rsid w:val="003776C0"/>
    <w:rsid w:val="00381AAE"/>
    <w:rsid w:val="00387CF6"/>
    <w:rsid w:val="003A770D"/>
    <w:rsid w:val="003C7CE6"/>
    <w:rsid w:val="003E0A03"/>
    <w:rsid w:val="003F25C4"/>
    <w:rsid w:val="0040007B"/>
    <w:rsid w:val="00403761"/>
    <w:rsid w:val="0041259F"/>
    <w:rsid w:val="00417F26"/>
    <w:rsid w:val="00420A77"/>
    <w:rsid w:val="00426FE9"/>
    <w:rsid w:val="004331F2"/>
    <w:rsid w:val="00434019"/>
    <w:rsid w:val="0044190D"/>
    <w:rsid w:val="00450336"/>
    <w:rsid w:val="004572E2"/>
    <w:rsid w:val="00461D0D"/>
    <w:rsid w:val="00466E46"/>
    <w:rsid w:val="004A0DD4"/>
    <w:rsid w:val="004B239B"/>
    <w:rsid w:val="004B25AC"/>
    <w:rsid w:val="004B5087"/>
    <w:rsid w:val="004C181C"/>
    <w:rsid w:val="004E1380"/>
    <w:rsid w:val="004E1A13"/>
    <w:rsid w:val="004F5E77"/>
    <w:rsid w:val="00503108"/>
    <w:rsid w:val="00520FBD"/>
    <w:rsid w:val="00531022"/>
    <w:rsid w:val="005537A5"/>
    <w:rsid w:val="005602C0"/>
    <w:rsid w:val="00564000"/>
    <w:rsid w:val="005668C3"/>
    <w:rsid w:val="005771B1"/>
    <w:rsid w:val="00580004"/>
    <w:rsid w:val="00581503"/>
    <w:rsid w:val="00585785"/>
    <w:rsid w:val="00586790"/>
    <w:rsid w:val="005A2407"/>
    <w:rsid w:val="005A6BE5"/>
    <w:rsid w:val="005A6CD8"/>
    <w:rsid w:val="005B006A"/>
    <w:rsid w:val="005E14DA"/>
    <w:rsid w:val="005E4F00"/>
    <w:rsid w:val="005E7A3D"/>
    <w:rsid w:val="005F028E"/>
    <w:rsid w:val="005F2C84"/>
    <w:rsid w:val="005F38FC"/>
    <w:rsid w:val="00600DBE"/>
    <w:rsid w:val="00602CEC"/>
    <w:rsid w:val="0061480E"/>
    <w:rsid w:val="00624A3C"/>
    <w:rsid w:val="00632D1D"/>
    <w:rsid w:val="00641E06"/>
    <w:rsid w:val="00642B1F"/>
    <w:rsid w:val="00677A7C"/>
    <w:rsid w:val="00677DFB"/>
    <w:rsid w:val="00681457"/>
    <w:rsid w:val="0068384C"/>
    <w:rsid w:val="00691DD3"/>
    <w:rsid w:val="00696EA5"/>
    <w:rsid w:val="006A04AB"/>
    <w:rsid w:val="006A5BA0"/>
    <w:rsid w:val="00703DD7"/>
    <w:rsid w:val="007107F4"/>
    <w:rsid w:val="00714FA5"/>
    <w:rsid w:val="00716AB9"/>
    <w:rsid w:val="0072295A"/>
    <w:rsid w:val="00727FA6"/>
    <w:rsid w:val="007447BF"/>
    <w:rsid w:val="00757157"/>
    <w:rsid w:val="007576E2"/>
    <w:rsid w:val="007618A6"/>
    <w:rsid w:val="00762A20"/>
    <w:rsid w:val="00766CC6"/>
    <w:rsid w:val="00767B16"/>
    <w:rsid w:val="00773974"/>
    <w:rsid w:val="00782777"/>
    <w:rsid w:val="0078600E"/>
    <w:rsid w:val="00793858"/>
    <w:rsid w:val="0079740F"/>
    <w:rsid w:val="007B3310"/>
    <w:rsid w:val="007B4D82"/>
    <w:rsid w:val="007C5377"/>
    <w:rsid w:val="007C7878"/>
    <w:rsid w:val="007D6FE0"/>
    <w:rsid w:val="007E43C0"/>
    <w:rsid w:val="007E554E"/>
    <w:rsid w:val="0080353D"/>
    <w:rsid w:val="008064D7"/>
    <w:rsid w:val="0080683F"/>
    <w:rsid w:val="00806D45"/>
    <w:rsid w:val="008158BE"/>
    <w:rsid w:val="00831491"/>
    <w:rsid w:val="0084033A"/>
    <w:rsid w:val="00845E55"/>
    <w:rsid w:val="008568CB"/>
    <w:rsid w:val="00857BD1"/>
    <w:rsid w:val="00864D8C"/>
    <w:rsid w:val="00872368"/>
    <w:rsid w:val="00890667"/>
    <w:rsid w:val="008D2000"/>
    <w:rsid w:val="008D4D3B"/>
    <w:rsid w:val="008E23CE"/>
    <w:rsid w:val="008E5C6B"/>
    <w:rsid w:val="008F69DC"/>
    <w:rsid w:val="00904627"/>
    <w:rsid w:val="00910C04"/>
    <w:rsid w:val="009111A7"/>
    <w:rsid w:val="0091406A"/>
    <w:rsid w:val="009213CC"/>
    <w:rsid w:val="0092146E"/>
    <w:rsid w:val="00925574"/>
    <w:rsid w:val="00940689"/>
    <w:rsid w:val="00965B16"/>
    <w:rsid w:val="0096641A"/>
    <w:rsid w:val="00975074"/>
    <w:rsid w:val="0097520A"/>
    <w:rsid w:val="00980032"/>
    <w:rsid w:val="00986E44"/>
    <w:rsid w:val="0098747F"/>
    <w:rsid w:val="009A2901"/>
    <w:rsid w:val="009A4B67"/>
    <w:rsid w:val="009A5562"/>
    <w:rsid w:val="009B6C0F"/>
    <w:rsid w:val="009C37BA"/>
    <w:rsid w:val="009D60BA"/>
    <w:rsid w:val="009E543E"/>
    <w:rsid w:val="009F56B9"/>
    <w:rsid w:val="00A013D1"/>
    <w:rsid w:val="00A11408"/>
    <w:rsid w:val="00A26355"/>
    <w:rsid w:val="00A507ED"/>
    <w:rsid w:val="00A60AC4"/>
    <w:rsid w:val="00A6768C"/>
    <w:rsid w:val="00A76D95"/>
    <w:rsid w:val="00AB1667"/>
    <w:rsid w:val="00AC2569"/>
    <w:rsid w:val="00AC2EC4"/>
    <w:rsid w:val="00AD3944"/>
    <w:rsid w:val="00AD61E1"/>
    <w:rsid w:val="00AD74E4"/>
    <w:rsid w:val="00AE372C"/>
    <w:rsid w:val="00B02192"/>
    <w:rsid w:val="00B169A4"/>
    <w:rsid w:val="00B16B71"/>
    <w:rsid w:val="00B271D3"/>
    <w:rsid w:val="00B330BE"/>
    <w:rsid w:val="00B44E78"/>
    <w:rsid w:val="00B47901"/>
    <w:rsid w:val="00B50396"/>
    <w:rsid w:val="00B62FAD"/>
    <w:rsid w:val="00B6692F"/>
    <w:rsid w:val="00B93CB8"/>
    <w:rsid w:val="00BA4B98"/>
    <w:rsid w:val="00BA6BC5"/>
    <w:rsid w:val="00BB0A5C"/>
    <w:rsid w:val="00BB59DA"/>
    <w:rsid w:val="00BB5F5D"/>
    <w:rsid w:val="00BC358B"/>
    <w:rsid w:val="00BE4F02"/>
    <w:rsid w:val="00BF15E7"/>
    <w:rsid w:val="00C05FC3"/>
    <w:rsid w:val="00C21C99"/>
    <w:rsid w:val="00C2674E"/>
    <w:rsid w:val="00C33F55"/>
    <w:rsid w:val="00C44AA1"/>
    <w:rsid w:val="00C470C2"/>
    <w:rsid w:val="00C6240A"/>
    <w:rsid w:val="00C76713"/>
    <w:rsid w:val="00C95241"/>
    <w:rsid w:val="00CA3AFA"/>
    <w:rsid w:val="00CA5F11"/>
    <w:rsid w:val="00CB2312"/>
    <w:rsid w:val="00CC2E34"/>
    <w:rsid w:val="00CE2589"/>
    <w:rsid w:val="00CE292B"/>
    <w:rsid w:val="00CF3FAD"/>
    <w:rsid w:val="00CF6EFC"/>
    <w:rsid w:val="00D04FBB"/>
    <w:rsid w:val="00D21FCB"/>
    <w:rsid w:val="00D30F24"/>
    <w:rsid w:val="00D46961"/>
    <w:rsid w:val="00D6544D"/>
    <w:rsid w:val="00D73993"/>
    <w:rsid w:val="00D80022"/>
    <w:rsid w:val="00D86E0E"/>
    <w:rsid w:val="00D965CC"/>
    <w:rsid w:val="00DA1C18"/>
    <w:rsid w:val="00DB116D"/>
    <w:rsid w:val="00DD798A"/>
    <w:rsid w:val="00DE0C9D"/>
    <w:rsid w:val="00DE3C23"/>
    <w:rsid w:val="00DE5999"/>
    <w:rsid w:val="00DE7C6E"/>
    <w:rsid w:val="00E07A77"/>
    <w:rsid w:val="00E17FAF"/>
    <w:rsid w:val="00E20393"/>
    <w:rsid w:val="00E23284"/>
    <w:rsid w:val="00E412AC"/>
    <w:rsid w:val="00E41D29"/>
    <w:rsid w:val="00E42428"/>
    <w:rsid w:val="00E52425"/>
    <w:rsid w:val="00E62DE0"/>
    <w:rsid w:val="00E6388D"/>
    <w:rsid w:val="00E73201"/>
    <w:rsid w:val="00EA4825"/>
    <w:rsid w:val="00EC1D91"/>
    <w:rsid w:val="00EC5DC5"/>
    <w:rsid w:val="00ED1DC6"/>
    <w:rsid w:val="00ED55E3"/>
    <w:rsid w:val="00ED652F"/>
    <w:rsid w:val="00EE08C6"/>
    <w:rsid w:val="00EE6165"/>
    <w:rsid w:val="00EF096D"/>
    <w:rsid w:val="00EF5931"/>
    <w:rsid w:val="00F00BDF"/>
    <w:rsid w:val="00F17E25"/>
    <w:rsid w:val="00F22785"/>
    <w:rsid w:val="00F255E3"/>
    <w:rsid w:val="00F259CE"/>
    <w:rsid w:val="00F3118A"/>
    <w:rsid w:val="00F331D8"/>
    <w:rsid w:val="00F33322"/>
    <w:rsid w:val="00F4334A"/>
    <w:rsid w:val="00F43A48"/>
    <w:rsid w:val="00F60D98"/>
    <w:rsid w:val="00F63754"/>
    <w:rsid w:val="00F65ACB"/>
    <w:rsid w:val="00F661D1"/>
    <w:rsid w:val="00F97280"/>
    <w:rsid w:val="00FA0DF0"/>
    <w:rsid w:val="00FA5876"/>
    <w:rsid w:val="00FD70A0"/>
    <w:rsid w:val="00FE21A8"/>
    <w:rsid w:val="00FE23E2"/>
    <w:rsid w:val="00FE7407"/>
    <w:rsid w:val="00FF443D"/>
    <w:rsid w:val="00FF4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F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800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0022"/>
    <w:rPr>
      <w:sz w:val="20"/>
      <w:szCs w:val="20"/>
    </w:rPr>
  </w:style>
  <w:style w:type="character" w:styleId="FootnoteReference">
    <w:name w:val="footnote reference"/>
    <w:basedOn w:val="DefaultParagraphFont"/>
    <w:uiPriority w:val="99"/>
    <w:semiHidden/>
    <w:unhideWhenUsed/>
    <w:rsid w:val="00D80022"/>
    <w:rPr>
      <w:vertAlign w:val="superscript"/>
    </w:rPr>
  </w:style>
  <w:style w:type="paragraph" w:styleId="ListParagraph">
    <w:name w:val="List Paragraph"/>
    <w:basedOn w:val="Normal"/>
    <w:uiPriority w:val="34"/>
    <w:qFormat/>
    <w:rsid w:val="003664D8"/>
    <w:pPr>
      <w:ind w:left="720"/>
      <w:contextualSpacing/>
    </w:pPr>
  </w:style>
  <w:style w:type="character" w:styleId="Hyperlink">
    <w:name w:val="Hyperlink"/>
    <w:basedOn w:val="DefaultParagraphFont"/>
    <w:uiPriority w:val="99"/>
    <w:unhideWhenUsed/>
    <w:rsid w:val="00B16B71"/>
    <w:rPr>
      <w:color w:val="0000FF" w:themeColor="hyperlink"/>
      <w:u w:val="single"/>
    </w:rPr>
  </w:style>
  <w:style w:type="character" w:customStyle="1" w:styleId="citation">
    <w:name w:val="citation"/>
    <w:basedOn w:val="DefaultParagraphFont"/>
    <w:rsid w:val="00D04F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F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800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0022"/>
    <w:rPr>
      <w:sz w:val="20"/>
      <w:szCs w:val="20"/>
    </w:rPr>
  </w:style>
  <w:style w:type="character" w:styleId="FootnoteReference">
    <w:name w:val="footnote reference"/>
    <w:basedOn w:val="DefaultParagraphFont"/>
    <w:uiPriority w:val="99"/>
    <w:semiHidden/>
    <w:unhideWhenUsed/>
    <w:rsid w:val="00D80022"/>
    <w:rPr>
      <w:vertAlign w:val="superscript"/>
    </w:rPr>
  </w:style>
  <w:style w:type="paragraph" w:styleId="ListParagraph">
    <w:name w:val="List Paragraph"/>
    <w:basedOn w:val="Normal"/>
    <w:uiPriority w:val="34"/>
    <w:qFormat/>
    <w:rsid w:val="003664D8"/>
    <w:pPr>
      <w:ind w:left="720"/>
      <w:contextualSpacing/>
    </w:pPr>
  </w:style>
  <w:style w:type="character" w:styleId="Hyperlink">
    <w:name w:val="Hyperlink"/>
    <w:basedOn w:val="DefaultParagraphFont"/>
    <w:uiPriority w:val="99"/>
    <w:unhideWhenUsed/>
    <w:rsid w:val="00B16B71"/>
    <w:rPr>
      <w:color w:val="0000FF" w:themeColor="hyperlink"/>
      <w:u w:val="single"/>
    </w:rPr>
  </w:style>
  <w:style w:type="character" w:customStyle="1" w:styleId="citation">
    <w:name w:val="citation"/>
    <w:basedOn w:val="DefaultParagraphFont"/>
    <w:rsid w:val="00D04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758">
      <w:bodyDiv w:val="1"/>
      <w:marLeft w:val="0"/>
      <w:marRight w:val="0"/>
      <w:marTop w:val="0"/>
      <w:marBottom w:val="0"/>
      <w:divBdr>
        <w:top w:val="none" w:sz="0" w:space="0" w:color="auto"/>
        <w:left w:val="none" w:sz="0" w:space="0" w:color="auto"/>
        <w:bottom w:val="none" w:sz="0" w:space="0" w:color="auto"/>
        <w:right w:val="none" w:sz="0" w:space="0" w:color="auto"/>
      </w:divBdr>
    </w:div>
    <w:div w:id="610823237">
      <w:bodyDiv w:val="1"/>
      <w:marLeft w:val="0"/>
      <w:marRight w:val="0"/>
      <w:marTop w:val="0"/>
      <w:marBottom w:val="0"/>
      <w:divBdr>
        <w:top w:val="none" w:sz="0" w:space="0" w:color="auto"/>
        <w:left w:val="none" w:sz="0" w:space="0" w:color="auto"/>
        <w:bottom w:val="none" w:sz="0" w:space="0" w:color="auto"/>
        <w:right w:val="none" w:sz="0" w:space="0" w:color="auto"/>
      </w:divBdr>
      <w:divsChild>
        <w:div w:id="1017275677">
          <w:marLeft w:val="0"/>
          <w:marRight w:val="0"/>
          <w:marTop w:val="0"/>
          <w:marBottom w:val="0"/>
          <w:divBdr>
            <w:top w:val="none" w:sz="0" w:space="0" w:color="auto"/>
            <w:left w:val="none" w:sz="0" w:space="0" w:color="auto"/>
            <w:bottom w:val="none" w:sz="0" w:space="0" w:color="auto"/>
            <w:right w:val="none" w:sz="0" w:space="0" w:color="auto"/>
          </w:divBdr>
          <w:divsChild>
            <w:div w:id="941107061">
              <w:marLeft w:val="0"/>
              <w:marRight w:val="0"/>
              <w:marTop w:val="0"/>
              <w:marBottom w:val="0"/>
              <w:divBdr>
                <w:top w:val="none" w:sz="0" w:space="0" w:color="auto"/>
                <w:left w:val="none" w:sz="0" w:space="0" w:color="auto"/>
                <w:bottom w:val="none" w:sz="0" w:space="0" w:color="auto"/>
                <w:right w:val="none" w:sz="0" w:space="0" w:color="auto"/>
              </w:divBdr>
              <w:divsChild>
                <w:div w:id="322003533">
                  <w:marLeft w:val="0"/>
                  <w:marRight w:val="0"/>
                  <w:marTop w:val="0"/>
                  <w:marBottom w:val="0"/>
                  <w:divBdr>
                    <w:top w:val="none" w:sz="0" w:space="0" w:color="auto"/>
                    <w:left w:val="none" w:sz="0" w:space="0" w:color="auto"/>
                    <w:bottom w:val="none" w:sz="0" w:space="0" w:color="auto"/>
                    <w:right w:val="none" w:sz="0" w:space="0" w:color="auto"/>
                  </w:divBdr>
                  <w:divsChild>
                    <w:div w:id="1125928245">
                      <w:marLeft w:val="0"/>
                      <w:marRight w:val="0"/>
                      <w:marTop w:val="0"/>
                      <w:marBottom w:val="0"/>
                      <w:divBdr>
                        <w:top w:val="none" w:sz="0" w:space="0" w:color="auto"/>
                        <w:left w:val="none" w:sz="0" w:space="0" w:color="auto"/>
                        <w:bottom w:val="none" w:sz="0" w:space="0" w:color="auto"/>
                        <w:right w:val="none" w:sz="0" w:space="0" w:color="auto"/>
                      </w:divBdr>
                      <w:divsChild>
                        <w:div w:id="574170106">
                          <w:marLeft w:val="0"/>
                          <w:marRight w:val="0"/>
                          <w:marTop w:val="60"/>
                          <w:marBottom w:val="0"/>
                          <w:divBdr>
                            <w:top w:val="none" w:sz="0" w:space="0" w:color="auto"/>
                            <w:left w:val="none" w:sz="0" w:space="0" w:color="auto"/>
                            <w:bottom w:val="none" w:sz="0" w:space="0" w:color="auto"/>
                            <w:right w:val="none" w:sz="0" w:space="0" w:color="auto"/>
                          </w:divBdr>
                          <w:divsChild>
                            <w:div w:id="8030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721124">
      <w:bodyDiv w:val="1"/>
      <w:marLeft w:val="0"/>
      <w:marRight w:val="0"/>
      <w:marTop w:val="0"/>
      <w:marBottom w:val="0"/>
      <w:divBdr>
        <w:top w:val="none" w:sz="0" w:space="0" w:color="auto"/>
        <w:left w:val="none" w:sz="0" w:space="0" w:color="auto"/>
        <w:bottom w:val="none" w:sz="0" w:space="0" w:color="auto"/>
        <w:right w:val="none" w:sz="0" w:space="0" w:color="auto"/>
      </w:divBdr>
    </w:div>
    <w:div w:id="911503961">
      <w:bodyDiv w:val="1"/>
      <w:marLeft w:val="0"/>
      <w:marRight w:val="0"/>
      <w:marTop w:val="0"/>
      <w:marBottom w:val="0"/>
      <w:divBdr>
        <w:top w:val="none" w:sz="0" w:space="0" w:color="auto"/>
        <w:left w:val="none" w:sz="0" w:space="0" w:color="auto"/>
        <w:bottom w:val="none" w:sz="0" w:space="0" w:color="auto"/>
        <w:right w:val="none" w:sz="0" w:space="0" w:color="auto"/>
      </w:divBdr>
    </w:div>
    <w:div w:id="1079519596">
      <w:bodyDiv w:val="1"/>
      <w:marLeft w:val="0"/>
      <w:marRight w:val="0"/>
      <w:marTop w:val="0"/>
      <w:marBottom w:val="0"/>
      <w:divBdr>
        <w:top w:val="none" w:sz="0" w:space="0" w:color="auto"/>
        <w:left w:val="none" w:sz="0" w:space="0" w:color="auto"/>
        <w:bottom w:val="none" w:sz="0" w:space="0" w:color="auto"/>
        <w:right w:val="none" w:sz="0" w:space="0" w:color="auto"/>
      </w:divBdr>
    </w:div>
    <w:div w:id="199946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x.doi.org/10.1098%2Frstl.1763.0053"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mailto:jrvbrooks@supanet.com"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en.wikipedia.org/wiki/Digital_object_identifi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mailto:Frank.peel@noc.ac.uk"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1.png"/><Relationship Id="rId10" Type="http://schemas.openxmlformats.org/officeDocument/2006/relationships/hyperlink" Target="http://www.glassdoor.co.uk/Interview" TargetMode="External"/><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sec.gov/investor/pubs/inwsmf.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E6C78-8111-4F87-B251-C9BCC4815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7584</Words>
  <Characters>37922</Characters>
  <Application>Microsoft Office Word</Application>
  <DocSecurity>0</DocSecurity>
  <Lines>1083</Lines>
  <Paragraphs>459</Paragraphs>
  <ScaleCrop>false</ScaleCrop>
  <HeadingPairs>
    <vt:vector size="2" baseType="variant">
      <vt:variant>
        <vt:lpstr>Title</vt:lpstr>
      </vt:variant>
      <vt:variant>
        <vt:i4>1</vt:i4>
      </vt:variant>
    </vt:vector>
  </HeadingPairs>
  <TitlesOfParts>
    <vt:vector size="1" baseType="lpstr">
      <vt:lpstr/>
    </vt:vector>
  </TitlesOfParts>
  <Company>National Oceanography Centre</Company>
  <LinksUpToDate>false</LinksUpToDate>
  <CharactersWithSpaces>45047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c:creator>
  <cp:lastModifiedBy>help</cp:lastModifiedBy>
  <cp:revision>7</cp:revision>
  <cp:lastPrinted>2015-03-30T15:19:00Z</cp:lastPrinted>
  <dcterms:created xsi:type="dcterms:W3CDTF">2015-07-06T08:50:00Z</dcterms:created>
  <dcterms:modified xsi:type="dcterms:W3CDTF">2015-07-06T08:56:00Z</dcterms:modified>
</cp:coreProperties>
</file>