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98" w:rsidRDefault="00AF2698" w:rsidP="00426C5D">
      <w:pPr>
        <w:spacing w:after="0" w:line="480" w:lineRule="auto"/>
        <w:jc w:val="both"/>
        <w:rPr>
          <w:rFonts w:ascii="Times New Roman" w:hAnsi="Times New Roman"/>
          <w:b/>
          <w:sz w:val="24"/>
          <w:szCs w:val="24"/>
        </w:rPr>
      </w:pPr>
      <w:bookmarkStart w:id="0" w:name="_GoBack"/>
      <w:bookmarkEnd w:id="0"/>
      <w:r>
        <w:rPr>
          <w:rFonts w:ascii="Times New Roman" w:hAnsi="Times New Roman"/>
          <w:b/>
          <w:sz w:val="28"/>
          <w:szCs w:val="28"/>
        </w:rPr>
        <w:t xml:space="preserve">Phytoplankton communities </w:t>
      </w:r>
      <w:r w:rsidRPr="002E0ADB">
        <w:rPr>
          <w:rFonts w:ascii="Times New Roman" w:hAnsi="Times New Roman"/>
          <w:b/>
          <w:sz w:val="28"/>
          <w:szCs w:val="28"/>
        </w:rPr>
        <w:t>in a turbid, acidified tropical estuary (Brunei, Borneo</w:t>
      </w:r>
      <w:r w:rsidR="00983FED">
        <w:rPr>
          <w:rFonts w:ascii="Times New Roman" w:hAnsi="Times New Roman"/>
          <w:b/>
          <w:sz w:val="28"/>
          <w:szCs w:val="28"/>
        </w:rPr>
        <w:t>, South E</w:t>
      </w:r>
      <w:r>
        <w:rPr>
          <w:rFonts w:ascii="Times New Roman" w:hAnsi="Times New Roman"/>
          <w:b/>
          <w:sz w:val="28"/>
          <w:szCs w:val="28"/>
        </w:rPr>
        <w:t>ast Asia</w:t>
      </w:r>
      <w:r w:rsidRPr="002E0ADB">
        <w:rPr>
          <w:rFonts w:ascii="Times New Roman" w:hAnsi="Times New Roman"/>
          <w:b/>
          <w:sz w:val="28"/>
          <w:szCs w:val="28"/>
        </w:rPr>
        <w:t>)</w:t>
      </w:r>
    </w:p>
    <w:p w:rsidR="008E74E5" w:rsidRDefault="008E74E5" w:rsidP="008E74E5">
      <w:pPr>
        <w:spacing w:after="0" w:line="480" w:lineRule="auto"/>
        <w:jc w:val="both"/>
        <w:rPr>
          <w:rFonts w:ascii="Times New Roman" w:hAnsi="Times New Roman"/>
          <w:sz w:val="24"/>
          <w:szCs w:val="24"/>
        </w:rPr>
      </w:pPr>
    </w:p>
    <w:p w:rsidR="008E74E5" w:rsidRPr="008E74E5" w:rsidRDefault="008E74E5" w:rsidP="008E74E5">
      <w:pPr>
        <w:spacing w:after="0" w:line="480" w:lineRule="auto"/>
        <w:jc w:val="both"/>
        <w:rPr>
          <w:rFonts w:ascii="Times New Roman" w:hAnsi="Times New Roman"/>
          <w:sz w:val="24"/>
          <w:szCs w:val="24"/>
          <w:lang w:val="en-US"/>
        </w:rPr>
      </w:pPr>
      <w:r w:rsidRPr="008E74E5">
        <w:rPr>
          <w:rFonts w:ascii="Times New Roman" w:hAnsi="Times New Roman"/>
          <w:sz w:val="24"/>
          <w:szCs w:val="24"/>
        </w:rPr>
        <w:t>Roksana Majewska</w:t>
      </w:r>
      <w:r w:rsidRPr="008E74E5">
        <w:rPr>
          <w:rFonts w:ascii="Times New Roman" w:hAnsi="Times New Roman"/>
          <w:sz w:val="24"/>
          <w:szCs w:val="24"/>
          <w:vertAlign w:val="superscript"/>
        </w:rPr>
        <w:t>1*</w:t>
      </w:r>
      <w:r>
        <w:rPr>
          <w:rFonts w:ascii="Times New Roman" w:hAnsi="Times New Roman"/>
          <w:sz w:val="24"/>
          <w:szCs w:val="24"/>
        </w:rPr>
        <w:t>,</w:t>
      </w:r>
      <w:r w:rsidRPr="008E74E5">
        <w:rPr>
          <w:rFonts w:ascii="Times New Roman" w:hAnsi="Times New Roman"/>
          <w:sz w:val="24"/>
          <w:szCs w:val="24"/>
        </w:rPr>
        <w:t xml:space="preserve"> Aimimuliani</w:t>
      </w:r>
      <w:r>
        <w:rPr>
          <w:rFonts w:ascii="Times New Roman" w:hAnsi="Times New Roman"/>
          <w:sz w:val="24"/>
          <w:szCs w:val="24"/>
        </w:rPr>
        <w:t xml:space="preserve"> </w:t>
      </w:r>
      <w:r w:rsidRPr="008E74E5">
        <w:rPr>
          <w:rFonts w:ascii="Times New Roman" w:hAnsi="Times New Roman"/>
          <w:sz w:val="24"/>
          <w:szCs w:val="24"/>
        </w:rPr>
        <w:t>Adam</w:t>
      </w:r>
      <w:r>
        <w:rPr>
          <w:rFonts w:ascii="Times New Roman" w:hAnsi="Times New Roman"/>
          <w:sz w:val="24"/>
          <w:szCs w:val="24"/>
          <w:vertAlign w:val="superscript"/>
        </w:rPr>
        <w:t>2</w:t>
      </w:r>
      <w:r w:rsidRPr="008E74E5">
        <w:rPr>
          <w:rFonts w:ascii="Times New Roman" w:hAnsi="Times New Roman"/>
          <w:sz w:val="24"/>
          <w:szCs w:val="24"/>
          <w:vertAlign w:val="superscript"/>
        </w:rPr>
        <w:t>,</w:t>
      </w:r>
      <w:r>
        <w:rPr>
          <w:rFonts w:ascii="Times New Roman" w:hAnsi="Times New Roman"/>
          <w:sz w:val="24"/>
          <w:szCs w:val="24"/>
          <w:vertAlign w:val="superscript"/>
        </w:rPr>
        <w:t>3</w:t>
      </w:r>
      <w:r w:rsidRPr="008E74E5">
        <w:rPr>
          <w:rFonts w:ascii="Times New Roman" w:hAnsi="Times New Roman"/>
          <w:sz w:val="24"/>
          <w:szCs w:val="24"/>
        </w:rPr>
        <w:t>, Normawaty Mohammad-Noor</w:t>
      </w:r>
      <w:r>
        <w:rPr>
          <w:rFonts w:ascii="Times New Roman" w:hAnsi="Times New Roman"/>
          <w:sz w:val="24"/>
          <w:szCs w:val="24"/>
          <w:vertAlign w:val="superscript"/>
        </w:rPr>
        <w:t>3</w:t>
      </w:r>
      <w:r>
        <w:rPr>
          <w:rFonts w:ascii="Times New Roman" w:hAnsi="Times New Roman"/>
          <w:sz w:val="24"/>
          <w:szCs w:val="24"/>
        </w:rPr>
        <w:t>, Peter Convey</w:t>
      </w:r>
      <w:r w:rsidRPr="008E74E5">
        <w:rPr>
          <w:rFonts w:ascii="Times New Roman" w:hAnsi="Times New Roman"/>
          <w:sz w:val="24"/>
          <w:szCs w:val="24"/>
          <w:vertAlign w:val="superscript"/>
        </w:rPr>
        <w:t>4</w:t>
      </w:r>
      <w:r>
        <w:rPr>
          <w:rFonts w:ascii="Times New Roman" w:hAnsi="Times New Roman"/>
          <w:sz w:val="24"/>
          <w:szCs w:val="24"/>
        </w:rPr>
        <w:t xml:space="preserve">, </w:t>
      </w:r>
      <w:r w:rsidRPr="008E74E5">
        <w:rPr>
          <w:rFonts w:ascii="Times New Roman" w:hAnsi="Times New Roman"/>
          <w:sz w:val="24"/>
          <w:szCs w:val="24"/>
          <w:lang w:val="en-US"/>
        </w:rPr>
        <w:t>Mario De Stefano</w:t>
      </w:r>
      <w:r>
        <w:rPr>
          <w:rFonts w:ascii="Times New Roman" w:hAnsi="Times New Roman"/>
          <w:sz w:val="24"/>
          <w:szCs w:val="24"/>
          <w:vertAlign w:val="superscript"/>
          <w:lang w:val="en-US"/>
        </w:rPr>
        <w:t>1</w:t>
      </w:r>
      <w:r>
        <w:rPr>
          <w:rFonts w:ascii="Times New Roman" w:hAnsi="Times New Roman"/>
          <w:sz w:val="24"/>
          <w:szCs w:val="24"/>
        </w:rPr>
        <w:t>, D</w:t>
      </w:r>
      <w:r w:rsidRPr="008E74E5">
        <w:rPr>
          <w:rFonts w:ascii="Times New Roman" w:hAnsi="Times New Roman"/>
          <w:sz w:val="24"/>
          <w:szCs w:val="24"/>
        </w:rPr>
        <w:t>avid J. Marshall</w:t>
      </w:r>
      <w:r>
        <w:rPr>
          <w:rFonts w:ascii="Times New Roman" w:hAnsi="Times New Roman"/>
          <w:sz w:val="24"/>
          <w:szCs w:val="24"/>
          <w:vertAlign w:val="superscript"/>
        </w:rPr>
        <w:t>2</w:t>
      </w:r>
      <w:r w:rsidRPr="008E74E5">
        <w:rPr>
          <w:rFonts w:ascii="Times New Roman" w:hAnsi="Times New Roman"/>
          <w:sz w:val="24"/>
          <w:szCs w:val="24"/>
        </w:rPr>
        <w:t xml:space="preserve"> </w:t>
      </w:r>
    </w:p>
    <w:p w:rsidR="008E74E5" w:rsidRPr="008E74E5" w:rsidRDefault="008E74E5" w:rsidP="008E74E5">
      <w:pPr>
        <w:spacing w:after="0" w:line="480" w:lineRule="auto"/>
        <w:jc w:val="both"/>
        <w:rPr>
          <w:rFonts w:ascii="Times New Roman" w:hAnsi="Times New Roman"/>
          <w:sz w:val="24"/>
          <w:szCs w:val="24"/>
        </w:rPr>
      </w:pPr>
    </w:p>
    <w:p w:rsidR="008E74E5" w:rsidRPr="008E74E5" w:rsidRDefault="008E74E5" w:rsidP="008E74E5">
      <w:pPr>
        <w:spacing w:after="0" w:line="480" w:lineRule="auto"/>
        <w:jc w:val="both"/>
        <w:rPr>
          <w:rFonts w:ascii="Times New Roman" w:hAnsi="Times New Roman"/>
          <w:sz w:val="24"/>
          <w:szCs w:val="24"/>
          <w:lang w:val="en-US"/>
        </w:rPr>
      </w:pPr>
      <w:r>
        <w:rPr>
          <w:rFonts w:ascii="Times New Roman" w:hAnsi="Times New Roman"/>
          <w:sz w:val="24"/>
          <w:szCs w:val="24"/>
          <w:vertAlign w:val="superscript"/>
        </w:rPr>
        <w:t>1</w:t>
      </w:r>
      <w:r w:rsidRPr="008E74E5">
        <w:rPr>
          <w:rFonts w:ascii="Times New Roman" w:hAnsi="Times New Roman"/>
          <w:sz w:val="24"/>
          <w:szCs w:val="24"/>
          <w:lang w:val="en-US"/>
        </w:rPr>
        <w:t>Department of Environmental, Biological and Pharmaceutical Science</w:t>
      </w:r>
      <w:r>
        <w:rPr>
          <w:rFonts w:ascii="Times New Roman" w:hAnsi="Times New Roman"/>
          <w:sz w:val="24"/>
          <w:szCs w:val="24"/>
          <w:lang w:val="en-US"/>
        </w:rPr>
        <w:t>s and Technologies</w:t>
      </w:r>
      <w:r w:rsidRPr="008E74E5">
        <w:rPr>
          <w:rFonts w:ascii="Times New Roman" w:hAnsi="Times New Roman"/>
          <w:sz w:val="24"/>
          <w:szCs w:val="24"/>
          <w:lang w:val="en-US"/>
        </w:rPr>
        <w:t xml:space="preserve">, </w:t>
      </w:r>
      <w:r>
        <w:rPr>
          <w:rFonts w:ascii="Times New Roman" w:hAnsi="Times New Roman"/>
          <w:sz w:val="24"/>
          <w:szCs w:val="24"/>
          <w:lang w:val="en-US"/>
        </w:rPr>
        <w:t>II University of Naples, Caserta, Italy</w:t>
      </w:r>
    </w:p>
    <w:p w:rsidR="008E74E5" w:rsidRPr="008E74E5" w:rsidRDefault="008E74E5" w:rsidP="008E74E5">
      <w:pPr>
        <w:spacing w:after="0" w:line="480" w:lineRule="auto"/>
        <w:jc w:val="both"/>
        <w:rPr>
          <w:rFonts w:ascii="Times New Roman" w:hAnsi="Times New Roman"/>
          <w:sz w:val="24"/>
          <w:szCs w:val="24"/>
        </w:rPr>
      </w:pPr>
      <w:r>
        <w:rPr>
          <w:rFonts w:ascii="Times New Roman" w:hAnsi="Times New Roman"/>
          <w:sz w:val="24"/>
          <w:szCs w:val="24"/>
          <w:vertAlign w:val="superscript"/>
        </w:rPr>
        <w:t>2</w:t>
      </w:r>
      <w:r w:rsidRPr="008E74E5">
        <w:rPr>
          <w:rFonts w:ascii="Times New Roman" w:hAnsi="Times New Roman"/>
          <w:sz w:val="24"/>
          <w:szCs w:val="24"/>
        </w:rPr>
        <w:t>Biology Department, Faculty of Science, Universiti Brunei Darussalam, Jalan</w:t>
      </w:r>
      <w:r>
        <w:rPr>
          <w:rFonts w:ascii="Times New Roman" w:hAnsi="Times New Roman"/>
          <w:sz w:val="24"/>
          <w:szCs w:val="24"/>
        </w:rPr>
        <w:t xml:space="preserve"> </w:t>
      </w:r>
      <w:r w:rsidRPr="008E74E5">
        <w:rPr>
          <w:rFonts w:ascii="Times New Roman" w:hAnsi="Times New Roman"/>
          <w:sz w:val="24"/>
          <w:szCs w:val="24"/>
        </w:rPr>
        <w:t>Tungku Link,</w:t>
      </w:r>
    </w:p>
    <w:p w:rsidR="008E74E5" w:rsidRPr="008E74E5" w:rsidRDefault="008E74E5" w:rsidP="008E74E5">
      <w:pPr>
        <w:spacing w:after="0" w:line="480" w:lineRule="auto"/>
        <w:jc w:val="both"/>
        <w:rPr>
          <w:rFonts w:ascii="Times New Roman" w:hAnsi="Times New Roman"/>
          <w:sz w:val="24"/>
          <w:szCs w:val="24"/>
        </w:rPr>
      </w:pPr>
      <w:r w:rsidRPr="008E74E5">
        <w:rPr>
          <w:rFonts w:ascii="Times New Roman" w:hAnsi="Times New Roman"/>
          <w:sz w:val="24"/>
          <w:szCs w:val="24"/>
        </w:rPr>
        <w:t>BE1410 Gadong, Brunei Darussalam</w:t>
      </w:r>
    </w:p>
    <w:p w:rsidR="00297A14" w:rsidRDefault="008E74E5" w:rsidP="00297A14">
      <w:pPr>
        <w:spacing w:after="0" w:line="480" w:lineRule="auto"/>
        <w:rPr>
          <w:rFonts w:ascii="Times New Roman" w:hAnsi="Times New Roman"/>
          <w:sz w:val="24"/>
          <w:szCs w:val="24"/>
        </w:rPr>
      </w:pPr>
      <w:r>
        <w:rPr>
          <w:rFonts w:ascii="Times New Roman" w:hAnsi="Times New Roman"/>
          <w:sz w:val="24"/>
          <w:szCs w:val="24"/>
          <w:vertAlign w:val="superscript"/>
        </w:rPr>
        <w:t>3</w:t>
      </w:r>
      <w:r w:rsidRPr="008E74E5">
        <w:rPr>
          <w:rFonts w:ascii="Times New Roman" w:hAnsi="Times New Roman"/>
          <w:sz w:val="24"/>
          <w:szCs w:val="24"/>
        </w:rPr>
        <w:t>Institute of Oceanography and Maritime Studies, Kulliy</w:t>
      </w:r>
      <w:r w:rsidR="00297A14">
        <w:rPr>
          <w:rFonts w:ascii="Times New Roman" w:hAnsi="Times New Roman"/>
          <w:sz w:val="24"/>
          <w:szCs w:val="24"/>
        </w:rPr>
        <w:t>y</w:t>
      </w:r>
      <w:r w:rsidRPr="008E74E5">
        <w:rPr>
          <w:rFonts w:ascii="Times New Roman" w:hAnsi="Times New Roman"/>
          <w:sz w:val="24"/>
          <w:szCs w:val="24"/>
        </w:rPr>
        <w:t xml:space="preserve">ah Of Science, </w:t>
      </w:r>
      <w:r w:rsidR="00297A14" w:rsidRPr="00297A14">
        <w:rPr>
          <w:rFonts w:ascii="Times New Roman" w:hAnsi="Times New Roman"/>
          <w:sz w:val="24"/>
          <w:szCs w:val="24"/>
        </w:rPr>
        <w:t>Internation</w:t>
      </w:r>
      <w:r w:rsidR="00297A14">
        <w:rPr>
          <w:rFonts w:ascii="Times New Roman" w:hAnsi="Times New Roman"/>
          <w:sz w:val="24"/>
          <w:szCs w:val="24"/>
        </w:rPr>
        <w:t xml:space="preserve">al Islamic University Malaysia, </w:t>
      </w:r>
      <w:r w:rsidR="00297A14" w:rsidRPr="00297A14">
        <w:rPr>
          <w:rFonts w:ascii="Times New Roman" w:hAnsi="Times New Roman"/>
          <w:sz w:val="24"/>
          <w:szCs w:val="24"/>
        </w:rPr>
        <w:t>Jalan</w:t>
      </w:r>
      <w:r w:rsidR="00297A14">
        <w:rPr>
          <w:rFonts w:ascii="Times New Roman" w:hAnsi="Times New Roman"/>
          <w:sz w:val="24"/>
          <w:szCs w:val="24"/>
        </w:rPr>
        <w:t xml:space="preserve"> Istana, Bandar Indera Mahkota, 25200 Kuantan, Pahang, Malaysia</w:t>
      </w:r>
    </w:p>
    <w:p w:rsidR="008E74E5" w:rsidRPr="008E74E5" w:rsidRDefault="008E74E5" w:rsidP="00297A14">
      <w:pPr>
        <w:spacing w:after="0" w:line="480" w:lineRule="auto"/>
        <w:rPr>
          <w:rFonts w:ascii="Times New Roman" w:hAnsi="Times New Roman"/>
          <w:sz w:val="24"/>
          <w:szCs w:val="24"/>
        </w:rPr>
      </w:pPr>
      <w:r w:rsidRPr="008E74E5">
        <w:rPr>
          <w:rFonts w:ascii="Times New Roman" w:hAnsi="Times New Roman"/>
          <w:sz w:val="24"/>
          <w:szCs w:val="24"/>
          <w:vertAlign w:val="superscript"/>
        </w:rPr>
        <w:t>4</w:t>
      </w:r>
      <w:r w:rsidRPr="008E74E5">
        <w:rPr>
          <w:rFonts w:ascii="Times New Roman" w:hAnsi="Times New Roman"/>
          <w:sz w:val="24"/>
          <w:szCs w:val="24"/>
        </w:rPr>
        <w:t>British Antarctic Survey, Natural Environment Research Council, High Cross, Madingley Road,</w:t>
      </w:r>
    </w:p>
    <w:p w:rsidR="008E74E5" w:rsidRDefault="008E74E5" w:rsidP="008E74E5">
      <w:pPr>
        <w:spacing w:after="0" w:line="480" w:lineRule="auto"/>
        <w:jc w:val="both"/>
        <w:rPr>
          <w:rFonts w:ascii="Times New Roman" w:hAnsi="Times New Roman"/>
          <w:sz w:val="24"/>
          <w:szCs w:val="24"/>
        </w:rPr>
      </w:pPr>
      <w:r w:rsidRPr="008E74E5">
        <w:rPr>
          <w:rFonts w:ascii="Times New Roman" w:hAnsi="Times New Roman"/>
          <w:sz w:val="24"/>
          <w:szCs w:val="24"/>
        </w:rPr>
        <w:t>Cambridge CB30ET United Kingdom</w:t>
      </w:r>
    </w:p>
    <w:p w:rsidR="008E74E5" w:rsidRPr="008E74E5" w:rsidRDefault="008E74E5" w:rsidP="008E74E5">
      <w:pPr>
        <w:spacing w:after="0" w:line="480" w:lineRule="auto"/>
        <w:jc w:val="both"/>
        <w:rPr>
          <w:rFonts w:ascii="Times New Roman" w:hAnsi="Times New Roman"/>
          <w:sz w:val="24"/>
          <w:szCs w:val="24"/>
          <w:lang w:val="en-US"/>
        </w:rPr>
      </w:pPr>
    </w:p>
    <w:p w:rsidR="008E74E5" w:rsidRPr="008E74E5" w:rsidRDefault="008E74E5" w:rsidP="008E74E5">
      <w:pPr>
        <w:spacing w:after="0" w:line="480" w:lineRule="auto"/>
        <w:jc w:val="both"/>
        <w:rPr>
          <w:rFonts w:ascii="Times New Roman" w:hAnsi="Times New Roman"/>
          <w:sz w:val="24"/>
          <w:szCs w:val="24"/>
          <w:lang w:val="en-US"/>
        </w:rPr>
      </w:pPr>
      <w:r w:rsidRPr="008E74E5">
        <w:rPr>
          <w:rFonts w:ascii="Times New Roman" w:hAnsi="Times New Roman"/>
          <w:sz w:val="24"/>
          <w:szCs w:val="24"/>
          <w:lang w:val="en-US"/>
        </w:rPr>
        <w:t xml:space="preserve">*Corresponding author. </w:t>
      </w:r>
    </w:p>
    <w:p w:rsidR="0068456E" w:rsidRDefault="00297A14" w:rsidP="008E74E5">
      <w:pPr>
        <w:spacing w:after="0" w:line="480" w:lineRule="auto"/>
        <w:jc w:val="both"/>
        <w:rPr>
          <w:rFonts w:ascii="Times New Roman" w:hAnsi="Times New Roman"/>
          <w:sz w:val="24"/>
          <w:szCs w:val="24"/>
          <w:lang w:val="en-US"/>
        </w:rPr>
      </w:pPr>
      <w:r w:rsidRPr="008E74E5">
        <w:rPr>
          <w:rFonts w:ascii="Times New Roman" w:hAnsi="Times New Roman"/>
          <w:sz w:val="24"/>
          <w:szCs w:val="24"/>
          <w:lang w:val="en-US"/>
        </w:rPr>
        <w:t>Tel:</w:t>
      </w:r>
      <w:r w:rsidR="0068456E">
        <w:rPr>
          <w:rFonts w:ascii="Times New Roman" w:hAnsi="Times New Roman"/>
          <w:sz w:val="24"/>
          <w:szCs w:val="24"/>
          <w:lang w:val="en-US"/>
        </w:rPr>
        <w:t xml:space="preserve"> </w:t>
      </w:r>
      <w:r w:rsidRPr="00297A14">
        <w:rPr>
          <w:rFonts w:ascii="Times New Roman" w:eastAsia="Times New Roman" w:hAnsi="Times New Roman"/>
          <w:sz w:val="24"/>
          <w:szCs w:val="24"/>
          <w:lang w:eastAsia="en-GB"/>
        </w:rPr>
        <w:t>+39 0823274662</w:t>
      </w:r>
      <w:r w:rsidR="0068456E">
        <w:rPr>
          <w:rFonts w:ascii="Times New Roman" w:hAnsi="Times New Roman"/>
          <w:sz w:val="24"/>
          <w:szCs w:val="24"/>
          <w:lang w:val="en-US"/>
        </w:rPr>
        <w:t xml:space="preserve">; </w:t>
      </w:r>
      <w:r w:rsidR="008E74E5" w:rsidRPr="008E74E5">
        <w:rPr>
          <w:rFonts w:ascii="Times New Roman" w:hAnsi="Times New Roman"/>
          <w:sz w:val="24"/>
          <w:szCs w:val="24"/>
          <w:lang w:val="en-US"/>
        </w:rPr>
        <w:t xml:space="preserve">Fax: </w:t>
      </w:r>
      <w:r w:rsidR="0068456E" w:rsidRPr="0068456E">
        <w:rPr>
          <w:rFonts w:ascii="Times New Roman" w:eastAsia="Times New Roman" w:hAnsi="Times New Roman"/>
          <w:sz w:val="24"/>
          <w:szCs w:val="24"/>
          <w:lang w:eastAsia="en-GB"/>
        </w:rPr>
        <w:t>+39 0823274605</w:t>
      </w:r>
      <w:r w:rsidR="0068456E">
        <w:rPr>
          <w:rFonts w:ascii="Times New Roman" w:eastAsia="Times New Roman" w:hAnsi="Times New Roman"/>
          <w:sz w:val="24"/>
          <w:szCs w:val="24"/>
          <w:lang w:eastAsia="en-GB"/>
        </w:rPr>
        <w:t>;</w:t>
      </w:r>
      <w:r w:rsidR="0068456E">
        <w:rPr>
          <w:rFonts w:ascii="Times New Roman" w:hAnsi="Times New Roman"/>
          <w:sz w:val="24"/>
          <w:szCs w:val="24"/>
          <w:lang w:val="en-US"/>
        </w:rPr>
        <w:t xml:space="preserve"> E-mail: </w:t>
      </w:r>
      <w:r w:rsidR="0068456E" w:rsidRPr="0068456E">
        <w:rPr>
          <w:rFonts w:ascii="Times New Roman" w:hAnsi="Times New Roman"/>
          <w:sz w:val="24"/>
          <w:szCs w:val="24"/>
          <w:lang w:val="en-US"/>
        </w:rPr>
        <w:t>roksana.majewska@unina2.it</w:t>
      </w:r>
    </w:p>
    <w:p w:rsidR="0068456E" w:rsidRDefault="0068456E">
      <w:pPr>
        <w:rPr>
          <w:rFonts w:ascii="Times New Roman" w:hAnsi="Times New Roman"/>
          <w:sz w:val="24"/>
          <w:szCs w:val="24"/>
          <w:lang w:val="en-US"/>
        </w:rPr>
      </w:pPr>
      <w:r>
        <w:rPr>
          <w:rFonts w:ascii="Times New Roman" w:hAnsi="Times New Roman"/>
          <w:sz w:val="24"/>
          <w:szCs w:val="24"/>
          <w:lang w:val="en-US"/>
        </w:rPr>
        <w:br w:type="page"/>
      </w:r>
    </w:p>
    <w:p w:rsidR="008E74E5" w:rsidRDefault="008E74E5" w:rsidP="008E74E5">
      <w:pPr>
        <w:spacing w:after="0" w:line="480" w:lineRule="auto"/>
        <w:jc w:val="both"/>
        <w:rPr>
          <w:rFonts w:ascii="Times New Roman" w:hAnsi="Times New Roman"/>
          <w:sz w:val="24"/>
          <w:szCs w:val="24"/>
          <w:lang w:val="en-US"/>
        </w:rPr>
      </w:pPr>
    </w:p>
    <w:p w:rsidR="00426C5D" w:rsidRPr="008E74E5" w:rsidRDefault="00426C5D" w:rsidP="008E74E5">
      <w:pPr>
        <w:spacing w:after="0" w:line="480" w:lineRule="auto"/>
        <w:jc w:val="both"/>
        <w:rPr>
          <w:rFonts w:ascii="Times New Roman" w:hAnsi="Times New Roman"/>
          <w:sz w:val="24"/>
          <w:szCs w:val="24"/>
          <w:lang w:val="en-US"/>
        </w:rPr>
      </w:pPr>
      <w:r w:rsidRPr="007675F7">
        <w:rPr>
          <w:rFonts w:ascii="Times New Roman" w:hAnsi="Times New Roman"/>
          <w:b/>
          <w:sz w:val="24"/>
          <w:szCs w:val="24"/>
        </w:rPr>
        <w:t xml:space="preserve">Abstract: </w:t>
      </w:r>
      <w:r w:rsidR="00600672">
        <w:rPr>
          <w:rFonts w:ascii="Times New Roman" w:hAnsi="Times New Roman"/>
          <w:sz w:val="24"/>
          <w:szCs w:val="24"/>
        </w:rPr>
        <w:t>Characterization of</w:t>
      </w:r>
      <w:r w:rsidRPr="007675F7">
        <w:rPr>
          <w:rFonts w:ascii="Times New Roman" w:hAnsi="Times New Roman"/>
          <w:sz w:val="24"/>
          <w:szCs w:val="24"/>
        </w:rPr>
        <w:t xml:space="preserve"> phytoplankton communities is essential to understanding the ecological functioning of pela</w:t>
      </w:r>
      <w:r w:rsidR="00983FED">
        <w:rPr>
          <w:rFonts w:ascii="Times New Roman" w:hAnsi="Times New Roman"/>
          <w:sz w:val="24"/>
          <w:szCs w:val="24"/>
        </w:rPr>
        <w:t>gic marine systems. Despite this</w:t>
      </w:r>
      <w:r w:rsidRPr="007675F7">
        <w:rPr>
          <w:rFonts w:ascii="Times New Roman" w:hAnsi="Times New Roman"/>
          <w:sz w:val="24"/>
          <w:szCs w:val="24"/>
        </w:rPr>
        <w:t>, our knowledge of ph</w:t>
      </w:r>
      <w:r w:rsidR="00600672">
        <w:rPr>
          <w:rFonts w:ascii="Times New Roman" w:hAnsi="Times New Roman"/>
          <w:sz w:val="24"/>
          <w:szCs w:val="24"/>
        </w:rPr>
        <w:t>ytoplankton communities remains</w:t>
      </w:r>
      <w:r w:rsidRPr="007675F7">
        <w:rPr>
          <w:rFonts w:ascii="Times New Roman" w:hAnsi="Times New Roman"/>
          <w:sz w:val="24"/>
          <w:szCs w:val="24"/>
        </w:rPr>
        <w:t xml:space="preserve"> inadequate for many tropical habitats, including estuaries. </w:t>
      </w:r>
      <w:r w:rsidR="00983FED">
        <w:rPr>
          <w:rFonts w:ascii="Times New Roman" w:hAnsi="Times New Roman"/>
          <w:sz w:val="24"/>
          <w:szCs w:val="24"/>
        </w:rPr>
        <w:t xml:space="preserve">Tropical estuaries are often </w:t>
      </w:r>
      <w:r w:rsidR="00983FED" w:rsidRPr="007675F7">
        <w:rPr>
          <w:rFonts w:ascii="Times New Roman" w:hAnsi="Times New Roman"/>
          <w:sz w:val="24"/>
          <w:szCs w:val="24"/>
        </w:rPr>
        <w:t>highly turbid</w:t>
      </w:r>
      <w:r w:rsidR="00983FED">
        <w:rPr>
          <w:rFonts w:ascii="Times New Roman" w:hAnsi="Times New Roman"/>
          <w:sz w:val="24"/>
          <w:szCs w:val="24"/>
        </w:rPr>
        <w:t>,</w:t>
      </w:r>
      <w:r w:rsidR="00983FED" w:rsidRPr="004B2A78">
        <w:rPr>
          <w:rFonts w:ascii="Times New Roman" w:hAnsi="Times New Roman"/>
          <w:sz w:val="24"/>
          <w:szCs w:val="24"/>
        </w:rPr>
        <w:t xml:space="preserve"> </w:t>
      </w:r>
      <w:r w:rsidR="00983FED">
        <w:rPr>
          <w:rFonts w:ascii="Times New Roman" w:hAnsi="Times New Roman"/>
          <w:sz w:val="24"/>
          <w:szCs w:val="24"/>
        </w:rPr>
        <w:t xml:space="preserve">have a </w:t>
      </w:r>
      <w:r w:rsidR="00983FED" w:rsidRPr="007675F7">
        <w:rPr>
          <w:rFonts w:ascii="Times New Roman" w:hAnsi="Times New Roman"/>
          <w:sz w:val="24"/>
          <w:szCs w:val="24"/>
        </w:rPr>
        <w:t>low buffer</w:t>
      </w:r>
      <w:r w:rsidR="00983FED">
        <w:rPr>
          <w:rFonts w:ascii="Times New Roman" w:hAnsi="Times New Roman"/>
          <w:sz w:val="24"/>
          <w:szCs w:val="24"/>
        </w:rPr>
        <w:t xml:space="preserve">ing </w:t>
      </w:r>
      <w:r w:rsidR="00983FED" w:rsidRPr="007675F7">
        <w:rPr>
          <w:rFonts w:ascii="Times New Roman" w:hAnsi="Times New Roman"/>
          <w:sz w:val="24"/>
          <w:szCs w:val="24"/>
        </w:rPr>
        <w:t>capacity</w:t>
      </w:r>
      <w:r w:rsidR="00983FED">
        <w:rPr>
          <w:rFonts w:ascii="Times New Roman" w:hAnsi="Times New Roman"/>
          <w:sz w:val="24"/>
          <w:szCs w:val="24"/>
        </w:rPr>
        <w:t xml:space="preserve"> and may</w:t>
      </w:r>
      <w:r w:rsidR="00983FED" w:rsidRPr="007675F7">
        <w:rPr>
          <w:rFonts w:ascii="Times New Roman" w:hAnsi="Times New Roman"/>
          <w:sz w:val="24"/>
          <w:szCs w:val="24"/>
        </w:rPr>
        <w:t xml:space="preserve"> experience acidification</w:t>
      </w:r>
      <w:r w:rsidR="00983FED">
        <w:rPr>
          <w:rFonts w:ascii="Times New Roman" w:hAnsi="Times New Roman"/>
          <w:sz w:val="24"/>
          <w:szCs w:val="24"/>
        </w:rPr>
        <w:t>,</w:t>
      </w:r>
      <w:r w:rsidR="00983FED" w:rsidRPr="007675F7">
        <w:rPr>
          <w:rFonts w:ascii="Times New Roman" w:hAnsi="Times New Roman"/>
          <w:sz w:val="24"/>
          <w:szCs w:val="24"/>
        </w:rPr>
        <w:t xml:space="preserve"> </w:t>
      </w:r>
      <w:r w:rsidR="00983FED">
        <w:rPr>
          <w:rFonts w:ascii="Times New Roman" w:hAnsi="Times New Roman"/>
          <w:sz w:val="24"/>
          <w:szCs w:val="24"/>
        </w:rPr>
        <w:t xml:space="preserve">naturally through </w:t>
      </w:r>
      <w:r w:rsidR="00983FED" w:rsidRPr="007675F7">
        <w:rPr>
          <w:rFonts w:ascii="Times New Roman" w:hAnsi="Times New Roman"/>
          <w:sz w:val="24"/>
          <w:szCs w:val="24"/>
        </w:rPr>
        <w:t>microbial degradation</w:t>
      </w:r>
      <w:r w:rsidR="00983FED">
        <w:rPr>
          <w:rFonts w:ascii="Times New Roman" w:hAnsi="Times New Roman"/>
          <w:sz w:val="24"/>
          <w:szCs w:val="24"/>
        </w:rPr>
        <w:t xml:space="preserve"> and </w:t>
      </w:r>
      <w:r w:rsidR="00983FED" w:rsidRPr="007675F7">
        <w:rPr>
          <w:rFonts w:ascii="Times New Roman" w:hAnsi="Times New Roman"/>
          <w:sz w:val="24"/>
          <w:szCs w:val="24"/>
        </w:rPr>
        <w:t>run-off from acid sulphate soils</w:t>
      </w:r>
      <w:r w:rsidR="00A42876">
        <w:rPr>
          <w:rFonts w:ascii="Times New Roman" w:hAnsi="Times New Roman"/>
          <w:sz w:val="24"/>
          <w:szCs w:val="24"/>
        </w:rPr>
        <w:t xml:space="preserve"> (ASS)</w:t>
      </w:r>
      <w:r w:rsidR="00983FED">
        <w:rPr>
          <w:rFonts w:ascii="Times New Roman" w:hAnsi="Times New Roman"/>
          <w:sz w:val="24"/>
          <w:szCs w:val="24"/>
        </w:rPr>
        <w:t xml:space="preserve">, or various </w:t>
      </w:r>
      <w:r w:rsidR="00983FED" w:rsidRPr="007675F7">
        <w:rPr>
          <w:rFonts w:ascii="Times New Roman" w:hAnsi="Times New Roman"/>
          <w:sz w:val="24"/>
          <w:szCs w:val="24"/>
        </w:rPr>
        <w:t xml:space="preserve">anthropogenic </w:t>
      </w:r>
      <w:r w:rsidR="00E33B58">
        <w:rPr>
          <w:rFonts w:ascii="Times New Roman" w:hAnsi="Times New Roman"/>
          <w:sz w:val="24"/>
          <w:szCs w:val="24"/>
        </w:rPr>
        <w:t>causes</w:t>
      </w:r>
      <w:r w:rsidR="00983FED">
        <w:rPr>
          <w:rFonts w:ascii="Times New Roman" w:hAnsi="Times New Roman"/>
          <w:sz w:val="24"/>
          <w:szCs w:val="24"/>
        </w:rPr>
        <w:t xml:space="preserve">. </w:t>
      </w:r>
      <w:r w:rsidR="00983FED" w:rsidRPr="007675F7">
        <w:rPr>
          <w:rFonts w:ascii="Times New Roman" w:hAnsi="Times New Roman"/>
          <w:sz w:val="24"/>
          <w:szCs w:val="24"/>
        </w:rPr>
        <w:t xml:space="preserve">Here, we describe phytoplankton communities from the turbid, acidified, and </w:t>
      </w:r>
      <w:r w:rsidR="00983FED">
        <w:rPr>
          <w:rFonts w:ascii="Times New Roman" w:hAnsi="Times New Roman"/>
          <w:sz w:val="24"/>
          <w:szCs w:val="24"/>
        </w:rPr>
        <w:t>eu</w:t>
      </w:r>
      <w:r w:rsidR="00983FED" w:rsidRPr="007675F7">
        <w:rPr>
          <w:rFonts w:ascii="Times New Roman" w:hAnsi="Times New Roman"/>
          <w:sz w:val="24"/>
          <w:szCs w:val="24"/>
        </w:rPr>
        <w:t>trophi</w:t>
      </w:r>
      <w:r w:rsidR="00983FED">
        <w:rPr>
          <w:rFonts w:ascii="Times New Roman" w:hAnsi="Times New Roman"/>
          <w:sz w:val="24"/>
          <w:szCs w:val="24"/>
        </w:rPr>
        <w:t>c</w:t>
      </w:r>
      <w:r w:rsidR="00983FED" w:rsidRPr="007675F7">
        <w:rPr>
          <w:rFonts w:ascii="Times New Roman" w:hAnsi="Times New Roman"/>
          <w:sz w:val="24"/>
          <w:szCs w:val="24"/>
        </w:rPr>
        <w:t xml:space="preserve"> </w:t>
      </w:r>
      <w:r w:rsidR="00983FED">
        <w:rPr>
          <w:rFonts w:ascii="Times New Roman" w:hAnsi="Times New Roman"/>
          <w:sz w:val="24"/>
          <w:szCs w:val="24"/>
        </w:rPr>
        <w:t xml:space="preserve">Sungai Brunei and Brunei Bay estuarine system </w:t>
      </w:r>
      <w:r w:rsidR="00983FED" w:rsidRPr="007675F7">
        <w:rPr>
          <w:rFonts w:ascii="Times New Roman" w:hAnsi="Times New Roman"/>
          <w:sz w:val="24"/>
          <w:szCs w:val="24"/>
        </w:rPr>
        <w:t>(</w:t>
      </w:r>
      <w:r w:rsidR="00983FED">
        <w:rPr>
          <w:rFonts w:ascii="Times New Roman" w:hAnsi="Times New Roman"/>
          <w:sz w:val="24"/>
          <w:szCs w:val="24"/>
        </w:rPr>
        <w:t>Borneo, South E</w:t>
      </w:r>
      <w:r w:rsidR="00983FED" w:rsidRPr="007675F7">
        <w:rPr>
          <w:rFonts w:ascii="Times New Roman" w:hAnsi="Times New Roman"/>
          <w:sz w:val="24"/>
          <w:szCs w:val="24"/>
        </w:rPr>
        <w:t>ast Asia</w:t>
      </w:r>
      <w:r w:rsidR="00983FED">
        <w:rPr>
          <w:rFonts w:ascii="Times New Roman" w:hAnsi="Times New Roman"/>
          <w:sz w:val="24"/>
          <w:szCs w:val="24"/>
        </w:rPr>
        <w:t>)</w:t>
      </w:r>
      <w:r w:rsidRPr="007675F7">
        <w:rPr>
          <w:rFonts w:ascii="Times New Roman" w:hAnsi="Times New Roman"/>
          <w:sz w:val="24"/>
          <w:szCs w:val="24"/>
        </w:rPr>
        <w:t xml:space="preserve">. </w:t>
      </w:r>
      <w:r w:rsidR="00983FED">
        <w:rPr>
          <w:rFonts w:ascii="Times New Roman" w:hAnsi="Times New Roman"/>
          <w:sz w:val="24"/>
          <w:szCs w:val="24"/>
        </w:rPr>
        <w:t>F</w:t>
      </w:r>
      <w:r w:rsidR="00983FED" w:rsidRPr="007675F7">
        <w:rPr>
          <w:rFonts w:ascii="Times New Roman" w:hAnsi="Times New Roman"/>
          <w:sz w:val="24"/>
          <w:szCs w:val="24"/>
        </w:rPr>
        <w:t xml:space="preserve">our sampling stations </w:t>
      </w:r>
      <w:r w:rsidR="00983FED">
        <w:rPr>
          <w:rFonts w:ascii="Times New Roman" w:hAnsi="Times New Roman"/>
          <w:sz w:val="24"/>
          <w:szCs w:val="24"/>
        </w:rPr>
        <w:t xml:space="preserve">were selected, </w:t>
      </w:r>
      <w:r w:rsidR="00983FED" w:rsidRPr="007675F7">
        <w:rPr>
          <w:rFonts w:ascii="Times New Roman" w:hAnsi="Times New Roman"/>
          <w:sz w:val="24"/>
          <w:szCs w:val="24"/>
        </w:rPr>
        <w:t>represent</w:t>
      </w:r>
      <w:r w:rsidR="00983FED">
        <w:rPr>
          <w:rFonts w:ascii="Times New Roman" w:hAnsi="Times New Roman"/>
          <w:sz w:val="24"/>
          <w:szCs w:val="24"/>
        </w:rPr>
        <w:t xml:space="preserve">ing the full spectrum of the </w:t>
      </w:r>
      <w:r w:rsidR="00983FED" w:rsidRPr="007675F7">
        <w:rPr>
          <w:rFonts w:ascii="Times New Roman" w:hAnsi="Times New Roman"/>
          <w:sz w:val="24"/>
          <w:szCs w:val="24"/>
        </w:rPr>
        <w:t xml:space="preserve">salinity (0.4 - </w:t>
      </w:r>
      <w:r w:rsidR="00983FED" w:rsidRPr="007675F7">
        <w:rPr>
          <w:rFonts w:ascii="Times New Roman" w:hAnsi="Times New Roman"/>
          <w:color w:val="000000" w:themeColor="text1"/>
          <w:sz w:val="24"/>
          <w:szCs w:val="24"/>
        </w:rPr>
        <w:t xml:space="preserve">28.5 </w:t>
      </w:r>
      <w:r w:rsidR="00983FED">
        <w:rPr>
          <w:rFonts w:ascii="Times New Roman" w:hAnsi="Times New Roman"/>
          <w:sz w:val="24"/>
          <w:szCs w:val="24"/>
        </w:rPr>
        <w:t>PSU</w:t>
      </w:r>
      <w:r w:rsidR="00983FED" w:rsidRPr="007675F7">
        <w:rPr>
          <w:rFonts w:ascii="Times New Roman" w:hAnsi="Times New Roman"/>
          <w:sz w:val="24"/>
          <w:szCs w:val="24"/>
        </w:rPr>
        <w:t>) and</w:t>
      </w:r>
      <w:r w:rsidR="00983FED">
        <w:rPr>
          <w:rFonts w:ascii="Times New Roman" w:hAnsi="Times New Roman"/>
          <w:sz w:val="24"/>
          <w:szCs w:val="24"/>
        </w:rPr>
        <w:t xml:space="preserve"> pH (5.87 - 8.06) gradient associated with this system. </w:t>
      </w:r>
      <w:r w:rsidR="00BC26A8">
        <w:rPr>
          <w:rFonts w:ascii="Times New Roman" w:hAnsi="Times New Roman"/>
          <w:sz w:val="24"/>
          <w:szCs w:val="24"/>
        </w:rPr>
        <w:t>A to</w:t>
      </w:r>
      <w:r w:rsidR="00194AC1">
        <w:rPr>
          <w:rFonts w:ascii="Times New Roman" w:hAnsi="Times New Roman"/>
          <w:sz w:val="24"/>
          <w:szCs w:val="24"/>
        </w:rPr>
        <w:t>tal of 26</w:t>
      </w:r>
      <w:r w:rsidRPr="007675F7">
        <w:rPr>
          <w:rFonts w:ascii="Times New Roman" w:hAnsi="Times New Roman"/>
          <w:sz w:val="24"/>
          <w:szCs w:val="24"/>
        </w:rPr>
        <w:t xml:space="preserve"> microalg</w:t>
      </w:r>
      <w:r w:rsidR="00BC26A8">
        <w:rPr>
          <w:rFonts w:ascii="Times New Roman" w:hAnsi="Times New Roman"/>
          <w:sz w:val="24"/>
          <w:szCs w:val="24"/>
        </w:rPr>
        <w:t>al families of phytoplankton (22</w:t>
      </w:r>
      <w:r w:rsidR="00600672">
        <w:rPr>
          <w:rFonts w:ascii="Times New Roman" w:hAnsi="Times New Roman"/>
          <w:sz w:val="24"/>
          <w:szCs w:val="24"/>
        </w:rPr>
        <w:t xml:space="preserve"> genera of diatoms, seven of dinoflagellates, and one</w:t>
      </w:r>
      <w:r w:rsidRPr="007675F7">
        <w:rPr>
          <w:rFonts w:ascii="Times New Roman" w:hAnsi="Times New Roman"/>
          <w:sz w:val="24"/>
          <w:szCs w:val="24"/>
        </w:rPr>
        <w:t xml:space="preserve"> of ciliates) were recorded in the survey</w:t>
      </w:r>
      <w:r w:rsidR="00E94C90">
        <w:rPr>
          <w:rFonts w:ascii="Times New Roman" w:hAnsi="Times New Roman"/>
          <w:sz w:val="24"/>
          <w:szCs w:val="24"/>
        </w:rPr>
        <w:t>, which was</w:t>
      </w:r>
      <w:r w:rsidRPr="007675F7">
        <w:rPr>
          <w:rFonts w:ascii="Times New Roman" w:hAnsi="Times New Roman"/>
          <w:sz w:val="24"/>
          <w:szCs w:val="24"/>
        </w:rPr>
        <w:t xml:space="preserve"> carried out over one year. </w:t>
      </w:r>
      <w:r w:rsidR="00095698">
        <w:rPr>
          <w:rFonts w:ascii="Times New Roman" w:hAnsi="Times New Roman"/>
          <w:sz w:val="24"/>
          <w:szCs w:val="24"/>
        </w:rPr>
        <w:t>Phytoplankton density ranged from 7 to</w:t>
      </w:r>
      <w:r w:rsidRPr="007675F7">
        <w:rPr>
          <w:rFonts w:ascii="Times New Roman" w:hAnsi="Times New Roman"/>
          <w:sz w:val="24"/>
          <w:szCs w:val="24"/>
        </w:rPr>
        <w:t xml:space="preserve"> 9107 cells ml</w:t>
      </w:r>
      <w:r w:rsidRPr="007675F7">
        <w:rPr>
          <w:rFonts w:ascii="Times New Roman" w:hAnsi="Times New Roman"/>
          <w:sz w:val="24"/>
          <w:szCs w:val="24"/>
          <w:vertAlign w:val="superscript"/>
        </w:rPr>
        <w:t>-1</w:t>
      </w:r>
      <w:r w:rsidRPr="007675F7">
        <w:rPr>
          <w:rFonts w:ascii="Times New Roman" w:hAnsi="Times New Roman"/>
          <w:sz w:val="24"/>
          <w:szCs w:val="24"/>
        </w:rPr>
        <w:t xml:space="preserve">. Diatoms were a dominant component of the communities, with </w:t>
      </w:r>
      <w:r w:rsidRPr="007675F7">
        <w:rPr>
          <w:rFonts w:ascii="Times New Roman" w:hAnsi="Times New Roman"/>
          <w:i/>
          <w:sz w:val="24"/>
          <w:szCs w:val="24"/>
        </w:rPr>
        <w:t xml:space="preserve">Nitzschia </w:t>
      </w:r>
      <w:r w:rsidRPr="007675F7">
        <w:rPr>
          <w:rFonts w:ascii="Times New Roman" w:hAnsi="Times New Roman"/>
          <w:sz w:val="24"/>
          <w:szCs w:val="24"/>
        </w:rPr>
        <w:t xml:space="preserve">spp., </w:t>
      </w:r>
      <w:r w:rsidRPr="007675F7">
        <w:rPr>
          <w:rFonts w:ascii="Times New Roman" w:hAnsi="Times New Roman"/>
          <w:i/>
          <w:sz w:val="24"/>
          <w:szCs w:val="24"/>
        </w:rPr>
        <w:t xml:space="preserve">Rhizosolenia </w:t>
      </w:r>
      <w:r w:rsidRPr="007675F7">
        <w:rPr>
          <w:rFonts w:ascii="Times New Roman" w:hAnsi="Times New Roman"/>
          <w:sz w:val="24"/>
          <w:szCs w:val="24"/>
        </w:rPr>
        <w:t xml:space="preserve">spp., and </w:t>
      </w:r>
      <w:r w:rsidRPr="007675F7">
        <w:rPr>
          <w:rFonts w:ascii="Times New Roman" w:hAnsi="Times New Roman"/>
          <w:i/>
          <w:sz w:val="24"/>
          <w:szCs w:val="24"/>
        </w:rPr>
        <w:t>Leptocylindrus</w:t>
      </w:r>
      <w:r w:rsidRPr="007675F7">
        <w:rPr>
          <w:rFonts w:ascii="Times New Roman" w:hAnsi="Times New Roman"/>
          <w:sz w:val="24"/>
          <w:szCs w:val="24"/>
        </w:rPr>
        <w:t xml:space="preserve"> sp. reaching the highest abundances. Salinity, pH and dissolved oxygen (DO) were positively correlated with the plankton abundances</w:t>
      </w:r>
      <w:r w:rsidR="00E94C90">
        <w:rPr>
          <w:rFonts w:ascii="Times New Roman" w:hAnsi="Times New Roman"/>
          <w:sz w:val="24"/>
          <w:szCs w:val="24"/>
        </w:rPr>
        <w:t>,</w:t>
      </w:r>
      <w:r w:rsidRPr="007675F7">
        <w:rPr>
          <w:rFonts w:ascii="Times New Roman" w:hAnsi="Times New Roman"/>
          <w:sz w:val="24"/>
          <w:szCs w:val="24"/>
        </w:rPr>
        <w:t xml:space="preserve"> and </w:t>
      </w:r>
      <w:r w:rsidR="00E94C90">
        <w:rPr>
          <w:rFonts w:ascii="Times New Roman" w:hAnsi="Times New Roman"/>
          <w:sz w:val="24"/>
          <w:szCs w:val="24"/>
        </w:rPr>
        <w:t xml:space="preserve">all </w:t>
      </w:r>
      <w:r w:rsidRPr="007675F7">
        <w:rPr>
          <w:rFonts w:ascii="Times New Roman" w:hAnsi="Times New Roman"/>
          <w:sz w:val="24"/>
          <w:szCs w:val="24"/>
        </w:rPr>
        <w:t>typ</w:t>
      </w:r>
      <w:r w:rsidR="00E94C90">
        <w:rPr>
          <w:rFonts w:ascii="Times New Roman" w:hAnsi="Times New Roman"/>
          <w:sz w:val="24"/>
          <w:szCs w:val="24"/>
        </w:rPr>
        <w:t>ically declined landwards. P</w:t>
      </w:r>
      <w:r w:rsidRPr="007675F7">
        <w:rPr>
          <w:rFonts w:ascii="Times New Roman" w:hAnsi="Times New Roman"/>
          <w:sz w:val="24"/>
          <w:szCs w:val="24"/>
        </w:rPr>
        <w:t>hytoplankton communities were strongly influenced by the effect of season (</w:t>
      </w:r>
      <w:r w:rsidR="00E94C90">
        <w:rPr>
          <w:rFonts w:ascii="Times New Roman" w:hAnsi="Times New Roman"/>
          <w:sz w:val="24"/>
          <w:szCs w:val="24"/>
        </w:rPr>
        <w:t>explaining 30</w:t>
      </w:r>
      <w:r w:rsidRPr="007675F7">
        <w:rPr>
          <w:rFonts w:ascii="Times New Roman" w:hAnsi="Times New Roman"/>
          <w:sz w:val="24"/>
          <w:szCs w:val="24"/>
        </w:rPr>
        <w:t>% of the total variance in phytopla</w:t>
      </w:r>
      <w:r w:rsidR="00E94C90">
        <w:rPr>
          <w:rFonts w:ascii="Times New Roman" w:hAnsi="Times New Roman"/>
          <w:sz w:val="24"/>
          <w:szCs w:val="24"/>
        </w:rPr>
        <w:t>nkton data) and sampling site (20</w:t>
      </w:r>
      <w:r w:rsidRPr="007675F7">
        <w:rPr>
          <w:rFonts w:ascii="Times New Roman" w:hAnsi="Times New Roman"/>
          <w:sz w:val="24"/>
          <w:szCs w:val="24"/>
        </w:rPr>
        <w:t>%</w:t>
      </w:r>
      <w:r w:rsidR="00E94C90">
        <w:rPr>
          <w:rFonts w:ascii="Times New Roman" w:hAnsi="Times New Roman"/>
          <w:sz w:val="24"/>
          <w:szCs w:val="24"/>
        </w:rPr>
        <w:t xml:space="preserve"> of total variation</w:t>
      </w:r>
      <w:r w:rsidRPr="007675F7">
        <w:rPr>
          <w:rFonts w:ascii="Times New Roman" w:hAnsi="Times New Roman"/>
          <w:sz w:val="24"/>
          <w:szCs w:val="24"/>
        </w:rPr>
        <w:t>)</w:t>
      </w:r>
      <w:r w:rsidR="007E5F99">
        <w:rPr>
          <w:rFonts w:ascii="Times New Roman" w:hAnsi="Times New Roman"/>
          <w:sz w:val="24"/>
          <w:szCs w:val="24"/>
        </w:rPr>
        <w:t xml:space="preserve">. The </w:t>
      </w:r>
      <w:r w:rsidR="00C9509D">
        <w:rPr>
          <w:rFonts w:ascii="Times New Roman" w:hAnsi="Times New Roman"/>
          <w:sz w:val="24"/>
          <w:szCs w:val="24"/>
        </w:rPr>
        <w:t>interactive</w:t>
      </w:r>
      <w:r w:rsidR="00C9509D" w:rsidRPr="007675F7">
        <w:rPr>
          <w:rFonts w:ascii="Times New Roman" w:hAnsi="Times New Roman"/>
          <w:sz w:val="24"/>
          <w:szCs w:val="24"/>
        </w:rPr>
        <w:t xml:space="preserve"> </w:t>
      </w:r>
      <w:r w:rsidRPr="007675F7">
        <w:rPr>
          <w:rFonts w:ascii="Times New Roman" w:hAnsi="Times New Roman"/>
          <w:sz w:val="24"/>
          <w:szCs w:val="24"/>
        </w:rPr>
        <w:t>effect</w:t>
      </w:r>
      <w:r w:rsidR="00E94C90">
        <w:rPr>
          <w:rFonts w:ascii="Times New Roman" w:hAnsi="Times New Roman"/>
          <w:sz w:val="24"/>
          <w:szCs w:val="24"/>
        </w:rPr>
        <w:t>s</w:t>
      </w:r>
      <w:r w:rsidRPr="007675F7">
        <w:rPr>
          <w:rFonts w:ascii="Times New Roman" w:hAnsi="Times New Roman"/>
          <w:sz w:val="24"/>
          <w:szCs w:val="24"/>
        </w:rPr>
        <w:t xml:space="preserve"> of pH and salinity</w:t>
      </w:r>
      <w:r w:rsidR="00C9509D">
        <w:rPr>
          <w:rFonts w:ascii="Times New Roman" w:hAnsi="Times New Roman"/>
          <w:sz w:val="24"/>
          <w:szCs w:val="24"/>
        </w:rPr>
        <w:t>,</w:t>
      </w:r>
      <w:r w:rsidRPr="007675F7">
        <w:rPr>
          <w:rFonts w:ascii="Times New Roman" w:hAnsi="Times New Roman"/>
          <w:sz w:val="24"/>
          <w:szCs w:val="24"/>
        </w:rPr>
        <w:t xml:space="preserve"> and of pH</w:t>
      </w:r>
      <w:r w:rsidR="00E94C90">
        <w:rPr>
          <w:rFonts w:ascii="Times New Roman" w:hAnsi="Times New Roman"/>
          <w:sz w:val="24"/>
          <w:szCs w:val="24"/>
        </w:rPr>
        <w:t xml:space="preserve"> and temperature</w:t>
      </w:r>
      <w:r w:rsidR="00C9509D">
        <w:rPr>
          <w:rFonts w:ascii="Times New Roman" w:hAnsi="Times New Roman"/>
          <w:sz w:val="24"/>
          <w:szCs w:val="24"/>
        </w:rPr>
        <w:t>,</w:t>
      </w:r>
      <w:r w:rsidR="00E94C90">
        <w:rPr>
          <w:rFonts w:ascii="Times New Roman" w:hAnsi="Times New Roman"/>
          <w:sz w:val="24"/>
          <w:szCs w:val="24"/>
        </w:rPr>
        <w:t xml:space="preserve"> explained 16.7% and 17.5</w:t>
      </w:r>
      <w:r w:rsidRPr="007675F7">
        <w:rPr>
          <w:rFonts w:ascii="Times New Roman" w:hAnsi="Times New Roman"/>
          <w:sz w:val="24"/>
          <w:szCs w:val="24"/>
        </w:rPr>
        <w:t>% of the total observed variation, respectively.</w:t>
      </w:r>
      <w:r w:rsidR="007E5F99">
        <w:rPr>
          <w:rFonts w:ascii="Times New Roman" w:hAnsi="Times New Roman"/>
          <w:sz w:val="24"/>
          <w:szCs w:val="24"/>
        </w:rPr>
        <w:t xml:space="preserve"> This study presents the first baseline information showing the response of a tropical estuarine phytoplankton community</w:t>
      </w:r>
      <w:r w:rsidR="007E5F99" w:rsidRPr="003A4300">
        <w:rPr>
          <w:rFonts w:ascii="Times New Roman" w:hAnsi="Times New Roman"/>
          <w:sz w:val="24"/>
          <w:szCs w:val="24"/>
        </w:rPr>
        <w:t xml:space="preserve"> </w:t>
      </w:r>
      <w:r w:rsidR="007E5F99">
        <w:rPr>
          <w:rFonts w:ascii="Times New Roman" w:hAnsi="Times New Roman"/>
          <w:sz w:val="24"/>
          <w:szCs w:val="24"/>
        </w:rPr>
        <w:t>to acidification.</w:t>
      </w:r>
    </w:p>
    <w:p w:rsidR="00426C5D" w:rsidRPr="007675F7" w:rsidRDefault="00426C5D" w:rsidP="00426C5D">
      <w:pPr>
        <w:spacing w:after="0" w:line="480" w:lineRule="auto"/>
        <w:jc w:val="both"/>
        <w:rPr>
          <w:rFonts w:ascii="Times New Roman" w:hAnsi="Times New Roman"/>
          <w:sz w:val="24"/>
          <w:szCs w:val="24"/>
        </w:rPr>
      </w:pPr>
    </w:p>
    <w:p w:rsidR="00426C5D" w:rsidRPr="007675F7" w:rsidRDefault="00426C5D" w:rsidP="00426C5D">
      <w:pPr>
        <w:spacing w:after="0" w:line="480" w:lineRule="auto"/>
        <w:jc w:val="both"/>
        <w:rPr>
          <w:rFonts w:ascii="Times New Roman" w:hAnsi="Times New Roman"/>
          <w:b/>
          <w:sz w:val="24"/>
          <w:szCs w:val="24"/>
        </w:rPr>
      </w:pPr>
    </w:p>
    <w:p w:rsidR="00426C5D" w:rsidRPr="007675F7" w:rsidRDefault="00426C5D" w:rsidP="00426C5D">
      <w:pPr>
        <w:spacing w:after="0" w:line="480" w:lineRule="auto"/>
        <w:jc w:val="both"/>
        <w:rPr>
          <w:rFonts w:ascii="Times New Roman" w:hAnsi="Times New Roman"/>
          <w:b/>
          <w:sz w:val="24"/>
          <w:szCs w:val="24"/>
        </w:rPr>
      </w:pPr>
    </w:p>
    <w:p w:rsidR="008E74E5" w:rsidRDefault="008E74E5" w:rsidP="007675F7">
      <w:pPr>
        <w:spacing w:after="0" w:line="480" w:lineRule="auto"/>
        <w:jc w:val="both"/>
        <w:rPr>
          <w:rFonts w:ascii="Times New Roman" w:hAnsi="Times New Roman"/>
          <w:b/>
          <w:sz w:val="24"/>
          <w:szCs w:val="24"/>
        </w:rPr>
      </w:pPr>
    </w:p>
    <w:p w:rsidR="007675F7" w:rsidRDefault="00426C5D" w:rsidP="007675F7">
      <w:pPr>
        <w:spacing w:after="0" w:line="480" w:lineRule="auto"/>
        <w:jc w:val="both"/>
        <w:rPr>
          <w:rFonts w:ascii="Times New Roman" w:hAnsi="Times New Roman"/>
          <w:sz w:val="24"/>
          <w:szCs w:val="24"/>
        </w:rPr>
      </w:pPr>
      <w:r w:rsidRPr="007675F7">
        <w:rPr>
          <w:rFonts w:ascii="Times New Roman" w:hAnsi="Times New Roman"/>
          <w:b/>
          <w:sz w:val="24"/>
          <w:szCs w:val="24"/>
        </w:rPr>
        <w:t>Keyword</w:t>
      </w:r>
      <w:r w:rsidR="00C9509D">
        <w:rPr>
          <w:rFonts w:ascii="Times New Roman" w:hAnsi="Times New Roman"/>
          <w:b/>
          <w:sz w:val="24"/>
          <w:szCs w:val="24"/>
        </w:rPr>
        <w:t>s</w:t>
      </w:r>
      <w:r w:rsidRPr="007675F7">
        <w:rPr>
          <w:rFonts w:ascii="Times New Roman" w:hAnsi="Times New Roman"/>
          <w:b/>
          <w:sz w:val="24"/>
          <w:szCs w:val="24"/>
        </w:rPr>
        <w:t xml:space="preserve">: </w:t>
      </w:r>
      <w:r w:rsidRPr="007675F7">
        <w:rPr>
          <w:rFonts w:ascii="Times New Roman" w:hAnsi="Times New Roman"/>
          <w:sz w:val="24"/>
          <w:szCs w:val="24"/>
        </w:rPr>
        <w:t>acidification, Brunei, pH, phytoplankton, tropical estuary, turbid</w:t>
      </w:r>
    </w:p>
    <w:p w:rsidR="00C9509D" w:rsidRDefault="00C9509D" w:rsidP="007675F7">
      <w:pPr>
        <w:spacing w:after="0" w:line="480" w:lineRule="auto"/>
        <w:jc w:val="both"/>
        <w:rPr>
          <w:rFonts w:ascii="Times New Roman" w:hAnsi="Times New Roman"/>
          <w:b/>
          <w:sz w:val="24"/>
          <w:szCs w:val="24"/>
        </w:rPr>
      </w:pPr>
    </w:p>
    <w:p w:rsidR="00426C5D" w:rsidRPr="007675F7" w:rsidRDefault="00426C5D" w:rsidP="007675F7">
      <w:pPr>
        <w:spacing w:after="0" w:line="480" w:lineRule="auto"/>
        <w:jc w:val="both"/>
        <w:rPr>
          <w:rFonts w:ascii="Times New Roman" w:hAnsi="Times New Roman"/>
          <w:sz w:val="24"/>
          <w:szCs w:val="24"/>
        </w:rPr>
      </w:pPr>
      <w:r w:rsidRPr="007675F7">
        <w:rPr>
          <w:rFonts w:ascii="Times New Roman" w:hAnsi="Times New Roman"/>
          <w:b/>
          <w:sz w:val="24"/>
          <w:szCs w:val="24"/>
        </w:rPr>
        <w:t>Introduction</w:t>
      </w:r>
    </w:p>
    <w:p w:rsidR="00426C5D" w:rsidRPr="007675F7" w:rsidRDefault="00426C5D" w:rsidP="00426C5D">
      <w:pPr>
        <w:spacing w:after="0" w:line="480" w:lineRule="auto"/>
        <w:jc w:val="both"/>
        <w:rPr>
          <w:rFonts w:ascii="Times New Roman" w:hAnsi="Times New Roman"/>
          <w:sz w:val="24"/>
          <w:szCs w:val="24"/>
        </w:rPr>
      </w:pPr>
      <w:r w:rsidRPr="007675F7">
        <w:rPr>
          <w:rFonts w:ascii="Times New Roman" w:hAnsi="Times New Roman"/>
          <w:sz w:val="24"/>
          <w:szCs w:val="24"/>
        </w:rPr>
        <w:t>Marine phy</w:t>
      </w:r>
      <w:r w:rsidR="00E94C90">
        <w:rPr>
          <w:rFonts w:ascii="Times New Roman" w:hAnsi="Times New Roman"/>
          <w:sz w:val="24"/>
          <w:szCs w:val="24"/>
        </w:rPr>
        <w:t>toplankton contribute to up to half of</w:t>
      </w:r>
      <w:r w:rsidRPr="007675F7">
        <w:rPr>
          <w:rFonts w:ascii="Times New Roman" w:hAnsi="Times New Roman"/>
          <w:sz w:val="24"/>
          <w:szCs w:val="24"/>
        </w:rPr>
        <w:t xml:space="preserve"> global primary production, providing organic matter for the great majority of marine life and being crucial to the global carbon cycle (Longhurst et al.</w:t>
      </w:r>
      <w:r w:rsidR="005C7583">
        <w:rPr>
          <w:rFonts w:ascii="Times New Roman" w:hAnsi="Times New Roman"/>
          <w:sz w:val="24"/>
          <w:szCs w:val="24"/>
        </w:rPr>
        <w:t>, 1995;</w:t>
      </w:r>
      <w:r w:rsidRPr="007675F7">
        <w:rPr>
          <w:rFonts w:ascii="Times New Roman" w:hAnsi="Times New Roman"/>
          <w:sz w:val="24"/>
          <w:szCs w:val="24"/>
        </w:rPr>
        <w:t xml:space="preserve"> Cassar et al., 2003;</w:t>
      </w:r>
      <w:r w:rsidR="00EF32FF">
        <w:rPr>
          <w:rFonts w:ascii="Times New Roman" w:hAnsi="Times New Roman"/>
          <w:sz w:val="24"/>
          <w:szCs w:val="24"/>
        </w:rPr>
        <w:t xml:space="preserve"> Falkowski, 2012). E</w:t>
      </w:r>
      <w:r w:rsidRPr="007675F7">
        <w:rPr>
          <w:rFonts w:ascii="Times New Roman" w:hAnsi="Times New Roman"/>
          <w:sz w:val="24"/>
          <w:szCs w:val="24"/>
        </w:rPr>
        <w:t>stuarine phytoplankton production amounts to 256 g C m</w:t>
      </w:r>
      <w:r w:rsidRPr="007675F7">
        <w:rPr>
          <w:rFonts w:ascii="Times New Roman" w:hAnsi="Times New Roman"/>
          <w:sz w:val="24"/>
          <w:szCs w:val="24"/>
          <w:vertAlign w:val="superscript"/>
        </w:rPr>
        <w:t>-2</w:t>
      </w:r>
      <w:r w:rsidRPr="007675F7">
        <w:rPr>
          <w:rFonts w:ascii="Times New Roman" w:hAnsi="Times New Roman"/>
          <w:sz w:val="24"/>
          <w:szCs w:val="24"/>
        </w:rPr>
        <w:t xml:space="preserve"> per year, which places estuarine systems among the most productive globally (Boynton et al., 1982</w:t>
      </w:r>
      <w:r w:rsidR="005C7583">
        <w:rPr>
          <w:rFonts w:ascii="Times New Roman" w:hAnsi="Times New Roman"/>
          <w:sz w:val="24"/>
          <w:szCs w:val="24"/>
        </w:rPr>
        <w:t>;</w:t>
      </w:r>
      <w:r w:rsidR="00635160">
        <w:rPr>
          <w:rFonts w:ascii="Times New Roman" w:hAnsi="Times New Roman"/>
          <w:sz w:val="24"/>
          <w:szCs w:val="24"/>
        </w:rPr>
        <w:t xml:space="preserve"> Costanza et al.</w:t>
      </w:r>
      <w:r w:rsidR="005C7583">
        <w:rPr>
          <w:rFonts w:ascii="Times New Roman" w:hAnsi="Times New Roman"/>
          <w:sz w:val="24"/>
          <w:szCs w:val="24"/>
        </w:rPr>
        <w:t>,</w:t>
      </w:r>
      <w:r w:rsidR="00635160">
        <w:rPr>
          <w:rFonts w:ascii="Times New Roman" w:hAnsi="Times New Roman"/>
          <w:sz w:val="24"/>
          <w:szCs w:val="24"/>
        </w:rPr>
        <w:t xml:space="preserve"> 1997</w:t>
      </w:r>
      <w:r w:rsidRPr="007675F7">
        <w:rPr>
          <w:rFonts w:ascii="Times New Roman" w:hAnsi="Times New Roman"/>
          <w:sz w:val="24"/>
          <w:szCs w:val="24"/>
        </w:rPr>
        <w:t xml:space="preserve">). </w:t>
      </w:r>
      <w:r w:rsidR="00EF32FF">
        <w:rPr>
          <w:rFonts w:ascii="Times New Roman" w:hAnsi="Times New Roman"/>
          <w:sz w:val="24"/>
          <w:szCs w:val="24"/>
        </w:rPr>
        <w:t>Productivity and biodiversity are not automatically connected, and high biodiversity</w:t>
      </w:r>
      <w:r w:rsidRPr="007675F7">
        <w:rPr>
          <w:rFonts w:ascii="Times New Roman" w:hAnsi="Times New Roman"/>
          <w:sz w:val="24"/>
          <w:szCs w:val="24"/>
        </w:rPr>
        <w:t xml:space="preserve"> does not seem to be an </w:t>
      </w:r>
      <w:r w:rsidRPr="007675F7">
        <w:rPr>
          <w:rFonts w:ascii="Times New Roman" w:hAnsi="Times New Roman"/>
          <w:i/>
          <w:sz w:val="24"/>
          <w:szCs w:val="24"/>
        </w:rPr>
        <w:t>a priori</w:t>
      </w:r>
      <w:r w:rsidRPr="007675F7">
        <w:rPr>
          <w:rFonts w:ascii="Times New Roman" w:hAnsi="Times New Roman"/>
          <w:sz w:val="24"/>
          <w:szCs w:val="24"/>
        </w:rPr>
        <w:t xml:space="preserve"> condition required f</w:t>
      </w:r>
      <w:r w:rsidR="00EF32FF">
        <w:rPr>
          <w:rFonts w:ascii="Times New Roman" w:hAnsi="Times New Roman"/>
          <w:sz w:val="24"/>
          <w:szCs w:val="24"/>
        </w:rPr>
        <w:t>or successful functioning of estuarine ecosystems</w:t>
      </w:r>
      <w:r w:rsidR="003D037E">
        <w:rPr>
          <w:rFonts w:ascii="Times New Roman" w:hAnsi="Times New Roman"/>
          <w:sz w:val="24"/>
          <w:szCs w:val="24"/>
        </w:rPr>
        <w:t xml:space="preserve"> (Elliot and</w:t>
      </w:r>
      <w:r w:rsidRPr="007675F7">
        <w:rPr>
          <w:rFonts w:ascii="Times New Roman" w:hAnsi="Times New Roman"/>
          <w:sz w:val="24"/>
          <w:szCs w:val="24"/>
        </w:rPr>
        <w:t xml:space="preserve"> Quintino</w:t>
      </w:r>
      <w:r w:rsidR="005C7583">
        <w:rPr>
          <w:rFonts w:ascii="Times New Roman" w:hAnsi="Times New Roman"/>
          <w:sz w:val="24"/>
          <w:szCs w:val="24"/>
        </w:rPr>
        <w:t>,</w:t>
      </w:r>
      <w:r w:rsidRPr="007675F7">
        <w:rPr>
          <w:rFonts w:ascii="Times New Roman" w:hAnsi="Times New Roman"/>
          <w:sz w:val="24"/>
          <w:szCs w:val="24"/>
        </w:rPr>
        <w:t xml:space="preserve"> 2007). As </w:t>
      </w:r>
      <w:r w:rsidR="00EF32FF">
        <w:rPr>
          <w:rFonts w:ascii="Times New Roman" w:hAnsi="Times New Roman"/>
          <w:sz w:val="24"/>
          <w:szCs w:val="24"/>
        </w:rPr>
        <w:t xml:space="preserve">with </w:t>
      </w:r>
      <w:r w:rsidRPr="007675F7">
        <w:rPr>
          <w:rFonts w:ascii="Times New Roman" w:hAnsi="Times New Roman"/>
          <w:sz w:val="24"/>
          <w:szCs w:val="24"/>
        </w:rPr>
        <w:t xml:space="preserve">other transitional waters, and transitional zones in general, estuaries provide highly variable, naturally </w:t>
      </w:r>
      <w:r w:rsidR="00EF32FF">
        <w:rPr>
          <w:rFonts w:ascii="Times New Roman" w:hAnsi="Times New Roman"/>
          <w:sz w:val="24"/>
          <w:szCs w:val="24"/>
        </w:rPr>
        <w:t>stressed habitats that</w:t>
      </w:r>
      <w:r w:rsidRPr="007675F7">
        <w:rPr>
          <w:rFonts w:ascii="Times New Roman" w:hAnsi="Times New Roman"/>
          <w:sz w:val="24"/>
          <w:szCs w:val="24"/>
        </w:rPr>
        <w:t xml:space="preserve"> are </w:t>
      </w:r>
      <w:r w:rsidR="00EF32FF">
        <w:rPr>
          <w:rFonts w:ascii="Times New Roman" w:hAnsi="Times New Roman"/>
          <w:sz w:val="24"/>
          <w:szCs w:val="24"/>
        </w:rPr>
        <w:t xml:space="preserve">also </w:t>
      </w:r>
      <w:r w:rsidRPr="007675F7">
        <w:rPr>
          <w:rFonts w:ascii="Times New Roman" w:hAnsi="Times New Roman"/>
          <w:sz w:val="24"/>
          <w:szCs w:val="24"/>
        </w:rPr>
        <w:t>commonly exposed t</w:t>
      </w:r>
      <w:r w:rsidR="00C96595">
        <w:rPr>
          <w:rFonts w:ascii="Times New Roman" w:hAnsi="Times New Roman"/>
          <w:sz w:val="24"/>
          <w:szCs w:val="24"/>
        </w:rPr>
        <w:t>o anthropogenic disturbance (</w:t>
      </w:r>
      <w:r w:rsidR="006A4B68">
        <w:rPr>
          <w:rFonts w:ascii="Times New Roman" w:hAnsi="Times New Roman"/>
          <w:sz w:val="24"/>
          <w:szCs w:val="24"/>
        </w:rPr>
        <w:t>de Jonge et al.</w:t>
      </w:r>
      <w:r w:rsidR="005C7583">
        <w:rPr>
          <w:rFonts w:ascii="Times New Roman" w:hAnsi="Times New Roman"/>
          <w:sz w:val="24"/>
          <w:szCs w:val="24"/>
        </w:rPr>
        <w:t>, 2002;</w:t>
      </w:r>
      <w:r w:rsidR="006A4B68">
        <w:rPr>
          <w:rFonts w:ascii="Times New Roman" w:hAnsi="Times New Roman"/>
          <w:sz w:val="24"/>
          <w:szCs w:val="24"/>
        </w:rPr>
        <w:t xml:space="preserve"> </w:t>
      </w:r>
      <w:r w:rsidR="00C96595">
        <w:rPr>
          <w:rFonts w:ascii="Times New Roman" w:hAnsi="Times New Roman"/>
          <w:sz w:val="24"/>
          <w:szCs w:val="24"/>
        </w:rPr>
        <w:t>Pradhan et al.</w:t>
      </w:r>
      <w:r w:rsidR="005C7583">
        <w:rPr>
          <w:rFonts w:ascii="Times New Roman" w:hAnsi="Times New Roman"/>
          <w:sz w:val="24"/>
          <w:szCs w:val="24"/>
        </w:rPr>
        <w:t>,</w:t>
      </w:r>
      <w:r w:rsidR="00C96595">
        <w:rPr>
          <w:rFonts w:ascii="Times New Roman" w:hAnsi="Times New Roman"/>
          <w:sz w:val="24"/>
          <w:szCs w:val="24"/>
        </w:rPr>
        <w:t xml:space="preserve"> 2009</w:t>
      </w:r>
      <w:r w:rsidR="005C7583">
        <w:rPr>
          <w:rFonts w:ascii="Times New Roman" w:hAnsi="Times New Roman"/>
          <w:sz w:val="24"/>
          <w:szCs w:val="24"/>
        </w:rPr>
        <w:t>;</w:t>
      </w:r>
      <w:r w:rsidR="0097510C">
        <w:rPr>
          <w:rFonts w:ascii="Times New Roman" w:hAnsi="Times New Roman"/>
          <w:sz w:val="24"/>
          <w:szCs w:val="24"/>
        </w:rPr>
        <w:t xml:space="preserve"> </w:t>
      </w:r>
      <w:r w:rsidR="005C7583">
        <w:rPr>
          <w:rFonts w:ascii="Times New Roman" w:hAnsi="Times New Roman"/>
          <w:sz w:val="24"/>
          <w:szCs w:val="24"/>
        </w:rPr>
        <w:t>Hu and</w:t>
      </w:r>
      <w:r w:rsidR="00FC769F">
        <w:rPr>
          <w:rFonts w:ascii="Times New Roman" w:hAnsi="Times New Roman"/>
          <w:sz w:val="24"/>
          <w:szCs w:val="24"/>
        </w:rPr>
        <w:t xml:space="preserve"> Cai</w:t>
      </w:r>
      <w:r w:rsidR="005C7583">
        <w:rPr>
          <w:rFonts w:ascii="Times New Roman" w:hAnsi="Times New Roman"/>
          <w:sz w:val="24"/>
          <w:szCs w:val="24"/>
        </w:rPr>
        <w:t>, 2013;</w:t>
      </w:r>
      <w:r w:rsidR="00FC769F">
        <w:rPr>
          <w:rFonts w:ascii="Times New Roman" w:hAnsi="Times New Roman"/>
          <w:sz w:val="24"/>
          <w:szCs w:val="24"/>
        </w:rPr>
        <w:t xml:space="preserve"> </w:t>
      </w:r>
      <w:r w:rsidR="0097510C">
        <w:rPr>
          <w:rFonts w:ascii="Times New Roman" w:hAnsi="Times New Roman"/>
          <w:sz w:val="24"/>
          <w:szCs w:val="24"/>
        </w:rPr>
        <w:t>Nirmal Kumar et al.</w:t>
      </w:r>
      <w:r w:rsidR="005C7583">
        <w:rPr>
          <w:rFonts w:ascii="Times New Roman" w:hAnsi="Times New Roman"/>
          <w:sz w:val="24"/>
          <w:szCs w:val="24"/>
        </w:rPr>
        <w:t>,</w:t>
      </w:r>
      <w:r w:rsidR="0097510C">
        <w:rPr>
          <w:rFonts w:ascii="Times New Roman" w:hAnsi="Times New Roman"/>
          <w:sz w:val="24"/>
          <w:szCs w:val="24"/>
        </w:rPr>
        <w:t xml:space="preserve"> 2013</w:t>
      </w:r>
      <w:r w:rsidRPr="007675F7">
        <w:rPr>
          <w:rFonts w:ascii="Times New Roman" w:hAnsi="Times New Roman"/>
          <w:sz w:val="24"/>
          <w:szCs w:val="24"/>
        </w:rPr>
        <w:t>). Indeed, estuar</w:t>
      </w:r>
      <w:r w:rsidR="00EF32FF">
        <w:rPr>
          <w:rFonts w:ascii="Times New Roman" w:hAnsi="Times New Roman"/>
          <w:sz w:val="24"/>
          <w:szCs w:val="24"/>
        </w:rPr>
        <w:t>ies are considered to be amongst</w:t>
      </w:r>
      <w:r w:rsidRPr="007675F7">
        <w:rPr>
          <w:rFonts w:ascii="Times New Roman" w:hAnsi="Times New Roman"/>
          <w:sz w:val="24"/>
          <w:szCs w:val="24"/>
        </w:rPr>
        <w:t xml:space="preserve"> the most threatened biological systems</w:t>
      </w:r>
      <w:r w:rsidR="00EF32FF">
        <w:rPr>
          <w:rFonts w:ascii="Times New Roman" w:hAnsi="Times New Roman"/>
          <w:sz w:val="24"/>
          <w:szCs w:val="24"/>
        </w:rPr>
        <w:t>,</w:t>
      </w:r>
      <w:r w:rsidRPr="007675F7">
        <w:rPr>
          <w:rFonts w:ascii="Times New Roman" w:hAnsi="Times New Roman"/>
          <w:sz w:val="24"/>
          <w:szCs w:val="24"/>
        </w:rPr>
        <w:t xml:space="preserve"> and it is </w:t>
      </w:r>
      <w:r w:rsidR="00EF32FF">
        <w:rPr>
          <w:rFonts w:ascii="Times New Roman" w:hAnsi="Times New Roman"/>
          <w:sz w:val="24"/>
          <w:szCs w:val="24"/>
        </w:rPr>
        <w:t xml:space="preserve">also </w:t>
      </w:r>
      <w:r w:rsidRPr="007675F7">
        <w:rPr>
          <w:rFonts w:ascii="Times New Roman" w:hAnsi="Times New Roman"/>
          <w:sz w:val="24"/>
          <w:szCs w:val="24"/>
        </w:rPr>
        <w:t>expected that negative impact</w:t>
      </w:r>
      <w:r w:rsidR="00EF32FF">
        <w:rPr>
          <w:rFonts w:ascii="Times New Roman" w:hAnsi="Times New Roman"/>
          <w:sz w:val="24"/>
          <w:szCs w:val="24"/>
        </w:rPr>
        <w:t>s of the many</w:t>
      </w:r>
      <w:r w:rsidRPr="007675F7">
        <w:rPr>
          <w:rFonts w:ascii="Times New Roman" w:hAnsi="Times New Roman"/>
          <w:sz w:val="24"/>
          <w:szCs w:val="24"/>
        </w:rPr>
        <w:t xml:space="preserve"> anthropogenic perturbations will be more sever</w:t>
      </w:r>
      <w:r w:rsidR="00EF32FF">
        <w:rPr>
          <w:rFonts w:ascii="Times New Roman" w:hAnsi="Times New Roman"/>
          <w:sz w:val="24"/>
          <w:szCs w:val="24"/>
        </w:rPr>
        <w:t>e in tropical than</w:t>
      </w:r>
      <w:r w:rsidRPr="007675F7">
        <w:rPr>
          <w:rFonts w:ascii="Times New Roman" w:hAnsi="Times New Roman"/>
          <w:sz w:val="24"/>
          <w:szCs w:val="24"/>
        </w:rPr>
        <w:t xml:space="preserve"> temperate regions (Downing et al.</w:t>
      </w:r>
      <w:r w:rsidR="005C7583">
        <w:rPr>
          <w:rFonts w:ascii="Times New Roman" w:hAnsi="Times New Roman"/>
          <w:sz w:val="24"/>
          <w:szCs w:val="24"/>
        </w:rPr>
        <w:t>, 1999;</w:t>
      </w:r>
      <w:r w:rsidRPr="007675F7">
        <w:rPr>
          <w:rFonts w:ascii="Times New Roman" w:hAnsi="Times New Roman"/>
          <w:sz w:val="24"/>
          <w:szCs w:val="24"/>
        </w:rPr>
        <w:t xml:space="preserve"> Su et al.</w:t>
      </w:r>
      <w:r w:rsidR="005C7583">
        <w:rPr>
          <w:rFonts w:ascii="Times New Roman" w:hAnsi="Times New Roman"/>
          <w:sz w:val="24"/>
          <w:szCs w:val="24"/>
        </w:rPr>
        <w:t>,</w:t>
      </w:r>
      <w:r w:rsidRPr="007675F7">
        <w:rPr>
          <w:rFonts w:ascii="Times New Roman" w:hAnsi="Times New Roman"/>
          <w:sz w:val="24"/>
          <w:szCs w:val="24"/>
        </w:rPr>
        <w:t xml:space="preserve"> 2004).</w:t>
      </w:r>
    </w:p>
    <w:p w:rsidR="00426C5D" w:rsidRPr="007675F7" w:rsidRDefault="00426C5D" w:rsidP="00426C5D">
      <w:pPr>
        <w:spacing w:after="0" w:line="480" w:lineRule="auto"/>
        <w:jc w:val="both"/>
        <w:rPr>
          <w:rFonts w:ascii="Times New Roman" w:hAnsi="Times New Roman"/>
          <w:sz w:val="24"/>
          <w:szCs w:val="24"/>
        </w:rPr>
      </w:pPr>
      <w:r w:rsidRPr="007675F7">
        <w:rPr>
          <w:rFonts w:ascii="Times New Roman" w:hAnsi="Times New Roman"/>
          <w:sz w:val="24"/>
          <w:szCs w:val="24"/>
        </w:rPr>
        <w:t xml:space="preserve"> </w:t>
      </w:r>
      <w:r w:rsidRPr="007675F7">
        <w:rPr>
          <w:rFonts w:ascii="Times New Roman" w:hAnsi="Times New Roman"/>
          <w:sz w:val="24"/>
          <w:szCs w:val="24"/>
        </w:rPr>
        <w:tab/>
        <w:t xml:space="preserve">Although estuaries have long been considered living </w:t>
      </w:r>
      <w:r w:rsidR="00EF32FF">
        <w:rPr>
          <w:rFonts w:ascii="Times New Roman" w:hAnsi="Times New Roman"/>
          <w:sz w:val="24"/>
          <w:szCs w:val="24"/>
        </w:rPr>
        <w:t>“macro-</w:t>
      </w:r>
      <w:r w:rsidRPr="007675F7">
        <w:rPr>
          <w:rFonts w:ascii="Times New Roman" w:hAnsi="Times New Roman"/>
          <w:sz w:val="24"/>
          <w:szCs w:val="24"/>
        </w:rPr>
        <w:t>laboratories</w:t>
      </w:r>
      <w:r w:rsidR="00EF32FF">
        <w:rPr>
          <w:rFonts w:ascii="Times New Roman" w:hAnsi="Times New Roman"/>
          <w:sz w:val="24"/>
          <w:szCs w:val="24"/>
        </w:rPr>
        <w:t>”</w:t>
      </w:r>
      <w:r w:rsidRPr="007675F7">
        <w:rPr>
          <w:rFonts w:ascii="Times New Roman" w:hAnsi="Times New Roman"/>
          <w:sz w:val="24"/>
          <w:szCs w:val="24"/>
        </w:rPr>
        <w:t xml:space="preserve"> for studying </w:t>
      </w:r>
      <w:r w:rsidR="00EF32FF">
        <w:rPr>
          <w:rFonts w:ascii="Times New Roman" w:hAnsi="Times New Roman"/>
          <w:sz w:val="24"/>
          <w:szCs w:val="24"/>
        </w:rPr>
        <w:t xml:space="preserve">the </w:t>
      </w:r>
      <w:r w:rsidRPr="007675F7">
        <w:rPr>
          <w:rFonts w:ascii="Times New Roman" w:hAnsi="Times New Roman"/>
          <w:sz w:val="24"/>
          <w:szCs w:val="24"/>
        </w:rPr>
        <w:t>effects of various stressors (e.g. highly variable salinity, temperature, turbidity, high organic matter and nutrient concentrat</w:t>
      </w:r>
      <w:r w:rsidR="00EF32FF">
        <w:rPr>
          <w:rFonts w:ascii="Times New Roman" w:hAnsi="Times New Roman"/>
          <w:sz w:val="24"/>
          <w:szCs w:val="24"/>
        </w:rPr>
        <w:t>ions, heavy metals) the majority</w:t>
      </w:r>
      <w:r w:rsidRPr="007675F7">
        <w:rPr>
          <w:rFonts w:ascii="Times New Roman" w:hAnsi="Times New Roman"/>
          <w:sz w:val="24"/>
          <w:szCs w:val="24"/>
        </w:rPr>
        <w:t xml:space="preserve"> of studies </w:t>
      </w:r>
      <w:r w:rsidR="00EF32FF">
        <w:rPr>
          <w:rFonts w:ascii="Times New Roman" w:hAnsi="Times New Roman"/>
          <w:sz w:val="24"/>
          <w:szCs w:val="24"/>
        </w:rPr>
        <w:t xml:space="preserve">to date have </w:t>
      </w:r>
      <w:r w:rsidRPr="007675F7">
        <w:rPr>
          <w:rFonts w:ascii="Times New Roman" w:hAnsi="Times New Roman"/>
          <w:sz w:val="24"/>
          <w:szCs w:val="24"/>
        </w:rPr>
        <w:t>focused on benthic organisms (</w:t>
      </w:r>
      <w:r w:rsidR="0029744F">
        <w:rPr>
          <w:rFonts w:ascii="Times New Roman" w:hAnsi="Times New Roman"/>
          <w:sz w:val="24"/>
          <w:szCs w:val="24"/>
        </w:rPr>
        <w:t>Hopkinson et al.</w:t>
      </w:r>
      <w:r w:rsidR="005C7583">
        <w:rPr>
          <w:rFonts w:ascii="Times New Roman" w:hAnsi="Times New Roman"/>
          <w:sz w:val="24"/>
          <w:szCs w:val="24"/>
        </w:rPr>
        <w:t>,</w:t>
      </w:r>
      <w:r w:rsidR="0029744F">
        <w:rPr>
          <w:rFonts w:ascii="Times New Roman" w:hAnsi="Times New Roman"/>
          <w:sz w:val="24"/>
          <w:szCs w:val="24"/>
        </w:rPr>
        <w:t xml:space="preserve"> </w:t>
      </w:r>
      <w:r w:rsidR="00C2415F">
        <w:rPr>
          <w:rFonts w:ascii="Times New Roman" w:hAnsi="Times New Roman"/>
          <w:sz w:val="24"/>
          <w:szCs w:val="24"/>
        </w:rPr>
        <w:t>1999;</w:t>
      </w:r>
      <w:r w:rsidR="0029744F">
        <w:rPr>
          <w:rFonts w:ascii="Times New Roman" w:hAnsi="Times New Roman"/>
          <w:sz w:val="24"/>
          <w:szCs w:val="24"/>
        </w:rPr>
        <w:t xml:space="preserve"> </w:t>
      </w:r>
      <w:r w:rsidR="00781B56">
        <w:rPr>
          <w:rFonts w:ascii="Times New Roman" w:hAnsi="Times New Roman"/>
          <w:sz w:val="24"/>
          <w:szCs w:val="24"/>
        </w:rPr>
        <w:t>Morrisey et al.</w:t>
      </w:r>
      <w:r w:rsidR="00C2415F">
        <w:rPr>
          <w:rFonts w:ascii="Times New Roman" w:hAnsi="Times New Roman"/>
          <w:sz w:val="24"/>
          <w:szCs w:val="24"/>
        </w:rPr>
        <w:t>,</w:t>
      </w:r>
      <w:r w:rsidR="00781B56">
        <w:rPr>
          <w:rFonts w:ascii="Times New Roman" w:hAnsi="Times New Roman"/>
          <w:sz w:val="24"/>
          <w:szCs w:val="24"/>
        </w:rPr>
        <w:t xml:space="preserve"> </w:t>
      </w:r>
      <w:r w:rsidR="00C2415F">
        <w:rPr>
          <w:rFonts w:ascii="Times New Roman" w:hAnsi="Times New Roman"/>
          <w:sz w:val="24"/>
          <w:szCs w:val="24"/>
        </w:rPr>
        <w:t>2003;</w:t>
      </w:r>
      <w:r w:rsidR="00781B56">
        <w:rPr>
          <w:rFonts w:ascii="Times New Roman" w:hAnsi="Times New Roman"/>
          <w:sz w:val="24"/>
          <w:szCs w:val="24"/>
        </w:rPr>
        <w:t xml:space="preserve"> Alfaro</w:t>
      </w:r>
      <w:r w:rsidR="00C2415F">
        <w:rPr>
          <w:rFonts w:ascii="Times New Roman" w:hAnsi="Times New Roman"/>
          <w:sz w:val="24"/>
          <w:szCs w:val="24"/>
        </w:rPr>
        <w:t>, 2006;</w:t>
      </w:r>
      <w:r w:rsidR="00781B56">
        <w:rPr>
          <w:rFonts w:ascii="Times New Roman" w:hAnsi="Times New Roman"/>
          <w:sz w:val="24"/>
          <w:szCs w:val="24"/>
        </w:rPr>
        <w:t xml:space="preserve"> </w:t>
      </w:r>
      <w:r w:rsidR="00C2415F">
        <w:rPr>
          <w:rFonts w:ascii="Times New Roman" w:hAnsi="Times New Roman"/>
          <w:sz w:val="24"/>
          <w:szCs w:val="24"/>
        </w:rPr>
        <w:t>Widdicombe and</w:t>
      </w:r>
      <w:r w:rsidR="0029744F">
        <w:rPr>
          <w:rFonts w:ascii="Times New Roman" w:hAnsi="Times New Roman"/>
          <w:sz w:val="24"/>
          <w:szCs w:val="24"/>
        </w:rPr>
        <w:t xml:space="preserve"> Spicer</w:t>
      </w:r>
      <w:r w:rsidR="00C2415F">
        <w:rPr>
          <w:rFonts w:ascii="Times New Roman" w:hAnsi="Times New Roman"/>
          <w:sz w:val="24"/>
          <w:szCs w:val="24"/>
        </w:rPr>
        <w:t>, 2008;</w:t>
      </w:r>
      <w:r w:rsidR="0029744F">
        <w:rPr>
          <w:rFonts w:ascii="Times New Roman" w:hAnsi="Times New Roman"/>
          <w:sz w:val="24"/>
          <w:szCs w:val="24"/>
        </w:rPr>
        <w:t xml:space="preserve"> Miller et al.</w:t>
      </w:r>
      <w:r w:rsidR="00C2415F">
        <w:rPr>
          <w:rFonts w:ascii="Times New Roman" w:hAnsi="Times New Roman"/>
          <w:sz w:val="24"/>
          <w:szCs w:val="24"/>
        </w:rPr>
        <w:t>,</w:t>
      </w:r>
      <w:r w:rsidR="0029744F">
        <w:rPr>
          <w:rFonts w:ascii="Times New Roman" w:hAnsi="Times New Roman"/>
          <w:sz w:val="24"/>
          <w:szCs w:val="24"/>
        </w:rPr>
        <w:t xml:space="preserve"> </w:t>
      </w:r>
      <w:r w:rsidR="00C2415F">
        <w:rPr>
          <w:rFonts w:ascii="Times New Roman" w:hAnsi="Times New Roman"/>
          <w:sz w:val="24"/>
          <w:szCs w:val="24"/>
        </w:rPr>
        <w:t>2009;</w:t>
      </w:r>
      <w:r w:rsidR="0029744F">
        <w:rPr>
          <w:rFonts w:ascii="Times New Roman" w:hAnsi="Times New Roman"/>
          <w:sz w:val="24"/>
          <w:szCs w:val="24"/>
        </w:rPr>
        <w:t xml:space="preserve"> </w:t>
      </w:r>
      <w:r w:rsidR="00C2415F">
        <w:rPr>
          <w:rFonts w:ascii="Times New Roman" w:hAnsi="Times New Roman"/>
          <w:sz w:val="24"/>
          <w:szCs w:val="24"/>
        </w:rPr>
        <w:t>Green and</w:t>
      </w:r>
      <w:r w:rsidR="00445621">
        <w:rPr>
          <w:rFonts w:ascii="Times New Roman" w:hAnsi="Times New Roman"/>
          <w:sz w:val="24"/>
          <w:szCs w:val="24"/>
        </w:rPr>
        <w:t xml:space="preserve"> Barnes</w:t>
      </w:r>
      <w:r w:rsidR="00C2415F">
        <w:rPr>
          <w:rFonts w:ascii="Times New Roman" w:hAnsi="Times New Roman"/>
          <w:sz w:val="24"/>
          <w:szCs w:val="24"/>
        </w:rPr>
        <w:t>, 2010;</w:t>
      </w:r>
      <w:r w:rsidR="00445621">
        <w:rPr>
          <w:rFonts w:ascii="Times New Roman" w:hAnsi="Times New Roman"/>
          <w:sz w:val="24"/>
          <w:szCs w:val="24"/>
        </w:rPr>
        <w:t xml:space="preserve"> </w:t>
      </w:r>
      <w:r w:rsidRPr="007675F7">
        <w:rPr>
          <w:rFonts w:ascii="Times New Roman" w:hAnsi="Times New Roman"/>
          <w:sz w:val="24"/>
          <w:szCs w:val="24"/>
        </w:rPr>
        <w:t>Majewska et al.</w:t>
      </w:r>
      <w:r w:rsidR="00C2415F">
        <w:rPr>
          <w:rFonts w:ascii="Times New Roman" w:hAnsi="Times New Roman"/>
          <w:sz w:val="24"/>
          <w:szCs w:val="24"/>
        </w:rPr>
        <w:t>,</w:t>
      </w:r>
      <w:r w:rsidRPr="007675F7">
        <w:rPr>
          <w:rFonts w:ascii="Times New Roman" w:hAnsi="Times New Roman"/>
          <w:sz w:val="24"/>
          <w:szCs w:val="24"/>
        </w:rPr>
        <w:t xml:space="preserve"> 2012</w:t>
      </w:r>
      <w:r w:rsidR="00C2415F">
        <w:rPr>
          <w:rFonts w:ascii="Times New Roman" w:hAnsi="Times New Roman"/>
          <w:sz w:val="24"/>
          <w:szCs w:val="24"/>
        </w:rPr>
        <w:t>; Hossain and</w:t>
      </w:r>
      <w:r w:rsidR="0062708D">
        <w:rPr>
          <w:rFonts w:ascii="Times New Roman" w:hAnsi="Times New Roman"/>
          <w:sz w:val="24"/>
          <w:szCs w:val="24"/>
        </w:rPr>
        <w:t xml:space="preserve"> Marshall</w:t>
      </w:r>
      <w:r w:rsidR="00C2415F">
        <w:rPr>
          <w:rFonts w:ascii="Times New Roman" w:hAnsi="Times New Roman"/>
          <w:sz w:val="24"/>
          <w:szCs w:val="24"/>
        </w:rPr>
        <w:t>,</w:t>
      </w:r>
      <w:r w:rsidR="0062708D">
        <w:rPr>
          <w:rFonts w:ascii="Times New Roman" w:hAnsi="Times New Roman"/>
          <w:sz w:val="24"/>
          <w:szCs w:val="24"/>
        </w:rPr>
        <w:t xml:space="preserve"> 2014</w:t>
      </w:r>
      <w:r w:rsidR="00EF32FF">
        <w:rPr>
          <w:rFonts w:ascii="Times New Roman" w:hAnsi="Times New Roman"/>
          <w:sz w:val="24"/>
          <w:szCs w:val="24"/>
        </w:rPr>
        <w:t>). In contrast, knowledge of</w:t>
      </w:r>
      <w:r w:rsidRPr="007675F7">
        <w:rPr>
          <w:rFonts w:ascii="Times New Roman" w:hAnsi="Times New Roman"/>
          <w:sz w:val="24"/>
          <w:szCs w:val="24"/>
        </w:rPr>
        <w:t xml:space="preserve"> estuarine phytoplankt</w:t>
      </w:r>
      <w:r w:rsidR="00EF32FF">
        <w:rPr>
          <w:rFonts w:ascii="Times New Roman" w:hAnsi="Times New Roman"/>
          <w:sz w:val="24"/>
          <w:szCs w:val="24"/>
        </w:rPr>
        <w:t>on communities is poor</w:t>
      </w:r>
      <w:r w:rsidRPr="007675F7">
        <w:rPr>
          <w:rFonts w:ascii="Times New Roman" w:hAnsi="Times New Roman"/>
          <w:sz w:val="24"/>
          <w:szCs w:val="24"/>
        </w:rPr>
        <w:t xml:space="preserve"> and largely incomplete, especia</w:t>
      </w:r>
      <w:r w:rsidR="00EF32FF">
        <w:rPr>
          <w:rFonts w:ascii="Times New Roman" w:hAnsi="Times New Roman"/>
          <w:sz w:val="24"/>
          <w:szCs w:val="24"/>
        </w:rPr>
        <w:t>lly in</w:t>
      </w:r>
      <w:r w:rsidR="00FC769F">
        <w:rPr>
          <w:rFonts w:ascii="Times New Roman" w:hAnsi="Times New Roman"/>
          <w:sz w:val="24"/>
          <w:szCs w:val="24"/>
        </w:rPr>
        <w:t xml:space="preserve"> tropical regions</w:t>
      </w:r>
      <w:r w:rsidRPr="007675F7">
        <w:rPr>
          <w:rFonts w:ascii="Times New Roman" w:hAnsi="Times New Roman"/>
          <w:sz w:val="24"/>
          <w:szCs w:val="24"/>
        </w:rPr>
        <w:t>.</w:t>
      </w:r>
    </w:p>
    <w:p w:rsidR="00426C5D" w:rsidRPr="007675F7" w:rsidRDefault="00EF32FF" w:rsidP="00426C5D">
      <w:pPr>
        <w:spacing w:after="0" w:line="480" w:lineRule="auto"/>
        <w:jc w:val="both"/>
        <w:rPr>
          <w:rFonts w:ascii="Times New Roman" w:hAnsi="Times New Roman"/>
          <w:sz w:val="24"/>
          <w:szCs w:val="24"/>
        </w:rPr>
      </w:pPr>
      <w:r>
        <w:rPr>
          <w:rFonts w:ascii="Times New Roman" w:hAnsi="Times New Roman"/>
          <w:sz w:val="24"/>
          <w:szCs w:val="24"/>
        </w:rPr>
        <w:lastRenderedPageBreak/>
        <w:tab/>
      </w:r>
      <w:r w:rsidR="00FA371B">
        <w:rPr>
          <w:rFonts w:ascii="Times New Roman" w:hAnsi="Times New Roman"/>
          <w:sz w:val="24"/>
          <w:szCs w:val="24"/>
        </w:rPr>
        <w:t xml:space="preserve">Given heightened concerns about the ecological consequences of </w:t>
      </w:r>
      <w:r w:rsidR="00C9509D">
        <w:rPr>
          <w:rFonts w:ascii="Times New Roman" w:hAnsi="Times New Roman"/>
          <w:sz w:val="24"/>
          <w:szCs w:val="24"/>
        </w:rPr>
        <w:t xml:space="preserve">increase in </w:t>
      </w:r>
      <w:r w:rsidR="00FA371B">
        <w:rPr>
          <w:rFonts w:ascii="Times New Roman" w:hAnsi="Times New Roman"/>
          <w:sz w:val="24"/>
          <w:szCs w:val="24"/>
        </w:rPr>
        <w:t>global atmospheric CO</w:t>
      </w:r>
      <w:r w:rsidR="00FA371B" w:rsidRPr="004A00C1">
        <w:rPr>
          <w:rFonts w:ascii="Times New Roman" w:hAnsi="Times New Roman"/>
          <w:sz w:val="24"/>
          <w:szCs w:val="24"/>
          <w:vertAlign w:val="subscript"/>
        </w:rPr>
        <w:t>2</w:t>
      </w:r>
      <w:r w:rsidR="00FA371B">
        <w:rPr>
          <w:rFonts w:ascii="Times New Roman" w:hAnsi="Times New Roman"/>
          <w:sz w:val="24"/>
          <w:szCs w:val="24"/>
        </w:rPr>
        <w:t xml:space="preserve"> </w:t>
      </w:r>
      <w:r w:rsidR="00C9509D">
        <w:rPr>
          <w:rFonts w:ascii="Times New Roman" w:hAnsi="Times New Roman"/>
          <w:sz w:val="24"/>
          <w:szCs w:val="24"/>
        </w:rPr>
        <w:t>concentration</w:t>
      </w:r>
      <w:r w:rsidR="00FA371B">
        <w:rPr>
          <w:rFonts w:ascii="Times New Roman" w:hAnsi="Times New Roman"/>
          <w:sz w:val="24"/>
          <w:szCs w:val="24"/>
        </w:rPr>
        <w:t xml:space="preserve">, it is remarkable that </w:t>
      </w:r>
      <w:r w:rsidR="00C9509D">
        <w:rPr>
          <w:rFonts w:ascii="Times New Roman" w:hAnsi="Times New Roman"/>
          <w:sz w:val="24"/>
          <w:szCs w:val="24"/>
        </w:rPr>
        <w:t>to date</w:t>
      </w:r>
      <w:r w:rsidR="00FA371B">
        <w:rPr>
          <w:rFonts w:ascii="Times New Roman" w:hAnsi="Times New Roman"/>
          <w:sz w:val="24"/>
          <w:szCs w:val="24"/>
        </w:rPr>
        <w:t xml:space="preserve"> little consideration has been given to estuarine acidification and ecological responses </w:t>
      </w:r>
      <w:r w:rsidR="00C9509D">
        <w:rPr>
          <w:rFonts w:ascii="Times New Roman" w:hAnsi="Times New Roman"/>
          <w:sz w:val="24"/>
          <w:szCs w:val="24"/>
        </w:rPr>
        <w:t>thereto</w:t>
      </w:r>
      <w:r w:rsidR="00FA371B">
        <w:rPr>
          <w:rFonts w:ascii="Times New Roman" w:hAnsi="Times New Roman"/>
          <w:sz w:val="24"/>
          <w:szCs w:val="24"/>
        </w:rPr>
        <w:t xml:space="preserve">. </w:t>
      </w:r>
      <w:r w:rsidR="00FA371B" w:rsidRPr="007675F7">
        <w:rPr>
          <w:rFonts w:ascii="Times New Roman" w:hAnsi="Times New Roman"/>
          <w:sz w:val="24"/>
          <w:szCs w:val="24"/>
        </w:rPr>
        <w:t xml:space="preserve">Various hydrographic surveys, time series data and models </w:t>
      </w:r>
      <w:r w:rsidR="00FA371B">
        <w:rPr>
          <w:rFonts w:ascii="Times New Roman" w:hAnsi="Times New Roman"/>
          <w:sz w:val="24"/>
          <w:szCs w:val="24"/>
        </w:rPr>
        <w:t xml:space="preserve">for open seas </w:t>
      </w:r>
      <w:r w:rsidR="00FA371B" w:rsidRPr="007675F7">
        <w:rPr>
          <w:rFonts w:ascii="Times New Roman" w:hAnsi="Times New Roman"/>
          <w:sz w:val="24"/>
          <w:szCs w:val="24"/>
        </w:rPr>
        <w:t>indicate clearly that absorption of anthropogenic CO</w:t>
      </w:r>
      <w:r w:rsidR="00FA371B" w:rsidRPr="007675F7">
        <w:rPr>
          <w:rFonts w:ascii="Times New Roman" w:hAnsi="Times New Roman"/>
          <w:sz w:val="24"/>
          <w:szCs w:val="24"/>
          <w:vertAlign w:val="subscript"/>
        </w:rPr>
        <w:t>2</w:t>
      </w:r>
      <w:r w:rsidR="00FA371B" w:rsidRPr="007675F7">
        <w:rPr>
          <w:rFonts w:ascii="Times New Roman" w:hAnsi="Times New Roman"/>
          <w:sz w:val="24"/>
          <w:szCs w:val="24"/>
        </w:rPr>
        <w:t xml:space="preserve"> </w:t>
      </w:r>
      <w:r w:rsidR="00C9509D">
        <w:rPr>
          <w:rFonts w:ascii="Times New Roman" w:hAnsi="Times New Roman"/>
          <w:sz w:val="24"/>
          <w:szCs w:val="24"/>
        </w:rPr>
        <w:t>across</w:t>
      </w:r>
      <w:r w:rsidR="00C9509D" w:rsidRPr="007675F7">
        <w:rPr>
          <w:rFonts w:ascii="Times New Roman" w:hAnsi="Times New Roman"/>
          <w:sz w:val="24"/>
          <w:szCs w:val="24"/>
        </w:rPr>
        <w:t xml:space="preserve"> </w:t>
      </w:r>
      <w:r w:rsidR="00FA371B" w:rsidRPr="007675F7">
        <w:rPr>
          <w:rFonts w:ascii="Times New Roman" w:hAnsi="Times New Roman"/>
          <w:sz w:val="24"/>
          <w:szCs w:val="24"/>
        </w:rPr>
        <w:t>the ocean surface is, and will be, followed by decrease of seawater pH (</w:t>
      </w:r>
      <w:r w:rsidR="00FA371B">
        <w:rPr>
          <w:rFonts w:ascii="Times New Roman" w:hAnsi="Times New Roman"/>
          <w:sz w:val="24"/>
          <w:szCs w:val="24"/>
        </w:rPr>
        <w:t xml:space="preserve">Caldeira and Wickett, 2003; </w:t>
      </w:r>
      <w:r w:rsidR="00FA371B" w:rsidRPr="007675F7">
        <w:rPr>
          <w:rFonts w:ascii="Times New Roman" w:hAnsi="Times New Roman"/>
          <w:sz w:val="24"/>
          <w:szCs w:val="24"/>
        </w:rPr>
        <w:t>Orr et al., 2005; Widdicombe and Spicer, 2008; Fabry et al., 2008; Martin et al., 2008</w:t>
      </w:r>
      <w:r w:rsidR="00FA371B">
        <w:rPr>
          <w:rFonts w:ascii="Times New Roman" w:hAnsi="Times New Roman"/>
          <w:sz w:val="24"/>
          <w:szCs w:val="24"/>
        </w:rPr>
        <w:t>; Duarte et al., 2013</w:t>
      </w:r>
      <w:r w:rsidR="00FA371B" w:rsidRPr="007675F7">
        <w:rPr>
          <w:rFonts w:ascii="Times New Roman" w:hAnsi="Times New Roman"/>
          <w:sz w:val="24"/>
          <w:szCs w:val="24"/>
        </w:rPr>
        <w:t xml:space="preserve">). </w:t>
      </w:r>
      <w:r w:rsidR="00FA371B">
        <w:rPr>
          <w:rFonts w:ascii="Times New Roman" w:hAnsi="Times New Roman"/>
          <w:sz w:val="24"/>
          <w:szCs w:val="24"/>
        </w:rPr>
        <w:t>In contrast, the carbonate system of many estuaries is characterized by supersaturated water pCO</w:t>
      </w:r>
      <w:r w:rsidR="00A85A51" w:rsidRPr="00A85A51">
        <w:rPr>
          <w:rFonts w:ascii="Times New Roman" w:hAnsi="Times New Roman"/>
          <w:sz w:val="24"/>
          <w:szCs w:val="24"/>
          <w:vertAlign w:val="subscript"/>
        </w:rPr>
        <w:t>2</w:t>
      </w:r>
      <w:r w:rsidR="00FA371B">
        <w:rPr>
          <w:rFonts w:ascii="Times New Roman" w:hAnsi="Times New Roman"/>
          <w:sz w:val="24"/>
          <w:szCs w:val="24"/>
        </w:rPr>
        <w:t xml:space="preserve"> levels at highest reaches, derived from natural heterotrophic microbial decomposition, such that these estuaries are sources rather than sinks for atmospheric CO</w:t>
      </w:r>
      <w:r w:rsidR="00FA371B" w:rsidRPr="004A00C1">
        <w:rPr>
          <w:rFonts w:ascii="Times New Roman" w:hAnsi="Times New Roman"/>
          <w:sz w:val="24"/>
          <w:szCs w:val="24"/>
          <w:vertAlign w:val="subscript"/>
        </w:rPr>
        <w:t>2</w:t>
      </w:r>
      <w:r w:rsidR="007A6408">
        <w:rPr>
          <w:rFonts w:ascii="Times New Roman" w:hAnsi="Times New Roman"/>
          <w:sz w:val="24"/>
          <w:szCs w:val="24"/>
        </w:rPr>
        <w:t xml:space="preserve"> (Raymond et al., 2000</w:t>
      </w:r>
      <w:r w:rsidR="0082480B">
        <w:rPr>
          <w:rFonts w:ascii="Times New Roman" w:hAnsi="Times New Roman"/>
          <w:sz w:val="24"/>
          <w:szCs w:val="24"/>
        </w:rPr>
        <w:t>; Sarma et al., 2001</w:t>
      </w:r>
      <w:r w:rsidR="00143C82">
        <w:rPr>
          <w:rFonts w:ascii="Times New Roman" w:hAnsi="Times New Roman"/>
          <w:sz w:val="24"/>
          <w:szCs w:val="24"/>
        </w:rPr>
        <w:t xml:space="preserve">; </w:t>
      </w:r>
      <w:r w:rsidR="00143C82" w:rsidRPr="00143C82">
        <w:rPr>
          <w:rFonts w:ascii="Times New Roman" w:hAnsi="Times New Roman"/>
          <w:sz w:val="24"/>
          <w:szCs w:val="24"/>
        </w:rPr>
        <w:t>Thottathil</w:t>
      </w:r>
      <w:r w:rsidR="00143C82">
        <w:rPr>
          <w:rFonts w:ascii="Times New Roman" w:hAnsi="Times New Roman"/>
          <w:sz w:val="24"/>
          <w:szCs w:val="24"/>
        </w:rPr>
        <w:t xml:space="preserve"> et al., 2008</w:t>
      </w:r>
      <w:r w:rsidR="00FA371B">
        <w:rPr>
          <w:rFonts w:ascii="Times New Roman" w:hAnsi="Times New Roman"/>
          <w:sz w:val="24"/>
          <w:szCs w:val="24"/>
        </w:rPr>
        <w:t>). Additionally, in many regions</w:t>
      </w:r>
      <w:r w:rsidR="00C9509D">
        <w:rPr>
          <w:rFonts w:ascii="Times New Roman" w:hAnsi="Times New Roman"/>
          <w:sz w:val="24"/>
          <w:szCs w:val="24"/>
        </w:rPr>
        <w:t xml:space="preserve"> across the globe,</w:t>
      </w:r>
      <w:r w:rsidR="00FA371B">
        <w:rPr>
          <w:rFonts w:ascii="Times New Roman" w:hAnsi="Times New Roman"/>
          <w:sz w:val="24"/>
          <w:szCs w:val="24"/>
        </w:rPr>
        <w:t xml:space="preserve"> particular geological formation</w:t>
      </w:r>
      <w:r w:rsidR="00C9509D">
        <w:rPr>
          <w:rFonts w:ascii="Times New Roman" w:hAnsi="Times New Roman"/>
          <w:sz w:val="24"/>
          <w:szCs w:val="24"/>
        </w:rPr>
        <w:t>s</w:t>
      </w:r>
      <w:r w:rsidR="00FA371B">
        <w:rPr>
          <w:rFonts w:ascii="Times New Roman" w:hAnsi="Times New Roman"/>
          <w:sz w:val="24"/>
          <w:szCs w:val="24"/>
        </w:rPr>
        <w:t xml:space="preserve"> result in acid (iron) sulphate soils, and consequently in highly acidic freshwater runoff from these soils (</w:t>
      </w:r>
      <w:r w:rsidR="00FA371B" w:rsidRPr="007675F7">
        <w:rPr>
          <w:rFonts w:ascii="Times New Roman" w:hAnsi="Times New Roman"/>
          <w:sz w:val="24"/>
          <w:szCs w:val="24"/>
        </w:rPr>
        <w:t>Cook et al., 2000; Marshall et al.</w:t>
      </w:r>
      <w:r w:rsidR="00FA371B">
        <w:rPr>
          <w:rFonts w:ascii="Times New Roman" w:hAnsi="Times New Roman"/>
          <w:sz w:val="24"/>
          <w:szCs w:val="24"/>
        </w:rPr>
        <w:t>,</w:t>
      </w:r>
      <w:r w:rsidR="00FA371B" w:rsidRPr="007675F7">
        <w:rPr>
          <w:rFonts w:ascii="Times New Roman" w:hAnsi="Times New Roman"/>
          <w:sz w:val="24"/>
          <w:szCs w:val="24"/>
        </w:rPr>
        <w:t xml:space="preserve"> 2008;</w:t>
      </w:r>
      <w:r w:rsidR="00FA371B" w:rsidRPr="007675F7">
        <w:rPr>
          <w:rFonts w:ascii="Times New Roman" w:hAnsi="Times New Roman"/>
          <w:sz w:val="24"/>
          <w:szCs w:val="24"/>
          <w:lang w:val="en-MY"/>
        </w:rPr>
        <w:t xml:space="preserve"> Grealish and Fitzpatrick</w:t>
      </w:r>
      <w:r w:rsidR="00FA371B">
        <w:rPr>
          <w:rFonts w:ascii="Times New Roman" w:hAnsi="Times New Roman"/>
          <w:sz w:val="24"/>
          <w:szCs w:val="24"/>
          <w:lang w:val="en-MY"/>
        </w:rPr>
        <w:t>,</w:t>
      </w:r>
      <w:r w:rsidR="00FA371B" w:rsidRPr="007675F7">
        <w:rPr>
          <w:rFonts w:ascii="Times New Roman" w:hAnsi="Times New Roman"/>
          <w:sz w:val="24"/>
          <w:szCs w:val="24"/>
          <w:lang w:val="en-MY"/>
        </w:rPr>
        <w:t xml:space="preserve"> 2013</w:t>
      </w:r>
      <w:r w:rsidR="00FA371B" w:rsidRPr="007675F7">
        <w:rPr>
          <w:rFonts w:ascii="Times New Roman" w:hAnsi="Times New Roman"/>
          <w:sz w:val="24"/>
          <w:szCs w:val="24"/>
        </w:rPr>
        <w:t>)</w:t>
      </w:r>
      <w:r w:rsidR="00FA371B">
        <w:rPr>
          <w:rFonts w:ascii="Times New Roman" w:hAnsi="Times New Roman"/>
          <w:sz w:val="24"/>
          <w:szCs w:val="24"/>
        </w:rPr>
        <w:t>. D</w:t>
      </w:r>
      <w:r w:rsidR="00FA371B" w:rsidRPr="007675F7">
        <w:rPr>
          <w:rFonts w:ascii="Times New Roman" w:hAnsi="Times New Roman"/>
          <w:sz w:val="24"/>
          <w:szCs w:val="24"/>
        </w:rPr>
        <w:t>issociation products of strong acids (HNO</w:t>
      </w:r>
      <w:r w:rsidR="00FA371B" w:rsidRPr="007675F7">
        <w:rPr>
          <w:rFonts w:ascii="Times New Roman" w:hAnsi="Times New Roman"/>
          <w:sz w:val="24"/>
          <w:szCs w:val="24"/>
          <w:vertAlign w:val="subscript"/>
        </w:rPr>
        <w:t>3</w:t>
      </w:r>
      <w:r w:rsidR="00FA371B" w:rsidRPr="007675F7">
        <w:rPr>
          <w:rFonts w:ascii="Times New Roman" w:hAnsi="Times New Roman"/>
          <w:sz w:val="24"/>
          <w:szCs w:val="24"/>
        </w:rPr>
        <w:t xml:space="preserve"> and H</w:t>
      </w:r>
      <w:r w:rsidR="00FA371B" w:rsidRPr="007675F7">
        <w:rPr>
          <w:rFonts w:ascii="Times New Roman" w:hAnsi="Times New Roman"/>
          <w:sz w:val="24"/>
          <w:szCs w:val="24"/>
          <w:vertAlign w:val="subscript"/>
        </w:rPr>
        <w:t>2</w:t>
      </w:r>
      <w:r w:rsidR="00FA371B" w:rsidRPr="007675F7">
        <w:rPr>
          <w:rFonts w:ascii="Times New Roman" w:hAnsi="Times New Roman"/>
          <w:sz w:val="24"/>
          <w:szCs w:val="24"/>
        </w:rPr>
        <w:t>SO</w:t>
      </w:r>
      <w:r w:rsidR="00FA371B" w:rsidRPr="007675F7">
        <w:rPr>
          <w:rFonts w:ascii="Times New Roman" w:hAnsi="Times New Roman"/>
          <w:sz w:val="24"/>
          <w:szCs w:val="24"/>
          <w:vertAlign w:val="subscript"/>
        </w:rPr>
        <w:t>4</w:t>
      </w:r>
      <w:r w:rsidR="00FA371B" w:rsidRPr="007675F7">
        <w:rPr>
          <w:rFonts w:ascii="Times New Roman" w:hAnsi="Times New Roman"/>
          <w:sz w:val="24"/>
          <w:szCs w:val="24"/>
        </w:rPr>
        <w:t xml:space="preserve">) </w:t>
      </w:r>
      <w:r w:rsidR="00C9509D">
        <w:rPr>
          <w:rFonts w:ascii="Times New Roman" w:hAnsi="Times New Roman"/>
          <w:sz w:val="24"/>
          <w:szCs w:val="24"/>
        </w:rPr>
        <w:t xml:space="preserve">are </w:t>
      </w:r>
      <w:r w:rsidR="00FA371B" w:rsidRPr="007675F7">
        <w:rPr>
          <w:rFonts w:ascii="Times New Roman" w:hAnsi="Times New Roman"/>
          <w:sz w:val="24"/>
          <w:szCs w:val="24"/>
        </w:rPr>
        <w:t>a</w:t>
      </w:r>
      <w:r w:rsidR="00FA371B">
        <w:rPr>
          <w:rFonts w:ascii="Times New Roman" w:hAnsi="Times New Roman"/>
          <w:sz w:val="24"/>
          <w:szCs w:val="24"/>
        </w:rPr>
        <w:t xml:space="preserve">lso </w:t>
      </w:r>
      <w:r w:rsidR="00C9509D">
        <w:rPr>
          <w:rFonts w:ascii="Times New Roman" w:hAnsi="Times New Roman"/>
          <w:sz w:val="24"/>
          <w:szCs w:val="24"/>
        </w:rPr>
        <w:t>derived from</w:t>
      </w:r>
      <w:r w:rsidR="00FA371B">
        <w:rPr>
          <w:rFonts w:ascii="Times New Roman" w:hAnsi="Times New Roman"/>
          <w:sz w:val="24"/>
          <w:szCs w:val="24"/>
        </w:rPr>
        <w:t xml:space="preserve"> from </w:t>
      </w:r>
      <w:r w:rsidR="00FA371B" w:rsidRPr="007675F7">
        <w:rPr>
          <w:rFonts w:ascii="Times New Roman" w:hAnsi="Times New Roman"/>
          <w:sz w:val="24"/>
          <w:szCs w:val="24"/>
        </w:rPr>
        <w:t>industry and agriculture</w:t>
      </w:r>
      <w:r w:rsidR="00C9509D">
        <w:rPr>
          <w:rFonts w:ascii="Times New Roman" w:hAnsi="Times New Roman"/>
          <w:sz w:val="24"/>
          <w:szCs w:val="24"/>
        </w:rPr>
        <w:t xml:space="preserve"> and further contribute to acidification</w:t>
      </w:r>
      <w:r w:rsidR="00FA371B">
        <w:rPr>
          <w:rFonts w:ascii="Times New Roman" w:hAnsi="Times New Roman"/>
          <w:sz w:val="24"/>
          <w:szCs w:val="24"/>
        </w:rPr>
        <w:t>.</w:t>
      </w:r>
      <w:r w:rsidR="00426C5D" w:rsidRPr="007675F7">
        <w:rPr>
          <w:rFonts w:ascii="Times New Roman" w:hAnsi="Times New Roman"/>
          <w:sz w:val="24"/>
          <w:szCs w:val="24"/>
        </w:rPr>
        <w:t xml:space="preserve"> </w:t>
      </w:r>
      <w:r w:rsidR="00FA371B" w:rsidRPr="007675F7">
        <w:rPr>
          <w:rFonts w:ascii="Times New Roman" w:hAnsi="Times New Roman"/>
          <w:sz w:val="24"/>
          <w:szCs w:val="24"/>
        </w:rPr>
        <w:t xml:space="preserve">Although, on </w:t>
      </w:r>
      <w:r w:rsidR="00C9509D">
        <w:rPr>
          <w:rFonts w:ascii="Times New Roman" w:hAnsi="Times New Roman"/>
          <w:sz w:val="24"/>
          <w:szCs w:val="24"/>
        </w:rPr>
        <w:t xml:space="preserve">a </w:t>
      </w:r>
      <w:r w:rsidR="00FA371B" w:rsidRPr="007675F7">
        <w:rPr>
          <w:rFonts w:ascii="Times New Roman" w:hAnsi="Times New Roman"/>
          <w:sz w:val="24"/>
          <w:szCs w:val="24"/>
        </w:rPr>
        <w:t xml:space="preserve">global scale, the contribution </w:t>
      </w:r>
      <w:r w:rsidR="00FA371B">
        <w:rPr>
          <w:rFonts w:ascii="Times New Roman" w:hAnsi="Times New Roman"/>
          <w:sz w:val="24"/>
          <w:szCs w:val="24"/>
        </w:rPr>
        <w:t xml:space="preserve">of such acids </w:t>
      </w:r>
      <w:r w:rsidR="00FA371B" w:rsidRPr="007675F7">
        <w:rPr>
          <w:rFonts w:ascii="Times New Roman" w:hAnsi="Times New Roman"/>
          <w:sz w:val="24"/>
          <w:szCs w:val="24"/>
        </w:rPr>
        <w:t>t</w:t>
      </w:r>
      <w:r w:rsidR="00FA371B">
        <w:rPr>
          <w:rFonts w:ascii="Times New Roman" w:hAnsi="Times New Roman"/>
          <w:sz w:val="24"/>
          <w:szCs w:val="24"/>
        </w:rPr>
        <w:t>o</w:t>
      </w:r>
      <w:r w:rsidR="00FA371B" w:rsidRPr="007675F7">
        <w:rPr>
          <w:rFonts w:ascii="Times New Roman" w:hAnsi="Times New Roman"/>
          <w:sz w:val="24"/>
          <w:szCs w:val="24"/>
        </w:rPr>
        <w:t xml:space="preserve"> anthropogenic ocean acidification </w:t>
      </w:r>
      <w:r w:rsidR="00FA371B">
        <w:rPr>
          <w:rFonts w:ascii="Times New Roman" w:hAnsi="Times New Roman"/>
          <w:sz w:val="24"/>
          <w:szCs w:val="24"/>
        </w:rPr>
        <w:t xml:space="preserve">may be minor, they </w:t>
      </w:r>
      <w:r w:rsidR="00C9509D">
        <w:rPr>
          <w:rFonts w:ascii="Times New Roman" w:hAnsi="Times New Roman"/>
          <w:sz w:val="24"/>
          <w:szCs w:val="24"/>
        </w:rPr>
        <w:t xml:space="preserve">can </w:t>
      </w:r>
      <w:r w:rsidR="00FA371B">
        <w:rPr>
          <w:rFonts w:ascii="Times New Roman" w:hAnsi="Times New Roman"/>
          <w:sz w:val="24"/>
          <w:szCs w:val="24"/>
        </w:rPr>
        <w:t>be</w:t>
      </w:r>
      <w:r w:rsidR="00C9509D">
        <w:rPr>
          <w:rFonts w:ascii="Times New Roman" w:hAnsi="Times New Roman"/>
          <w:sz w:val="24"/>
          <w:szCs w:val="24"/>
        </w:rPr>
        <w:t xml:space="preserve"> far more</w:t>
      </w:r>
      <w:r w:rsidR="00FA371B">
        <w:rPr>
          <w:rFonts w:ascii="Times New Roman" w:hAnsi="Times New Roman"/>
          <w:sz w:val="24"/>
          <w:szCs w:val="24"/>
        </w:rPr>
        <w:t xml:space="preserve"> </w:t>
      </w:r>
      <w:r w:rsidR="00FA371B" w:rsidRPr="007675F7">
        <w:rPr>
          <w:rFonts w:ascii="Times New Roman" w:hAnsi="Times New Roman"/>
          <w:sz w:val="24"/>
          <w:szCs w:val="24"/>
        </w:rPr>
        <w:t>significant in coastal waters and estuaries</w:t>
      </w:r>
      <w:r w:rsidR="00C9509D">
        <w:rPr>
          <w:rFonts w:ascii="Times New Roman" w:hAnsi="Times New Roman"/>
          <w:sz w:val="24"/>
          <w:szCs w:val="24"/>
        </w:rPr>
        <w:t>.</w:t>
      </w:r>
      <w:r w:rsidR="00FA371B">
        <w:rPr>
          <w:rFonts w:ascii="Times New Roman" w:hAnsi="Times New Roman"/>
          <w:sz w:val="24"/>
          <w:szCs w:val="24"/>
        </w:rPr>
        <w:t xml:space="preserve"> and impact local fisheries, </w:t>
      </w:r>
      <w:r w:rsidR="00FA371B" w:rsidRPr="007675F7">
        <w:rPr>
          <w:rFonts w:ascii="Times New Roman" w:hAnsi="Times New Roman"/>
          <w:sz w:val="24"/>
          <w:szCs w:val="24"/>
        </w:rPr>
        <w:t>industr</w:t>
      </w:r>
      <w:r w:rsidR="00FA371B">
        <w:rPr>
          <w:rFonts w:ascii="Times New Roman" w:hAnsi="Times New Roman"/>
          <w:sz w:val="24"/>
          <w:szCs w:val="24"/>
        </w:rPr>
        <w:t>ies, coastal centres</w:t>
      </w:r>
      <w:r w:rsidR="00426C5D" w:rsidRPr="007675F7">
        <w:rPr>
          <w:rFonts w:ascii="Times New Roman" w:hAnsi="Times New Roman"/>
          <w:sz w:val="24"/>
          <w:szCs w:val="24"/>
        </w:rPr>
        <w:t xml:space="preserve"> and</w:t>
      </w:r>
      <w:r w:rsidR="00C2415F">
        <w:rPr>
          <w:rFonts w:ascii="Times New Roman" w:hAnsi="Times New Roman"/>
          <w:sz w:val="24"/>
          <w:szCs w:val="24"/>
        </w:rPr>
        <w:t xml:space="preserve"> communities (Doney et al., 2009;</w:t>
      </w:r>
      <w:r w:rsidR="00426C5D" w:rsidRPr="007675F7">
        <w:rPr>
          <w:rFonts w:ascii="Times New Roman" w:hAnsi="Times New Roman"/>
          <w:sz w:val="24"/>
          <w:szCs w:val="24"/>
        </w:rPr>
        <w:t xml:space="preserve"> Feely et al.</w:t>
      </w:r>
      <w:r w:rsidR="00C2415F">
        <w:rPr>
          <w:rFonts w:ascii="Times New Roman" w:hAnsi="Times New Roman"/>
          <w:sz w:val="24"/>
          <w:szCs w:val="24"/>
        </w:rPr>
        <w:t>, 2010; Hu and</w:t>
      </w:r>
      <w:r w:rsidR="00426C5D" w:rsidRPr="007675F7">
        <w:rPr>
          <w:rFonts w:ascii="Times New Roman" w:hAnsi="Times New Roman"/>
          <w:sz w:val="24"/>
          <w:szCs w:val="24"/>
        </w:rPr>
        <w:t xml:space="preserve"> Cai</w:t>
      </w:r>
      <w:r w:rsidR="00C2415F">
        <w:rPr>
          <w:rFonts w:ascii="Times New Roman" w:hAnsi="Times New Roman"/>
          <w:sz w:val="24"/>
          <w:szCs w:val="24"/>
        </w:rPr>
        <w:t>,</w:t>
      </w:r>
      <w:r w:rsidR="00426C5D" w:rsidRPr="007675F7">
        <w:rPr>
          <w:rFonts w:ascii="Times New Roman" w:hAnsi="Times New Roman"/>
          <w:sz w:val="24"/>
          <w:szCs w:val="24"/>
        </w:rPr>
        <w:t xml:space="preserve"> 2013). </w:t>
      </w:r>
      <w:r w:rsidR="00FA371B">
        <w:rPr>
          <w:rFonts w:ascii="Times New Roman" w:hAnsi="Times New Roman"/>
          <w:sz w:val="24"/>
          <w:szCs w:val="24"/>
        </w:rPr>
        <w:t>Acidification in estuaries is further aggravated by l</w:t>
      </w:r>
      <w:r w:rsidR="00FA371B" w:rsidRPr="007675F7">
        <w:rPr>
          <w:rFonts w:ascii="Times New Roman" w:hAnsi="Times New Roman"/>
          <w:sz w:val="24"/>
          <w:szCs w:val="24"/>
        </w:rPr>
        <w:t>ow salinit</w:t>
      </w:r>
      <w:r w:rsidR="00C9509D">
        <w:rPr>
          <w:rFonts w:ascii="Times New Roman" w:hAnsi="Times New Roman"/>
          <w:sz w:val="24"/>
          <w:szCs w:val="24"/>
        </w:rPr>
        <w:t>y and,</w:t>
      </w:r>
      <w:r w:rsidR="00FA371B">
        <w:rPr>
          <w:rFonts w:ascii="Times New Roman" w:hAnsi="Times New Roman"/>
          <w:sz w:val="24"/>
          <w:szCs w:val="24"/>
        </w:rPr>
        <w:t xml:space="preserve"> hence</w:t>
      </w:r>
      <w:r w:rsidR="00C9509D">
        <w:rPr>
          <w:rFonts w:ascii="Times New Roman" w:hAnsi="Times New Roman"/>
          <w:sz w:val="24"/>
          <w:szCs w:val="24"/>
        </w:rPr>
        <w:t>,</w:t>
      </w:r>
      <w:r w:rsidR="00FA371B">
        <w:rPr>
          <w:rFonts w:ascii="Times New Roman" w:hAnsi="Times New Roman"/>
          <w:sz w:val="24"/>
          <w:szCs w:val="24"/>
        </w:rPr>
        <w:t xml:space="preserve"> poor </w:t>
      </w:r>
      <w:r w:rsidR="00FA371B" w:rsidRPr="007675F7">
        <w:rPr>
          <w:rFonts w:ascii="Times New Roman" w:hAnsi="Times New Roman"/>
          <w:sz w:val="24"/>
          <w:szCs w:val="24"/>
        </w:rPr>
        <w:t>buffering capabilities (Miller et al.</w:t>
      </w:r>
      <w:r w:rsidR="00FA371B">
        <w:rPr>
          <w:rFonts w:ascii="Times New Roman" w:hAnsi="Times New Roman"/>
          <w:sz w:val="24"/>
          <w:szCs w:val="24"/>
        </w:rPr>
        <w:t>,</w:t>
      </w:r>
      <w:r w:rsidR="00FA371B" w:rsidRPr="007675F7">
        <w:rPr>
          <w:rFonts w:ascii="Times New Roman" w:hAnsi="Times New Roman"/>
          <w:sz w:val="24"/>
          <w:szCs w:val="24"/>
        </w:rPr>
        <w:t xml:space="preserve"> 2009). </w:t>
      </w:r>
      <w:r w:rsidR="00FA371B">
        <w:rPr>
          <w:rFonts w:ascii="Times New Roman" w:hAnsi="Times New Roman"/>
          <w:sz w:val="24"/>
          <w:szCs w:val="24"/>
        </w:rPr>
        <w:t xml:space="preserve"> </w:t>
      </w:r>
      <w:r w:rsidR="00C9509D">
        <w:rPr>
          <w:rFonts w:ascii="Times New Roman" w:hAnsi="Times New Roman"/>
          <w:sz w:val="24"/>
          <w:szCs w:val="24"/>
        </w:rPr>
        <w:t>Futhermore</w:t>
      </w:r>
      <w:r w:rsidR="00FA371B">
        <w:rPr>
          <w:rFonts w:ascii="Times New Roman" w:hAnsi="Times New Roman"/>
          <w:sz w:val="24"/>
          <w:szCs w:val="24"/>
        </w:rPr>
        <w:t xml:space="preserve">, recent studies have linked acidification to natural and artificial </w:t>
      </w:r>
      <w:r w:rsidR="00FA371B" w:rsidRPr="007675F7">
        <w:rPr>
          <w:rFonts w:ascii="Times New Roman" w:hAnsi="Times New Roman"/>
          <w:sz w:val="24"/>
          <w:szCs w:val="24"/>
        </w:rPr>
        <w:t>eutrophication</w:t>
      </w:r>
      <w:r w:rsidR="00FA371B">
        <w:rPr>
          <w:rFonts w:ascii="Times New Roman" w:hAnsi="Times New Roman"/>
          <w:sz w:val="24"/>
          <w:szCs w:val="24"/>
        </w:rPr>
        <w:t xml:space="preserve"> through raising primary production </w:t>
      </w:r>
      <w:r w:rsidR="00FA371B" w:rsidRPr="007675F7">
        <w:rPr>
          <w:rFonts w:ascii="Times New Roman" w:hAnsi="Times New Roman"/>
          <w:sz w:val="24"/>
          <w:szCs w:val="24"/>
        </w:rPr>
        <w:t>(Cai et al.</w:t>
      </w:r>
      <w:r w:rsidR="00FA371B">
        <w:rPr>
          <w:rFonts w:ascii="Times New Roman" w:hAnsi="Times New Roman"/>
          <w:sz w:val="24"/>
          <w:szCs w:val="24"/>
        </w:rPr>
        <w:t>,</w:t>
      </w:r>
      <w:r w:rsidR="00FA371B" w:rsidRPr="007675F7">
        <w:rPr>
          <w:rFonts w:ascii="Times New Roman" w:hAnsi="Times New Roman"/>
          <w:sz w:val="24"/>
          <w:szCs w:val="24"/>
        </w:rPr>
        <w:t xml:space="preserve"> 2011</w:t>
      </w:r>
      <w:r w:rsidR="00FA371B">
        <w:rPr>
          <w:rFonts w:ascii="Times New Roman" w:hAnsi="Times New Roman"/>
          <w:sz w:val="24"/>
          <w:szCs w:val="24"/>
        </w:rPr>
        <w:t>; Sunda and Cai, 2012; Wallace et al., 2014</w:t>
      </w:r>
      <w:r w:rsidR="00FA371B" w:rsidRPr="007675F7">
        <w:rPr>
          <w:rFonts w:ascii="Times New Roman" w:hAnsi="Times New Roman"/>
          <w:sz w:val="24"/>
          <w:szCs w:val="24"/>
        </w:rPr>
        <w:t>).</w:t>
      </w:r>
      <w:r w:rsidR="00FA371B">
        <w:rPr>
          <w:rFonts w:ascii="Times New Roman" w:hAnsi="Times New Roman"/>
          <w:sz w:val="24"/>
          <w:szCs w:val="24"/>
        </w:rPr>
        <w:t xml:space="preserve"> It is</w:t>
      </w:r>
      <w:r w:rsidR="00C9509D">
        <w:rPr>
          <w:rFonts w:ascii="Times New Roman" w:hAnsi="Times New Roman"/>
          <w:sz w:val="24"/>
          <w:szCs w:val="24"/>
        </w:rPr>
        <w:t>,</w:t>
      </w:r>
      <w:r w:rsidR="00FA371B">
        <w:rPr>
          <w:rFonts w:ascii="Times New Roman" w:hAnsi="Times New Roman"/>
          <w:sz w:val="24"/>
          <w:szCs w:val="24"/>
        </w:rPr>
        <w:t xml:space="preserve"> thus</w:t>
      </w:r>
      <w:r w:rsidR="00C9509D">
        <w:rPr>
          <w:rFonts w:ascii="Times New Roman" w:hAnsi="Times New Roman"/>
          <w:sz w:val="24"/>
          <w:szCs w:val="24"/>
        </w:rPr>
        <w:t>,</w:t>
      </w:r>
      <w:r w:rsidR="00FA371B">
        <w:rPr>
          <w:rFonts w:ascii="Times New Roman" w:hAnsi="Times New Roman"/>
          <w:sz w:val="24"/>
          <w:szCs w:val="24"/>
        </w:rPr>
        <w:t xml:space="preserve"> clear that estuarine acidification is multifactorial and can be an important ecological phenomenon, deserving more research consideration, especially to improve conservation and management efforts </w:t>
      </w:r>
      <w:r w:rsidR="00C9509D">
        <w:rPr>
          <w:rFonts w:ascii="Times New Roman" w:hAnsi="Times New Roman"/>
          <w:sz w:val="24"/>
          <w:szCs w:val="24"/>
        </w:rPr>
        <w:t xml:space="preserve">in </w:t>
      </w:r>
      <w:r w:rsidR="00FA371B">
        <w:rPr>
          <w:rFonts w:ascii="Times New Roman" w:hAnsi="Times New Roman"/>
          <w:sz w:val="24"/>
          <w:szCs w:val="24"/>
        </w:rPr>
        <w:t>estuarine systems</w:t>
      </w:r>
      <w:r w:rsidR="00426C5D" w:rsidRPr="007675F7">
        <w:rPr>
          <w:rFonts w:ascii="Times New Roman" w:hAnsi="Times New Roman"/>
          <w:sz w:val="24"/>
          <w:szCs w:val="24"/>
        </w:rPr>
        <w:t>.</w:t>
      </w:r>
    </w:p>
    <w:p w:rsidR="00426C5D" w:rsidRPr="007675F7" w:rsidRDefault="00C81AA0" w:rsidP="00426C5D">
      <w:pPr>
        <w:spacing w:after="0" w:line="480" w:lineRule="auto"/>
        <w:ind w:firstLine="720"/>
        <w:jc w:val="both"/>
        <w:rPr>
          <w:rFonts w:ascii="Times New Roman" w:hAnsi="Times New Roman"/>
          <w:sz w:val="24"/>
          <w:szCs w:val="24"/>
        </w:rPr>
      </w:pPr>
      <w:r w:rsidRPr="007675F7">
        <w:rPr>
          <w:rFonts w:ascii="Times New Roman" w:hAnsi="Times New Roman"/>
          <w:sz w:val="24"/>
          <w:szCs w:val="24"/>
        </w:rPr>
        <w:lastRenderedPageBreak/>
        <w:t xml:space="preserve">Although various investigations </w:t>
      </w:r>
      <w:r>
        <w:rPr>
          <w:rFonts w:ascii="Times New Roman" w:hAnsi="Times New Roman"/>
          <w:sz w:val="24"/>
          <w:szCs w:val="24"/>
        </w:rPr>
        <w:t xml:space="preserve">have </w:t>
      </w:r>
      <w:r w:rsidRPr="007675F7">
        <w:rPr>
          <w:rFonts w:ascii="Times New Roman" w:hAnsi="Times New Roman"/>
          <w:sz w:val="24"/>
          <w:szCs w:val="24"/>
        </w:rPr>
        <w:t>revealed some important aspects of the</w:t>
      </w:r>
      <w:r w:rsidR="00C9509D">
        <w:rPr>
          <w:rFonts w:ascii="Times New Roman" w:hAnsi="Times New Roman"/>
          <w:sz w:val="24"/>
          <w:szCs w:val="24"/>
        </w:rPr>
        <w:t xml:space="preserve"> responses of</w:t>
      </w:r>
      <w:r w:rsidRPr="007675F7">
        <w:rPr>
          <w:rFonts w:ascii="Times New Roman" w:hAnsi="Times New Roman"/>
          <w:sz w:val="24"/>
          <w:szCs w:val="24"/>
        </w:rPr>
        <w:t xml:space="preserve"> marine biota to lowered pH, </w:t>
      </w:r>
      <w:r>
        <w:rPr>
          <w:rFonts w:ascii="Times New Roman" w:hAnsi="Times New Roman"/>
          <w:sz w:val="24"/>
          <w:szCs w:val="24"/>
        </w:rPr>
        <w:t>the</w:t>
      </w:r>
      <w:r w:rsidR="00C9509D">
        <w:rPr>
          <w:rFonts w:ascii="Times New Roman" w:hAnsi="Times New Roman"/>
          <w:sz w:val="24"/>
          <w:szCs w:val="24"/>
        </w:rPr>
        <w:t>s</w:t>
      </w:r>
      <w:r>
        <w:rPr>
          <w:rFonts w:ascii="Times New Roman" w:hAnsi="Times New Roman"/>
          <w:sz w:val="24"/>
          <w:szCs w:val="24"/>
        </w:rPr>
        <w:t xml:space="preserve">e </w:t>
      </w:r>
      <w:r w:rsidR="00F75E85">
        <w:rPr>
          <w:rFonts w:ascii="Times New Roman" w:hAnsi="Times New Roman"/>
          <w:sz w:val="24"/>
          <w:szCs w:val="24"/>
        </w:rPr>
        <w:t>have generally</w:t>
      </w:r>
      <w:r>
        <w:rPr>
          <w:rFonts w:ascii="Times New Roman" w:hAnsi="Times New Roman"/>
          <w:sz w:val="24"/>
          <w:szCs w:val="24"/>
        </w:rPr>
        <w:t xml:space="preserve"> focus</w:t>
      </w:r>
      <w:r w:rsidR="00F75E85">
        <w:rPr>
          <w:rFonts w:ascii="Times New Roman" w:hAnsi="Times New Roman"/>
          <w:sz w:val="24"/>
          <w:szCs w:val="24"/>
        </w:rPr>
        <w:t>ed</w:t>
      </w:r>
      <w:r>
        <w:rPr>
          <w:rFonts w:ascii="Times New Roman" w:hAnsi="Times New Roman"/>
          <w:sz w:val="24"/>
          <w:szCs w:val="24"/>
        </w:rPr>
        <w:t xml:space="preserve"> on </w:t>
      </w:r>
      <w:r w:rsidRPr="007675F7">
        <w:rPr>
          <w:rFonts w:ascii="Times New Roman" w:hAnsi="Times New Roman"/>
          <w:sz w:val="24"/>
          <w:szCs w:val="24"/>
        </w:rPr>
        <w:t>shell-forming calcifying organisms</w:t>
      </w:r>
      <w:r>
        <w:rPr>
          <w:rFonts w:ascii="Times New Roman" w:hAnsi="Times New Roman"/>
          <w:sz w:val="24"/>
          <w:szCs w:val="24"/>
        </w:rPr>
        <w:t xml:space="preserve">, </w:t>
      </w:r>
      <w:r w:rsidR="00F75E85">
        <w:rPr>
          <w:rFonts w:ascii="Times New Roman" w:hAnsi="Times New Roman"/>
          <w:sz w:val="24"/>
          <w:szCs w:val="24"/>
        </w:rPr>
        <w:t>as</w:t>
      </w:r>
      <w:r>
        <w:rPr>
          <w:rFonts w:ascii="Times New Roman" w:hAnsi="Times New Roman"/>
          <w:sz w:val="24"/>
          <w:szCs w:val="24"/>
        </w:rPr>
        <w:t xml:space="preserve"> these organisms are likely to experience increased shell dissolution</w:t>
      </w:r>
      <w:r w:rsidR="00E809DC">
        <w:rPr>
          <w:rFonts w:ascii="Times New Roman" w:hAnsi="Times New Roman"/>
          <w:sz w:val="24"/>
          <w:szCs w:val="24"/>
        </w:rPr>
        <w:t xml:space="preserve"> (</w:t>
      </w:r>
      <w:r w:rsidR="00C2415F">
        <w:rPr>
          <w:rFonts w:ascii="Times New Roman" w:hAnsi="Times New Roman"/>
          <w:sz w:val="24"/>
          <w:szCs w:val="24"/>
        </w:rPr>
        <w:t>Dove and</w:t>
      </w:r>
      <w:r w:rsidR="009E14FA">
        <w:rPr>
          <w:rFonts w:ascii="Times New Roman" w:hAnsi="Times New Roman"/>
          <w:sz w:val="24"/>
          <w:szCs w:val="24"/>
        </w:rPr>
        <w:t xml:space="preserve"> Sammut</w:t>
      </w:r>
      <w:r w:rsidR="00C2415F">
        <w:rPr>
          <w:rFonts w:ascii="Times New Roman" w:hAnsi="Times New Roman"/>
          <w:sz w:val="24"/>
          <w:szCs w:val="24"/>
        </w:rPr>
        <w:t>, 2007;</w:t>
      </w:r>
      <w:r w:rsidR="009E14FA">
        <w:rPr>
          <w:rFonts w:ascii="Times New Roman" w:hAnsi="Times New Roman"/>
          <w:sz w:val="24"/>
          <w:szCs w:val="24"/>
        </w:rPr>
        <w:t xml:space="preserve"> </w:t>
      </w:r>
      <w:r w:rsidR="00E809DC">
        <w:rPr>
          <w:rFonts w:ascii="Times New Roman" w:hAnsi="Times New Roman"/>
          <w:sz w:val="24"/>
          <w:szCs w:val="24"/>
        </w:rPr>
        <w:t>Marshall et al.</w:t>
      </w:r>
      <w:r w:rsidR="00C2415F">
        <w:rPr>
          <w:rFonts w:ascii="Times New Roman" w:hAnsi="Times New Roman"/>
          <w:sz w:val="24"/>
          <w:szCs w:val="24"/>
        </w:rPr>
        <w:t>, 2008;</w:t>
      </w:r>
      <w:r w:rsidR="00E809DC">
        <w:rPr>
          <w:rFonts w:ascii="Times New Roman" w:hAnsi="Times New Roman"/>
          <w:sz w:val="24"/>
          <w:szCs w:val="24"/>
        </w:rPr>
        <w:t xml:space="preserve"> </w:t>
      </w:r>
      <w:r w:rsidR="0029744F">
        <w:rPr>
          <w:rFonts w:ascii="Times New Roman" w:hAnsi="Times New Roman"/>
          <w:sz w:val="24"/>
          <w:szCs w:val="24"/>
        </w:rPr>
        <w:t>Miller et al.</w:t>
      </w:r>
      <w:r w:rsidR="00C2415F">
        <w:rPr>
          <w:rFonts w:ascii="Times New Roman" w:hAnsi="Times New Roman"/>
          <w:sz w:val="24"/>
          <w:szCs w:val="24"/>
        </w:rPr>
        <w:t>,</w:t>
      </w:r>
      <w:r w:rsidR="0029744F">
        <w:rPr>
          <w:rFonts w:ascii="Times New Roman" w:hAnsi="Times New Roman"/>
          <w:sz w:val="24"/>
          <w:szCs w:val="24"/>
        </w:rPr>
        <w:t xml:space="preserve"> </w:t>
      </w:r>
      <w:r w:rsidR="00C2415F">
        <w:rPr>
          <w:rFonts w:ascii="Times New Roman" w:hAnsi="Times New Roman"/>
          <w:sz w:val="24"/>
          <w:szCs w:val="24"/>
        </w:rPr>
        <w:t>2009;</w:t>
      </w:r>
      <w:r w:rsidR="0029744F">
        <w:rPr>
          <w:rFonts w:ascii="Times New Roman" w:hAnsi="Times New Roman"/>
          <w:sz w:val="24"/>
          <w:szCs w:val="24"/>
        </w:rPr>
        <w:t xml:space="preserve"> </w:t>
      </w:r>
      <w:r w:rsidR="00C2415F">
        <w:rPr>
          <w:rFonts w:ascii="Times New Roman" w:hAnsi="Times New Roman"/>
          <w:sz w:val="24"/>
          <w:szCs w:val="24"/>
        </w:rPr>
        <w:t>Green and</w:t>
      </w:r>
      <w:r w:rsidR="00E809DC">
        <w:rPr>
          <w:rFonts w:ascii="Times New Roman" w:hAnsi="Times New Roman"/>
          <w:sz w:val="24"/>
          <w:szCs w:val="24"/>
        </w:rPr>
        <w:t xml:space="preserve"> Barnes</w:t>
      </w:r>
      <w:r w:rsidR="00C2415F">
        <w:rPr>
          <w:rFonts w:ascii="Times New Roman" w:hAnsi="Times New Roman"/>
          <w:sz w:val="24"/>
          <w:szCs w:val="24"/>
        </w:rPr>
        <w:t>, 2010;</w:t>
      </w:r>
      <w:r w:rsidR="001F042B">
        <w:rPr>
          <w:rFonts w:ascii="Times New Roman" w:hAnsi="Times New Roman"/>
          <w:sz w:val="24"/>
          <w:szCs w:val="24"/>
        </w:rPr>
        <w:t xml:space="preserve"> </w:t>
      </w:r>
      <w:r w:rsidR="00C9714E" w:rsidRPr="00C9714E">
        <w:rPr>
          <w:rFonts w:ascii="Times New Roman" w:hAnsi="Times New Roman"/>
          <w:sz w:val="24"/>
          <w:szCs w:val="24"/>
        </w:rPr>
        <w:t>Waldbusser</w:t>
      </w:r>
      <w:r w:rsidR="00C9714E">
        <w:rPr>
          <w:rFonts w:ascii="Times New Roman" w:hAnsi="Times New Roman"/>
          <w:sz w:val="24"/>
          <w:szCs w:val="24"/>
        </w:rPr>
        <w:t xml:space="preserve"> et al.</w:t>
      </w:r>
      <w:r w:rsidR="00C2415F">
        <w:rPr>
          <w:rFonts w:ascii="Times New Roman" w:hAnsi="Times New Roman"/>
          <w:sz w:val="24"/>
          <w:szCs w:val="24"/>
        </w:rPr>
        <w:t>,</w:t>
      </w:r>
      <w:r w:rsidR="00C9714E">
        <w:rPr>
          <w:rFonts w:ascii="Times New Roman" w:hAnsi="Times New Roman"/>
          <w:sz w:val="24"/>
          <w:szCs w:val="24"/>
        </w:rPr>
        <w:t xml:space="preserve"> 2</w:t>
      </w:r>
      <w:r w:rsidR="00C2415F">
        <w:rPr>
          <w:rFonts w:ascii="Times New Roman" w:hAnsi="Times New Roman"/>
          <w:sz w:val="24"/>
          <w:szCs w:val="24"/>
        </w:rPr>
        <w:t>011;</w:t>
      </w:r>
      <w:r w:rsidR="00C9714E">
        <w:rPr>
          <w:rFonts w:ascii="Times New Roman" w:hAnsi="Times New Roman"/>
          <w:sz w:val="24"/>
          <w:szCs w:val="24"/>
        </w:rPr>
        <w:t xml:space="preserve"> </w:t>
      </w:r>
      <w:r w:rsidR="0029744F">
        <w:rPr>
          <w:rFonts w:ascii="Times New Roman" w:hAnsi="Times New Roman"/>
          <w:sz w:val="24"/>
          <w:szCs w:val="24"/>
        </w:rPr>
        <w:t>Gazeau et al.</w:t>
      </w:r>
      <w:r w:rsidR="00C2415F">
        <w:rPr>
          <w:rFonts w:ascii="Times New Roman" w:hAnsi="Times New Roman"/>
          <w:sz w:val="24"/>
          <w:szCs w:val="24"/>
        </w:rPr>
        <w:t>,</w:t>
      </w:r>
      <w:r w:rsidR="0029744F">
        <w:rPr>
          <w:rFonts w:ascii="Times New Roman" w:hAnsi="Times New Roman"/>
          <w:sz w:val="24"/>
          <w:szCs w:val="24"/>
        </w:rPr>
        <w:t xml:space="preserve"> </w:t>
      </w:r>
      <w:r w:rsidR="00C2415F">
        <w:rPr>
          <w:rFonts w:ascii="Times New Roman" w:hAnsi="Times New Roman"/>
          <w:sz w:val="24"/>
          <w:szCs w:val="24"/>
        </w:rPr>
        <w:t>2013;</w:t>
      </w:r>
      <w:r w:rsidR="0029744F">
        <w:rPr>
          <w:rFonts w:ascii="Times New Roman" w:hAnsi="Times New Roman"/>
          <w:sz w:val="24"/>
          <w:szCs w:val="24"/>
        </w:rPr>
        <w:t xml:space="preserve"> </w:t>
      </w:r>
      <w:r w:rsidR="00C2415F">
        <w:rPr>
          <w:rFonts w:ascii="Times New Roman" w:hAnsi="Times New Roman"/>
          <w:sz w:val="24"/>
          <w:szCs w:val="24"/>
        </w:rPr>
        <w:t>Hossain and</w:t>
      </w:r>
      <w:r w:rsidR="0062708D">
        <w:rPr>
          <w:rFonts w:ascii="Times New Roman" w:hAnsi="Times New Roman"/>
          <w:sz w:val="24"/>
          <w:szCs w:val="24"/>
        </w:rPr>
        <w:t xml:space="preserve"> Marshall</w:t>
      </w:r>
      <w:r w:rsidR="00C2415F">
        <w:rPr>
          <w:rFonts w:ascii="Times New Roman" w:hAnsi="Times New Roman"/>
          <w:sz w:val="24"/>
          <w:szCs w:val="24"/>
        </w:rPr>
        <w:t>,</w:t>
      </w:r>
      <w:r w:rsidR="0062708D">
        <w:rPr>
          <w:rFonts w:ascii="Times New Roman" w:hAnsi="Times New Roman"/>
          <w:sz w:val="24"/>
          <w:szCs w:val="24"/>
        </w:rPr>
        <w:t xml:space="preserve"> 2014</w:t>
      </w:r>
      <w:r w:rsidR="00E809DC">
        <w:rPr>
          <w:rFonts w:ascii="Times New Roman" w:hAnsi="Times New Roman"/>
          <w:sz w:val="24"/>
          <w:szCs w:val="24"/>
        </w:rPr>
        <w:t>)</w:t>
      </w:r>
      <w:r w:rsidR="00D65713">
        <w:rPr>
          <w:rFonts w:ascii="Times New Roman" w:hAnsi="Times New Roman"/>
          <w:sz w:val="24"/>
          <w:szCs w:val="24"/>
        </w:rPr>
        <w:t>. A number of</w:t>
      </w:r>
      <w:r w:rsidR="00426C5D" w:rsidRPr="007675F7">
        <w:rPr>
          <w:rFonts w:ascii="Times New Roman" w:hAnsi="Times New Roman"/>
          <w:sz w:val="24"/>
          <w:szCs w:val="24"/>
        </w:rPr>
        <w:t xml:space="preserve"> studies </w:t>
      </w:r>
      <w:r w:rsidR="00D65713">
        <w:rPr>
          <w:rFonts w:ascii="Times New Roman" w:hAnsi="Times New Roman"/>
          <w:sz w:val="24"/>
          <w:szCs w:val="24"/>
        </w:rPr>
        <w:t xml:space="preserve">have </w:t>
      </w:r>
      <w:r w:rsidR="00426C5D" w:rsidRPr="007675F7">
        <w:rPr>
          <w:rFonts w:ascii="Times New Roman" w:hAnsi="Times New Roman"/>
          <w:sz w:val="24"/>
          <w:szCs w:val="24"/>
        </w:rPr>
        <w:t>attempted to assess acidification effects on phytoplankton under controlled laboratory conditions (e.g. H</w:t>
      </w:r>
      <w:r w:rsidR="00C2415F">
        <w:rPr>
          <w:rFonts w:ascii="Times New Roman" w:hAnsi="Times New Roman"/>
          <w:sz w:val="24"/>
          <w:szCs w:val="24"/>
        </w:rPr>
        <w:t>inga, 2002; Hansen, 2002; Low-Dé</w:t>
      </w:r>
      <w:r w:rsidR="00426C5D" w:rsidRPr="007675F7">
        <w:rPr>
          <w:rFonts w:ascii="Times New Roman" w:hAnsi="Times New Roman"/>
          <w:sz w:val="24"/>
          <w:szCs w:val="24"/>
        </w:rPr>
        <w:t xml:space="preserve">carie et al., 2011; Brading et al., 2011; Lohbeck et al., 2012), but </w:t>
      </w:r>
      <w:r w:rsidR="00F75E85">
        <w:rPr>
          <w:rFonts w:ascii="Times New Roman" w:hAnsi="Times New Roman"/>
          <w:sz w:val="24"/>
          <w:szCs w:val="24"/>
        </w:rPr>
        <w:t>data</w:t>
      </w:r>
      <w:r w:rsidR="00F75E85" w:rsidRPr="007675F7">
        <w:rPr>
          <w:rFonts w:ascii="Times New Roman" w:hAnsi="Times New Roman"/>
          <w:sz w:val="24"/>
          <w:szCs w:val="24"/>
        </w:rPr>
        <w:t xml:space="preserve"> </w:t>
      </w:r>
      <w:r w:rsidR="00426C5D" w:rsidRPr="007675F7">
        <w:rPr>
          <w:rFonts w:ascii="Times New Roman" w:hAnsi="Times New Roman"/>
          <w:sz w:val="24"/>
          <w:szCs w:val="24"/>
        </w:rPr>
        <w:t xml:space="preserve">on </w:t>
      </w:r>
      <w:r w:rsidR="00426C5D" w:rsidRPr="007675F7">
        <w:rPr>
          <w:rFonts w:ascii="Times New Roman" w:hAnsi="Times New Roman"/>
          <w:i/>
          <w:sz w:val="24"/>
          <w:szCs w:val="24"/>
        </w:rPr>
        <w:t>in situ</w:t>
      </w:r>
      <w:r w:rsidR="00426C5D" w:rsidRPr="007675F7">
        <w:rPr>
          <w:rFonts w:ascii="Times New Roman" w:hAnsi="Times New Roman"/>
          <w:sz w:val="24"/>
          <w:szCs w:val="24"/>
        </w:rPr>
        <w:t xml:space="preserve"> microalgal</w:t>
      </w:r>
      <w:r w:rsidR="00D65713">
        <w:rPr>
          <w:rFonts w:ascii="Times New Roman" w:hAnsi="Times New Roman"/>
          <w:sz w:val="24"/>
          <w:szCs w:val="24"/>
        </w:rPr>
        <w:t xml:space="preserve"> responses to lowered pH </w:t>
      </w:r>
      <w:r w:rsidR="00F75E85">
        <w:rPr>
          <w:rFonts w:ascii="Times New Roman" w:hAnsi="Times New Roman"/>
          <w:sz w:val="24"/>
          <w:szCs w:val="24"/>
        </w:rPr>
        <w:t>are</w:t>
      </w:r>
      <w:r w:rsidR="00F75E85" w:rsidRPr="007675F7">
        <w:rPr>
          <w:rFonts w:ascii="Times New Roman" w:hAnsi="Times New Roman"/>
          <w:sz w:val="24"/>
          <w:szCs w:val="24"/>
        </w:rPr>
        <w:t xml:space="preserve"> </w:t>
      </w:r>
      <w:r w:rsidR="00426C5D" w:rsidRPr="007675F7">
        <w:rPr>
          <w:rFonts w:ascii="Times New Roman" w:hAnsi="Times New Roman"/>
          <w:sz w:val="24"/>
          <w:szCs w:val="24"/>
        </w:rPr>
        <w:t>scarce (e.g. G</w:t>
      </w:r>
      <w:r w:rsidR="00D65713">
        <w:rPr>
          <w:rFonts w:ascii="Times New Roman" w:hAnsi="Times New Roman"/>
          <w:sz w:val="24"/>
          <w:szCs w:val="24"/>
        </w:rPr>
        <w:t>eelen and Leuven, 1986). A</w:t>
      </w:r>
      <w:r w:rsidR="00426C5D" w:rsidRPr="007675F7">
        <w:rPr>
          <w:rFonts w:ascii="Times New Roman" w:hAnsi="Times New Roman"/>
          <w:sz w:val="24"/>
          <w:szCs w:val="24"/>
        </w:rPr>
        <w:t>cidification g</w:t>
      </w:r>
      <w:r w:rsidR="00D65713">
        <w:rPr>
          <w:rFonts w:ascii="Times New Roman" w:hAnsi="Times New Roman"/>
          <w:sz w:val="24"/>
          <w:szCs w:val="24"/>
        </w:rPr>
        <w:t>radients in open waters are uncommon, and s</w:t>
      </w:r>
      <w:r w:rsidR="00426C5D" w:rsidRPr="007675F7">
        <w:rPr>
          <w:rFonts w:ascii="Times New Roman" w:hAnsi="Times New Roman"/>
          <w:sz w:val="24"/>
          <w:szCs w:val="24"/>
        </w:rPr>
        <w:t>tudies on naturally occurring CO</w:t>
      </w:r>
      <w:r w:rsidR="00426C5D" w:rsidRPr="007675F7">
        <w:rPr>
          <w:rFonts w:ascii="Times New Roman" w:hAnsi="Times New Roman"/>
          <w:sz w:val="24"/>
          <w:szCs w:val="24"/>
          <w:vertAlign w:val="subscript"/>
        </w:rPr>
        <w:t>2</w:t>
      </w:r>
      <w:r w:rsidR="00426C5D" w:rsidRPr="007675F7">
        <w:rPr>
          <w:rFonts w:ascii="Times New Roman" w:hAnsi="Times New Roman"/>
          <w:sz w:val="24"/>
          <w:szCs w:val="24"/>
        </w:rPr>
        <w:t xml:space="preserve">-driven pH gradients, </w:t>
      </w:r>
      <w:r w:rsidR="002B62E1">
        <w:rPr>
          <w:rFonts w:ascii="Times New Roman" w:hAnsi="Times New Roman"/>
          <w:sz w:val="24"/>
          <w:szCs w:val="24"/>
        </w:rPr>
        <w:t xml:space="preserve">such </w:t>
      </w:r>
      <w:r w:rsidR="00426C5D" w:rsidRPr="007675F7">
        <w:rPr>
          <w:rFonts w:ascii="Times New Roman" w:hAnsi="Times New Roman"/>
          <w:sz w:val="24"/>
          <w:szCs w:val="24"/>
        </w:rPr>
        <w:t>as those associated with the volcanic vents, almost exclusively</w:t>
      </w:r>
      <w:r w:rsidR="00F75E85" w:rsidRPr="00F75E85">
        <w:rPr>
          <w:rFonts w:ascii="Times New Roman" w:hAnsi="Times New Roman"/>
          <w:sz w:val="24"/>
          <w:szCs w:val="24"/>
        </w:rPr>
        <w:t xml:space="preserve"> </w:t>
      </w:r>
      <w:r w:rsidR="00F75E85" w:rsidRPr="007675F7">
        <w:rPr>
          <w:rFonts w:ascii="Times New Roman" w:hAnsi="Times New Roman"/>
          <w:sz w:val="24"/>
          <w:szCs w:val="24"/>
        </w:rPr>
        <w:t>describe</w:t>
      </w:r>
      <w:r w:rsidR="00426C5D" w:rsidRPr="007675F7">
        <w:rPr>
          <w:rFonts w:ascii="Times New Roman" w:hAnsi="Times New Roman"/>
          <w:sz w:val="24"/>
          <w:szCs w:val="24"/>
        </w:rPr>
        <w:t xml:space="preserve"> benthic communities (</w:t>
      </w:r>
      <w:r w:rsidR="00426C5D" w:rsidRPr="007675F7">
        <w:rPr>
          <w:rFonts w:ascii="Times New Roman" w:hAnsi="Times New Roman"/>
          <w:color w:val="000000" w:themeColor="text1"/>
          <w:sz w:val="24"/>
          <w:szCs w:val="24"/>
        </w:rPr>
        <w:t xml:space="preserve">Hall-Spencer et al., 2008; Turnicliffe et al., 2009; Johnson et al., 2012; Porzio et al. 2013). </w:t>
      </w:r>
      <w:r w:rsidRPr="00C81AA0">
        <w:rPr>
          <w:rFonts w:ascii="Times New Roman" w:hAnsi="Times New Roman"/>
          <w:color w:val="000000" w:themeColor="text1"/>
          <w:sz w:val="24"/>
          <w:szCs w:val="24"/>
        </w:rPr>
        <w:t>The most comprehensive recent work on acid sulphate estuaries has been carried</w:t>
      </w:r>
      <w:r w:rsidR="00F75E85">
        <w:rPr>
          <w:rFonts w:ascii="Times New Roman" w:hAnsi="Times New Roman"/>
          <w:color w:val="000000" w:themeColor="text1"/>
          <w:sz w:val="24"/>
          <w:szCs w:val="24"/>
        </w:rPr>
        <w:t xml:space="preserve"> out</w:t>
      </w:r>
      <w:r w:rsidRPr="00C81AA0">
        <w:rPr>
          <w:rFonts w:ascii="Times New Roman" w:hAnsi="Times New Roman"/>
          <w:color w:val="000000" w:themeColor="text1"/>
          <w:sz w:val="24"/>
          <w:szCs w:val="24"/>
        </w:rPr>
        <w:t xml:space="preserve"> in the temperate region of Sydney, Australia (</w:t>
      </w:r>
      <w:r w:rsidR="00E12E95">
        <w:rPr>
          <w:rFonts w:ascii="Times New Roman" w:hAnsi="Times New Roman"/>
          <w:color w:val="000000" w:themeColor="text1"/>
          <w:sz w:val="24"/>
          <w:szCs w:val="24"/>
        </w:rPr>
        <w:t>Amaral et al.,</w:t>
      </w:r>
      <w:r w:rsidR="007A6408">
        <w:rPr>
          <w:rFonts w:ascii="Times New Roman" w:hAnsi="Times New Roman"/>
          <w:color w:val="000000" w:themeColor="text1"/>
          <w:sz w:val="24"/>
          <w:szCs w:val="24"/>
        </w:rPr>
        <w:t xml:space="preserve"> 2011a,</w:t>
      </w:r>
      <w:r w:rsidR="00F75E85">
        <w:rPr>
          <w:rFonts w:ascii="Times New Roman" w:hAnsi="Times New Roman"/>
          <w:color w:val="000000" w:themeColor="text1"/>
          <w:sz w:val="24"/>
          <w:szCs w:val="24"/>
        </w:rPr>
        <w:t>b,</w:t>
      </w:r>
      <w:r w:rsidR="007A6408">
        <w:rPr>
          <w:rFonts w:ascii="Times New Roman" w:hAnsi="Times New Roman"/>
          <w:color w:val="000000" w:themeColor="text1"/>
          <w:sz w:val="24"/>
          <w:szCs w:val="24"/>
        </w:rPr>
        <w:t xml:space="preserve"> 2012a,</w:t>
      </w:r>
      <w:r w:rsidR="00F75E85">
        <w:rPr>
          <w:rFonts w:ascii="Times New Roman" w:hAnsi="Times New Roman"/>
          <w:color w:val="000000" w:themeColor="text1"/>
          <w:sz w:val="24"/>
          <w:szCs w:val="24"/>
        </w:rPr>
        <w:t>b</w:t>
      </w:r>
      <w:r w:rsidRPr="00C81AA0">
        <w:rPr>
          <w:rFonts w:ascii="Times New Roman" w:hAnsi="Times New Roman"/>
          <w:color w:val="000000" w:themeColor="text1"/>
          <w:sz w:val="24"/>
          <w:szCs w:val="24"/>
        </w:rPr>
        <w:t>)</w:t>
      </w:r>
    </w:p>
    <w:p w:rsidR="00426C5D" w:rsidRPr="007675F7" w:rsidRDefault="00426C5D" w:rsidP="00426C5D">
      <w:pPr>
        <w:spacing w:after="0" w:line="480" w:lineRule="auto"/>
        <w:ind w:firstLine="720"/>
        <w:jc w:val="both"/>
        <w:rPr>
          <w:rFonts w:ascii="Times New Roman" w:hAnsi="Times New Roman"/>
          <w:sz w:val="24"/>
          <w:szCs w:val="24"/>
        </w:rPr>
      </w:pPr>
      <w:r w:rsidRPr="007675F7">
        <w:rPr>
          <w:rFonts w:ascii="Times New Roman" w:hAnsi="Times New Roman"/>
          <w:sz w:val="24"/>
          <w:szCs w:val="24"/>
        </w:rPr>
        <w:t>The Brunei River estuary – an eutrophic, acidified, highly turbid aquatic system – offers an opportunity to investigate tropical phytoplankton communities along a relatively steep gradient of salinity and pH. In this work</w:t>
      </w:r>
      <w:r w:rsidR="002B62E1">
        <w:rPr>
          <w:rFonts w:ascii="Times New Roman" w:hAnsi="Times New Roman"/>
          <w:sz w:val="24"/>
          <w:szCs w:val="24"/>
        </w:rPr>
        <w:t>, the first to study the phytoplankton of an estuarine system in this region,</w:t>
      </w:r>
      <w:r w:rsidRPr="007675F7">
        <w:rPr>
          <w:rFonts w:ascii="Times New Roman" w:hAnsi="Times New Roman"/>
          <w:sz w:val="24"/>
          <w:szCs w:val="24"/>
        </w:rPr>
        <w:t xml:space="preserve"> we aimed to characterize </w:t>
      </w:r>
      <w:r w:rsidR="002B62E1">
        <w:rPr>
          <w:rFonts w:ascii="Times New Roman" w:hAnsi="Times New Roman"/>
          <w:sz w:val="24"/>
          <w:szCs w:val="24"/>
        </w:rPr>
        <w:t>the spatial and temporal patterns</w:t>
      </w:r>
      <w:r w:rsidRPr="007675F7">
        <w:rPr>
          <w:rFonts w:ascii="Times New Roman" w:hAnsi="Times New Roman"/>
          <w:sz w:val="24"/>
          <w:szCs w:val="24"/>
        </w:rPr>
        <w:t xml:space="preserve"> in microalgal communities</w:t>
      </w:r>
      <w:r w:rsidR="002B62E1">
        <w:rPr>
          <w:rFonts w:ascii="Times New Roman" w:hAnsi="Times New Roman"/>
          <w:sz w:val="24"/>
          <w:szCs w:val="24"/>
        </w:rPr>
        <w:t>,</w:t>
      </w:r>
      <w:r w:rsidRPr="007675F7">
        <w:rPr>
          <w:rFonts w:ascii="Times New Roman" w:hAnsi="Times New Roman"/>
          <w:sz w:val="24"/>
          <w:szCs w:val="24"/>
        </w:rPr>
        <w:t xml:space="preserve"> and assess potential effects of variable environmental conditions on t</w:t>
      </w:r>
      <w:r w:rsidR="002B62E1">
        <w:rPr>
          <w:rFonts w:ascii="Times New Roman" w:hAnsi="Times New Roman"/>
          <w:sz w:val="24"/>
          <w:szCs w:val="24"/>
        </w:rPr>
        <w:t>heir densities and composition.</w:t>
      </w:r>
    </w:p>
    <w:p w:rsidR="00426C5D" w:rsidRPr="007675F7" w:rsidRDefault="00426C5D" w:rsidP="00426C5D">
      <w:pPr>
        <w:spacing w:after="0" w:line="480" w:lineRule="auto"/>
        <w:jc w:val="both"/>
        <w:rPr>
          <w:rFonts w:ascii="Times New Roman" w:hAnsi="Times New Roman"/>
          <w:sz w:val="24"/>
          <w:szCs w:val="24"/>
        </w:rPr>
      </w:pPr>
    </w:p>
    <w:p w:rsidR="00A70778" w:rsidRPr="007675F7" w:rsidRDefault="00A70778" w:rsidP="00A70778">
      <w:pPr>
        <w:spacing w:after="0" w:line="480" w:lineRule="auto"/>
        <w:jc w:val="both"/>
        <w:rPr>
          <w:rFonts w:ascii="Times New Roman" w:hAnsi="Times New Roman"/>
          <w:b/>
          <w:sz w:val="24"/>
          <w:szCs w:val="24"/>
        </w:rPr>
      </w:pPr>
      <w:r w:rsidRPr="007675F7">
        <w:rPr>
          <w:rFonts w:ascii="Times New Roman" w:hAnsi="Times New Roman"/>
          <w:b/>
          <w:sz w:val="24"/>
          <w:szCs w:val="24"/>
        </w:rPr>
        <w:t>Materials and Methods</w:t>
      </w:r>
    </w:p>
    <w:p w:rsidR="00426C5D" w:rsidRPr="007675F7" w:rsidRDefault="00426C5D" w:rsidP="00A70778">
      <w:pPr>
        <w:spacing w:after="0" w:line="480" w:lineRule="auto"/>
        <w:jc w:val="both"/>
        <w:rPr>
          <w:rFonts w:ascii="Times New Roman" w:hAnsi="Times New Roman"/>
          <w:i/>
          <w:sz w:val="24"/>
          <w:szCs w:val="24"/>
        </w:rPr>
      </w:pPr>
    </w:p>
    <w:p w:rsidR="00A70778" w:rsidRPr="007675F7" w:rsidRDefault="00DB4DAF" w:rsidP="00A70778">
      <w:pPr>
        <w:spacing w:after="0" w:line="480" w:lineRule="auto"/>
        <w:jc w:val="both"/>
        <w:rPr>
          <w:rFonts w:ascii="Times New Roman" w:hAnsi="Times New Roman"/>
          <w:i/>
          <w:sz w:val="24"/>
          <w:szCs w:val="24"/>
        </w:rPr>
      </w:pPr>
      <w:r w:rsidRPr="007675F7">
        <w:rPr>
          <w:rFonts w:ascii="Times New Roman" w:hAnsi="Times New Roman"/>
          <w:i/>
          <w:sz w:val="24"/>
          <w:szCs w:val="24"/>
        </w:rPr>
        <w:t>Sampling area</w:t>
      </w:r>
    </w:p>
    <w:p w:rsidR="00BC3EB1" w:rsidRPr="007675F7" w:rsidRDefault="00BC3EB1" w:rsidP="00A70778">
      <w:pPr>
        <w:spacing w:after="0" w:line="480" w:lineRule="auto"/>
        <w:jc w:val="both"/>
        <w:rPr>
          <w:rFonts w:ascii="Times New Roman" w:hAnsi="Times New Roman"/>
          <w:sz w:val="24"/>
          <w:szCs w:val="24"/>
        </w:rPr>
      </w:pPr>
      <w:r w:rsidRPr="007675F7">
        <w:rPr>
          <w:rFonts w:ascii="Times New Roman" w:hAnsi="Times New Roman"/>
          <w:sz w:val="24"/>
          <w:szCs w:val="24"/>
        </w:rPr>
        <w:lastRenderedPageBreak/>
        <w:t>T</w:t>
      </w:r>
      <w:r w:rsidR="009A0C07" w:rsidRPr="007675F7">
        <w:rPr>
          <w:rFonts w:ascii="Times New Roman" w:hAnsi="Times New Roman"/>
          <w:sz w:val="24"/>
          <w:szCs w:val="24"/>
        </w:rPr>
        <w:t xml:space="preserve">he Brunei </w:t>
      </w:r>
      <w:r w:rsidR="00E42907">
        <w:rPr>
          <w:rFonts w:ascii="Times New Roman" w:hAnsi="Times New Roman"/>
          <w:sz w:val="24"/>
          <w:szCs w:val="24"/>
        </w:rPr>
        <w:t xml:space="preserve">River </w:t>
      </w:r>
      <w:r w:rsidR="009A0C07" w:rsidRPr="007675F7">
        <w:rPr>
          <w:rFonts w:ascii="Times New Roman" w:hAnsi="Times New Roman"/>
          <w:sz w:val="24"/>
          <w:szCs w:val="24"/>
        </w:rPr>
        <w:t>e</w:t>
      </w:r>
      <w:r w:rsidRPr="007675F7">
        <w:rPr>
          <w:rFonts w:ascii="Times New Roman" w:hAnsi="Times New Roman"/>
          <w:sz w:val="24"/>
          <w:szCs w:val="24"/>
        </w:rPr>
        <w:t xml:space="preserve">stuary system occupies an area of ca. </w:t>
      </w:r>
      <w:r w:rsidR="007750EE" w:rsidRPr="007675F7">
        <w:rPr>
          <w:rFonts w:ascii="Times New Roman" w:hAnsi="Times New Roman"/>
          <w:sz w:val="24"/>
          <w:szCs w:val="24"/>
        </w:rPr>
        <w:t>1380 km</w:t>
      </w:r>
      <w:r w:rsidR="007750EE" w:rsidRPr="007675F7">
        <w:rPr>
          <w:rFonts w:ascii="Times New Roman" w:hAnsi="Times New Roman"/>
          <w:sz w:val="24"/>
          <w:szCs w:val="24"/>
          <w:vertAlign w:val="superscript"/>
        </w:rPr>
        <w:t>2</w:t>
      </w:r>
      <w:r w:rsidR="007750EE" w:rsidRPr="007675F7">
        <w:rPr>
          <w:rFonts w:ascii="Times New Roman" w:hAnsi="Times New Roman"/>
          <w:sz w:val="24"/>
          <w:szCs w:val="24"/>
        </w:rPr>
        <w:t xml:space="preserve"> of Brunei Bay</w:t>
      </w:r>
      <w:r w:rsidR="00C81AA0">
        <w:rPr>
          <w:rFonts w:ascii="Times New Roman" w:hAnsi="Times New Roman"/>
          <w:sz w:val="24"/>
          <w:szCs w:val="24"/>
        </w:rPr>
        <w:t xml:space="preserve">, including the Inner </w:t>
      </w:r>
      <w:r w:rsidR="00C81AA0" w:rsidRPr="007675F7">
        <w:rPr>
          <w:rFonts w:ascii="Times New Roman" w:hAnsi="Times New Roman"/>
          <w:sz w:val="24"/>
          <w:szCs w:val="24"/>
        </w:rPr>
        <w:t>Brunei Bay</w:t>
      </w:r>
      <w:r w:rsidR="00E42907">
        <w:rPr>
          <w:rFonts w:ascii="Times New Roman" w:hAnsi="Times New Roman"/>
          <w:sz w:val="24"/>
          <w:szCs w:val="24"/>
        </w:rPr>
        <w:t>. T</w:t>
      </w:r>
      <w:r w:rsidR="00E72B67" w:rsidRPr="007675F7">
        <w:rPr>
          <w:rFonts w:ascii="Times New Roman" w:hAnsi="Times New Roman"/>
          <w:sz w:val="24"/>
          <w:szCs w:val="24"/>
        </w:rPr>
        <w:t>hree main rivers (Sungai Limbang, Sungai Temburong, and Sungai Brunei) have a major freshwater input into the estuary. T</w:t>
      </w:r>
      <w:r w:rsidR="00ED6517" w:rsidRPr="007675F7">
        <w:rPr>
          <w:rFonts w:ascii="Times New Roman" w:hAnsi="Times New Roman"/>
          <w:sz w:val="24"/>
          <w:szCs w:val="24"/>
        </w:rPr>
        <w:t>he area</w:t>
      </w:r>
      <w:r w:rsidR="00E72B67" w:rsidRPr="007675F7">
        <w:rPr>
          <w:rFonts w:ascii="Times New Roman" w:hAnsi="Times New Roman"/>
          <w:sz w:val="24"/>
          <w:szCs w:val="24"/>
        </w:rPr>
        <w:t xml:space="preserve"> is divided into Brunei Channel and Temburong Chan</w:t>
      </w:r>
      <w:r w:rsidR="00150FA3" w:rsidRPr="007675F7">
        <w:rPr>
          <w:rFonts w:ascii="Times New Roman" w:hAnsi="Times New Roman"/>
          <w:sz w:val="24"/>
          <w:szCs w:val="24"/>
        </w:rPr>
        <w:t>nel</w:t>
      </w:r>
      <w:r w:rsidR="00E72B67" w:rsidRPr="007675F7">
        <w:rPr>
          <w:rFonts w:ascii="Times New Roman" w:hAnsi="Times New Roman"/>
          <w:sz w:val="24"/>
          <w:szCs w:val="24"/>
        </w:rPr>
        <w:t xml:space="preserve"> (Currie</w:t>
      </w:r>
      <w:r w:rsidR="00222A99">
        <w:rPr>
          <w:rFonts w:ascii="Times New Roman" w:hAnsi="Times New Roman"/>
          <w:sz w:val="24"/>
          <w:szCs w:val="24"/>
        </w:rPr>
        <w:t>,</w:t>
      </w:r>
      <w:r w:rsidR="00E72B67" w:rsidRPr="007675F7">
        <w:rPr>
          <w:rFonts w:ascii="Times New Roman" w:hAnsi="Times New Roman"/>
          <w:sz w:val="24"/>
          <w:szCs w:val="24"/>
        </w:rPr>
        <w:t xml:space="preserve"> 1979). </w:t>
      </w:r>
      <w:r w:rsidR="00C81AA0">
        <w:rPr>
          <w:rFonts w:ascii="Times New Roman" w:hAnsi="Times New Roman"/>
          <w:sz w:val="24"/>
          <w:szCs w:val="24"/>
        </w:rPr>
        <w:t>Along most of the banks, the system</w:t>
      </w:r>
      <w:r w:rsidR="00E72B67" w:rsidRPr="007675F7">
        <w:rPr>
          <w:rFonts w:ascii="Times New Roman" w:hAnsi="Times New Roman"/>
          <w:sz w:val="24"/>
          <w:szCs w:val="24"/>
        </w:rPr>
        <w:t xml:space="preserve"> is fringed with extensive </w:t>
      </w:r>
      <w:r w:rsidR="00FB0EE4" w:rsidRPr="007675F7">
        <w:rPr>
          <w:rFonts w:ascii="Times New Roman" w:hAnsi="Times New Roman"/>
          <w:i/>
          <w:sz w:val="24"/>
          <w:szCs w:val="24"/>
        </w:rPr>
        <w:t>Rhizophora</w:t>
      </w:r>
      <w:r w:rsidR="00FB0EE4" w:rsidRPr="007675F7">
        <w:rPr>
          <w:rFonts w:ascii="Times New Roman" w:hAnsi="Times New Roman"/>
          <w:sz w:val="24"/>
          <w:szCs w:val="24"/>
        </w:rPr>
        <w:t xml:space="preserve"> </w:t>
      </w:r>
      <w:r w:rsidR="00E72B67" w:rsidRPr="007675F7">
        <w:rPr>
          <w:rFonts w:ascii="Times New Roman" w:hAnsi="Times New Roman"/>
          <w:sz w:val="24"/>
          <w:szCs w:val="24"/>
        </w:rPr>
        <w:t>mangrove stands</w:t>
      </w:r>
      <w:r w:rsidR="00287A68" w:rsidRPr="007675F7">
        <w:rPr>
          <w:rFonts w:ascii="Times New Roman" w:hAnsi="Times New Roman"/>
          <w:sz w:val="24"/>
          <w:szCs w:val="24"/>
        </w:rPr>
        <w:t xml:space="preserve"> (Chua et al.</w:t>
      </w:r>
      <w:r w:rsidR="00222A99">
        <w:rPr>
          <w:rFonts w:ascii="Times New Roman" w:hAnsi="Times New Roman"/>
          <w:sz w:val="24"/>
          <w:szCs w:val="24"/>
        </w:rPr>
        <w:t>,</w:t>
      </w:r>
      <w:r w:rsidR="00287A68" w:rsidRPr="007675F7">
        <w:rPr>
          <w:rFonts w:ascii="Times New Roman" w:hAnsi="Times New Roman"/>
          <w:sz w:val="24"/>
          <w:szCs w:val="24"/>
        </w:rPr>
        <w:t xml:space="preserve"> 2014)</w:t>
      </w:r>
      <w:r w:rsidR="00E72B67" w:rsidRPr="007675F7">
        <w:rPr>
          <w:rFonts w:ascii="Times New Roman" w:hAnsi="Times New Roman"/>
          <w:sz w:val="24"/>
          <w:szCs w:val="24"/>
        </w:rPr>
        <w:t>.</w:t>
      </w:r>
      <w:r w:rsidR="00ED6517" w:rsidRPr="007675F7">
        <w:rPr>
          <w:rFonts w:ascii="Times New Roman" w:hAnsi="Times New Roman"/>
          <w:sz w:val="24"/>
          <w:szCs w:val="24"/>
        </w:rPr>
        <w:t xml:space="preserve"> </w:t>
      </w:r>
      <w:r w:rsidRPr="007675F7">
        <w:rPr>
          <w:rFonts w:ascii="Times New Roman" w:hAnsi="Times New Roman"/>
          <w:sz w:val="24"/>
          <w:szCs w:val="24"/>
        </w:rPr>
        <w:t xml:space="preserve">Due to the equatorial tropical climate the region is characterized by seasonal heavy rainfalls and high temperatures throughout the year. </w:t>
      </w:r>
      <w:r w:rsidR="00FB0EE4" w:rsidRPr="007675F7">
        <w:rPr>
          <w:rFonts w:ascii="Times New Roman" w:hAnsi="Times New Roman"/>
          <w:sz w:val="24"/>
          <w:szCs w:val="24"/>
        </w:rPr>
        <w:t>The local tides are diurnal or semi-diurnal</w:t>
      </w:r>
      <w:r w:rsidR="00E42907">
        <w:rPr>
          <w:rFonts w:ascii="Times New Roman" w:hAnsi="Times New Roman"/>
          <w:sz w:val="24"/>
          <w:szCs w:val="24"/>
        </w:rPr>
        <w:t>,</w:t>
      </w:r>
      <w:r w:rsidR="00FB0EE4" w:rsidRPr="007675F7">
        <w:rPr>
          <w:rFonts w:ascii="Times New Roman" w:hAnsi="Times New Roman"/>
          <w:sz w:val="24"/>
          <w:szCs w:val="24"/>
        </w:rPr>
        <w:t xml:space="preserve"> with </w:t>
      </w:r>
      <w:r w:rsidR="00C81AA0">
        <w:rPr>
          <w:rFonts w:ascii="Times New Roman" w:hAnsi="Times New Roman"/>
          <w:sz w:val="24"/>
          <w:szCs w:val="24"/>
        </w:rPr>
        <w:t xml:space="preserve">maximum </w:t>
      </w:r>
      <w:r w:rsidR="00FB0EE4" w:rsidRPr="007675F7">
        <w:rPr>
          <w:rFonts w:ascii="Times New Roman" w:hAnsi="Times New Roman"/>
          <w:sz w:val="24"/>
          <w:szCs w:val="24"/>
        </w:rPr>
        <w:t>da</w:t>
      </w:r>
      <w:r w:rsidR="00C81AA0">
        <w:rPr>
          <w:rFonts w:ascii="Times New Roman" w:hAnsi="Times New Roman"/>
          <w:sz w:val="24"/>
          <w:szCs w:val="24"/>
        </w:rPr>
        <w:t xml:space="preserve">ily amplitudes of around </w:t>
      </w:r>
      <w:r w:rsidR="00FB0EE4" w:rsidRPr="007675F7">
        <w:rPr>
          <w:rFonts w:ascii="Times New Roman" w:hAnsi="Times New Roman"/>
          <w:sz w:val="24"/>
          <w:szCs w:val="24"/>
        </w:rPr>
        <w:t>2 m</w:t>
      </w:r>
      <w:r w:rsidR="009A0C07" w:rsidRPr="007675F7">
        <w:rPr>
          <w:rFonts w:ascii="Times New Roman" w:hAnsi="Times New Roman"/>
          <w:sz w:val="24"/>
          <w:szCs w:val="24"/>
        </w:rPr>
        <w:t xml:space="preserve"> in the vicinity of the estuary</w:t>
      </w:r>
      <w:r w:rsidR="00C81AA0">
        <w:rPr>
          <w:rFonts w:ascii="Times New Roman" w:hAnsi="Times New Roman"/>
          <w:sz w:val="24"/>
          <w:szCs w:val="24"/>
        </w:rPr>
        <w:t>’s</w:t>
      </w:r>
      <w:r w:rsidR="009A0C07" w:rsidRPr="007675F7">
        <w:rPr>
          <w:rFonts w:ascii="Times New Roman" w:hAnsi="Times New Roman"/>
          <w:sz w:val="24"/>
          <w:szCs w:val="24"/>
        </w:rPr>
        <w:t xml:space="preserve"> mouths</w:t>
      </w:r>
      <w:r w:rsidR="00222A99">
        <w:rPr>
          <w:rFonts w:ascii="Times New Roman" w:hAnsi="Times New Roman"/>
          <w:sz w:val="24"/>
          <w:szCs w:val="24"/>
        </w:rPr>
        <w:t xml:space="preserve"> (Hossain and</w:t>
      </w:r>
      <w:r w:rsidR="00150FA3" w:rsidRPr="007675F7">
        <w:rPr>
          <w:rFonts w:ascii="Times New Roman" w:hAnsi="Times New Roman"/>
          <w:sz w:val="24"/>
          <w:szCs w:val="24"/>
        </w:rPr>
        <w:t xml:space="preserve"> Marshall</w:t>
      </w:r>
      <w:r w:rsidR="00222A99">
        <w:rPr>
          <w:rFonts w:ascii="Times New Roman" w:hAnsi="Times New Roman"/>
          <w:sz w:val="24"/>
          <w:szCs w:val="24"/>
        </w:rPr>
        <w:t>, 2014;</w:t>
      </w:r>
      <w:r w:rsidR="00150FA3" w:rsidRPr="007675F7">
        <w:rPr>
          <w:rFonts w:ascii="Times New Roman" w:hAnsi="Times New Roman"/>
          <w:sz w:val="24"/>
          <w:szCs w:val="24"/>
        </w:rPr>
        <w:t xml:space="preserve"> Hossain et al.</w:t>
      </w:r>
      <w:r w:rsidR="00222A99">
        <w:rPr>
          <w:rFonts w:ascii="Times New Roman" w:hAnsi="Times New Roman"/>
          <w:sz w:val="24"/>
          <w:szCs w:val="24"/>
        </w:rPr>
        <w:t>,</w:t>
      </w:r>
      <w:r w:rsidR="00150FA3" w:rsidRPr="007675F7">
        <w:rPr>
          <w:rFonts w:ascii="Times New Roman" w:hAnsi="Times New Roman"/>
          <w:sz w:val="24"/>
          <w:szCs w:val="24"/>
        </w:rPr>
        <w:t xml:space="preserve"> 2014)</w:t>
      </w:r>
      <w:r w:rsidR="009A0C07" w:rsidRPr="007675F7">
        <w:rPr>
          <w:rFonts w:ascii="Times New Roman" w:hAnsi="Times New Roman"/>
          <w:sz w:val="24"/>
          <w:szCs w:val="24"/>
        </w:rPr>
        <w:t xml:space="preserve">. </w:t>
      </w:r>
      <w:r w:rsidR="00CF7742" w:rsidRPr="007675F7">
        <w:rPr>
          <w:rFonts w:ascii="Times New Roman" w:hAnsi="Times New Roman"/>
          <w:sz w:val="24"/>
          <w:szCs w:val="24"/>
        </w:rPr>
        <w:t>Brunei’s capital and largest city</w:t>
      </w:r>
      <w:r w:rsidR="006D724C" w:rsidRPr="007675F7">
        <w:rPr>
          <w:rFonts w:ascii="Times New Roman" w:hAnsi="Times New Roman"/>
          <w:sz w:val="24"/>
          <w:szCs w:val="24"/>
        </w:rPr>
        <w:t>,</w:t>
      </w:r>
      <w:r w:rsidR="00CF7742" w:rsidRPr="007675F7">
        <w:rPr>
          <w:rFonts w:ascii="Times New Roman" w:hAnsi="Times New Roman"/>
          <w:sz w:val="24"/>
          <w:szCs w:val="24"/>
        </w:rPr>
        <w:t xml:space="preserve"> Bandar Seri Begawan </w:t>
      </w:r>
      <w:r w:rsidR="00C81AA0">
        <w:rPr>
          <w:rFonts w:ascii="Times New Roman" w:hAnsi="Times New Roman"/>
          <w:sz w:val="24"/>
          <w:szCs w:val="24"/>
        </w:rPr>
        <w:t>(BSB; population = 200,000)</w:t>
      </w:r>
      <w:r w:rsidR="00F22B0D" w:rsidRPr="007675F7">
        <w:rPr>
          <w:rFonts w:ascii="Times New Roman" w:hAnsi="Times New Roman"/>
          <w:sz w:val="24"/>
          <w:szCs w:val="24"/>
        </w:rPr>
        <w:t xml:space="preserve"> </w:t>
      </w:r>
      <w:r w:rsidR="00CF7742" w:rsidRPr="007675F7">
        <w:rPr>
          <w:rFonts w:ascii="Times New Roman" w:hAnsi="Times New Roman"/>
          <w:sz w:val="24"/>
          <w:szCs w:val="24"/>
        </w:rPr>
        <w:t>is</w:t>
      </w:r>
      <w:r w:rsidR="002B1816" w:rsidRPr="007675F7">
        <w:rPr>
          <w:rFonts w:ascii="Times New Roman" w:hAnsi="Times New Roman"/>
          <w:sz w:val="24"/>
          <w:szCs w:val="24"/>
        </w:rPr>
        <w:t xml:space="preserve"> located on the </w:t>
      </w:r>
      <w:r w:rsidR="00E42907">
        <w:rPr>
          <w:rFonts w:ascii="Times New Roman" w:hAnsi="Times New Roman"/>
          <w:sz w:val="24"/>
          <w:szCs w:val="24"/>
        </w:rPr>
        <w:t xml:space="preserve">banks of the </w:t>
      </w:r>
      <w:r w:rsidR="00C81AA0">
        <w:rPr>
          <w:rFonts w:ascii="Times New Roman" w:hAnsi="Times New Roman"/>
          <w:sz w:val="24"/>
          <w:szCs w:val="24"/>
        </w:rPr>
        <w:t>Sungai Brunei estuary</w:t>
      </w:r>
      <w:r w:rsidR="00F22B0D" w:rsidRPr="007675F7">
        <w:rPr>
          <w:rFonts w:ascii="Times New Roman" w:hAnsi="Times New Roman"/>
          <w:sz w:val="24"/>
          <w:szCs w:val="24"/>
        </w:rPr>
        <w:t xml:space="preserve">. </w:t>
      </w:r>
      <w:r w:rsidR="00051B09">
        <w:rPr>
          <w:rFonts w:ascii="Times New Roman" w:hAnsi="Times New Roman"/>
          <w:sz w:val="24"/>
          <w:szCs w:val="24"/>
        </w:rPr>
        <w:t>A</w:t>
      </w:r>
      <w:r w:rsidR="00DD41EB" w:rsidRPr="007675F7">
        <w:rPr>
          <w:rFonts w:ascii="Times New Roman" w:hAnsi="Times New Roman"/>
          <w:sz w:val="24"/>
          <w:szCs w:val="24"/>
        </w:rPr>
        <w:t xml:space="preserve"> </w:t>
      </w:r>
      <w:r w:rsidR="00CF7742" w:rsidRPr="007675F7">
        <w:rPr>
          <w:rFonts w:ascii="Times New Roman" w:hAnsi="Times New Roman"/>
          <w:sz w:val="24"/>
          <w:szCs w:val="24"/>
        </w:rPr>
        <w:t>large fraction of the</w:t>
      </w:r>
      <w:r w:rsidR="00D2635F" w:rsidRPr="007675F7">
        <w:rPr>
          <w:rFonts w:ascii="Times New Roman" w:hAnsi="Times New Roman"/>
          <w:sz w:val="24"/>
          <w:szCs w:val="24"/>
        </w:rPr>
        <w:t xml:space="preserve"> city’s </w:t>
      </w:r>
      <w:r w:rsidR="00F22B0D" w:rsidRPr="007675F7">
        <w:rPr>
          <w:rFonts w:ascii="Times New Roman" w:hAnsi="Times New Roman"/>
          <w:sz w:val="24"/>
          <w:szCs w:val="24"/>
        </w:rPr>
        <w:t xml:space="preserve">domestic waste as well as </w:t>
      </w:r>
      <w:r w:rsidR="00D2635F" w:rsidRPr="007675F7">
        <w:rPr>
          <w:rFonts w:ascii="Times New Roman" w:hAnsi="Times New Roman"/>
          <w:sz w:val="24"/>
          <w:szCs w:val="24"/>
        </w:rPr>
        <w:t>treated and untreated sewage</w:t>
      </w:r>
      <w:r w:rsidR="00DD41EB" w:rsidRPr="007675F7">
        <w:rPr>
          <w:rFonts w:ascii="Times New Roman" w:hAnsi="Times New Roman"/>
          <w:sz w:val="24"/>
          <w:szCs w:val="24"/>
        </w:rPr>
        <w:t xml:space="preserve"> effluent is discharged into the estuary</w:t>
      </w:r>
      <w:r w:rsidR="00150FA3" w:rsidRPr="007675F7">
        <w:rPr>
          <w:rFonts w:ascii="Times New Roman" w:hAnsi="Times New Roman"/>
          <w:sz w:val="24"/>
          <w:szCs w:val="24"/>
        </w:rPr>
        <w:t xml:space="preserve"> (</w:t>
      </w:r>
      <w:r w:rsidR="00287A68" w:rsidRPr="007675F7">
        <w:rPr>
          <w:rFonts w:ascii="Times New Roman" w:hAnsi="Times New Roman"/>
          <w:sz w:val="24"/>
          <w:szCs w:val="24"/>
        </w:rPr>
        <w:t>Yau</w:t>
      </w:r>
      <w:r w:rsidR="00222A99">
        <w:rPr>
          <w:rFonts w:ascii="Times New Roman" w:hAnsi="Times New Roman"/>
          <w:sz w:val="24"/>
          <w:szCs w:val="24"/>
        </w:rPr>
        <w:t>, 1991;</w:t>
      </w:r>
      <w:r w:rsidR="00287A68" w:rsidRPr="007675F7">
        <w:rPr>
          <w:rFonts w:ascii="Times New Roman" w:hAnsi="Times New Roman"/>
          <w:sz w:val="24"/>
          <w:szCs w:val="24"/>
        </w:rPr>
        <w:t xml:space="preserve"> </w:t>
      </w:r>
      <w:r w:rsidR="00150FA3" w:rsidRPr="007675F7">
        <w:rPr>
          <w:rFonts w:ascii="Times New Roman" w:hAnsi="Times New Roman"/>
          <w:sz w:val="24"/>
          <w:szCs w:val="24"/>
        </w:rPr>
        <w:t>Marshall et al.</w:t>
      </w:r>
      <w:r w:rsidR="00222A99">
        <w:rPr>
          <w:rFonts w:ascii="Times New Roman" w:hAnsi="Times New Roman"/>
          <w:sz w:val="24"/>
          <w:szCs w:val="24"/>
        </w:rPr>
        <w:t>,</w:t>
      </w:r>
      <w:r w:rsidR="00150FA3" w:rsidRPr="007675F7">
        <w:rPr>
          <w:rFonts w:ascii="Times New Roman" w:hAnsi="Times New Roman"/>
          <w:sz w:val="24"/>
          <w:szCs w:val="24"/>
        </w:rPr>
        <w:t xml:space="preserve"> 2008)</w:t>
      </w:r>
      <w:r w:rsidR="00DD41EB" w:rsidRPr="007675F7">
        <w:rPr>
          <w:rFonts w:ascii="Times New Roman" w:hAnsi="Times New Roman"/>
          <w:sz w:val="24"/>
          <w:szCs w:val="24"/>
        </w:rPr>
        <w:t>.</w:t>
      </w:r>
      <w:r w:rsidR="00D2635F" w:rsidRPr="007675F7">
        <w:rPr>
          <w:rFonts w:ascii="Times New Roman" w:hAnsi="Times New Roman"/>
          <w:sz w:val="24"/>
          <w:szCs w:val="24"/>
        </w:rPr>
        <w:t xml:space="preserve"> </w:t>
      </w:r>
      <w:r w:rsidR="00984205">
        <w:rPr>
          <w:rFonts w:ascii="Times New Roman" w:hAnsi="Times New Roman"/>
          <w:sz w:val="24"/>
          <w:szCs w:val="24"/>
        </w:rPr>
        <w:t xml:space="preserve">Furthermore, a large traditional water village (Kampong Ayer, current population </w:t>
      </w:r>
      <w:r w:rsidR="00F75E85">
        <w:rPr>
          <w:rFonts w:ascii="Times New Roman" w:hAnsi="Times New Roman"/>
          <w:sz w:val="24"/>
          <w:szCs w:val="24"/>
        </w:rPr>
        <w:t>c</w:t>
      </w:r>
      <w:r w:rsidR="00984205">
        <w:rPr>
          <w:rFonts w:ascii="Times New Roman" w:hAnsi="Times New Roman"/>
          <w:sz w:val="24"/>
          <w:szCs w:val="24"/>
        </w:rPr>
        <w:t xml:space="preserve">. 15,000) is located on the estuarine water near BSB. The Sungai Brunei estuary is </w:t>
      </w:r>
      <w:r w:rsidR="00984205" w:rsidRPr="007675F7">
        <w:rPr>
          <w:rFonts w:ascii="Times New Roman" w:hAnsi="Times New Roman"/>
          <w:sz w:val="24"/>
          <w:szCs w:val="24"/>
        </w:rPr>
        <w:t>distinctly brown</w:t>
      </w:r>
      <w:r w:rsidR="00984205">
        <w:rPr>
          <w:rFonts w:ascii="Times New Roman" w:hAnsi="Times New Roman"/>
          <w:sz w:val="24"/>
          <w:szCs w:val="24"/>
        </w:rPr>
        <w:t xml:space="preserve"> and </w:t>
      </w:r>
      <w:r w:rsidR="00984205" w:rsidRPr="007675F7">
        <w:rPr>
          <w:rFonts w:ascii="Times New Roman" w:hAnsi="Times New Roman"/>
          <w:sz w:val="24"/>
          <w:szCs w:val="24"/>
        </w:rPr>
        <w:t>highly turbid</w:t>
      </w:r>
      <w:r w:rsidR="00984205">
        <w:rPr>
          <w:rFonts w:ascii="Times New Roman" w:hAnsi="Times New Roman"/>
          <w:sz w:val="24"/>
          <w:szCs w:val="24"/>
        </w:rPr>
        <w:t xml:space="preserve">, and </w:t>
      </w:r>
      <w:r w:rsidR="00984205" w:rsidRPr="007675F7">
        <w:rPr>
          <w:rFonts w:ascii="Times New Roman" w:hAnsi="Times New Roman"/>
          <w:sz w:val="24"/>
          <w:szCs w:val="24"/>
        </w:rPr>
        <w:t>receives a significant organic load from both mangroves and urban centres</w:t>
      </w:r>
      <w:r w:rsidR="00984205">
        <w:rPr>
          <w:rFonts w:ascii="Times New Roman" w:hAnsi="Times New Roman"/>
          <w:sz w:val="24"/>
          <w:szCs w:val="24"/>
        </w:rPr>
        <w:t xml:space="preserve">. </w:t>
      </w:r>
      <w:r w:rsidR="00D2635F" w:rsidRPr="007675F7">
        <w:rPr>
          <w:rFonts w:ascii="Times New Roman" w:hAnsi="Times New Roman"/>
          <w:sz w:val="24"/>
          <w:szCs w:val="24"/>
        </w:rPr>
        <w:t xml:space="preserve">In addition, </w:t>
      </w:r>
      <w:r w:rsidR="00DD41EB" w:rsidRPr="007675F7">
        <w:rPr>
          <w:rFonts w:ascii="Times New Roman" w:hAnsi="Times New Roman"/>
          <w:sz w:val="24"/>
          <w:szCs w:val="24"/>
        </w:rPr>
        <w:t xml:space="preserve">the system </w:t>
      </w:r>
      <w:r w:rsidR="00D2635F" w:rsidRPr="007675F7">
        <w:rPr>
          <w:rFonts w:ascii="Times New Roman" w:hAnsi="Times New Roman"/>
          <w:sz w:val="24"/>
          <w:szCs w:val="24"/>
        </w:rPr>
        <w:t xml:space="preserve">is affected by </w:t>
      </w:r>
      <w:r w:rsidR="00F22B0D" w:rsidRPr="007675F7">
        <w:rPr>
          <w:rFonts w:ascii="Times New Roman" w:hAnsi="Times New Roman"/>
          <w:sz w:val="24"/>
          <w:szCs w:val="24"/>
        </w:rPr>
        <w:t xml:space="preserve">eutrophication, </w:t>
      </w:r>
      <w:r w:rsidR="005B5FD7" w:rsidRPr="007675F7">
        <w:rPr>
          <w:rFonts w:ascii="Times New Roman" w:hAnsi="Times New Roman"/>
          <w:sz w:val="24"/>
          <w:szCs w:val="24"/>
        </w:rPr>
        <w:t>a</w:t>
      </w:r>
      <w:r w:rsidR="00DB4DAF" w:rsidRPr="007675F7">
        <w:rPr>
          <w:rFonts w:ascii="Times New Roman" w:hAnsi="Times New Roman"/>
          <w:sz w:val="24"/>
          <w:szCs w:val="24"/>
        </w:rPr>
        <w:t>cidic sulphate groundwater inflows</w:t>
      </w:r>
      <w:r w:rsidR="005B5FD7" w:rsidRPr="007675F7">
        <w:rPr>
          <w:rFonts w:ascii="Times New Roman" w:hAnsi="Times New Roman"/>
          <w:sz w:val="24"/>
          <w:szCs w:val="24"/>
        </w:rPr>
        <w:t xml:space="preserve">, and </w:t>
      </w:r>
      <w:r w:rsidR="00F22B0D" w:rsidRPr="007675F7">
        <w:rPr>
          <w:rFonts w:ascii="Times New Roman" w:hAnsi="Times New Roman"/>
          <w:sz w:val="24"/>
          <w:szCs w:val="24"/>
        </w:rPr>
        <w:t>heter</w:t>
      </w:r>
      <w:r w:rsidR="005B5FD7" w:rsidRPr="007675F7">
        <w:rPr>
          <w:rFonts w:ascii="Times New Roman" w:hAnsi="Times New Roman"/>
          <w:sz w:val="24"/>
          <w:szCs w:val="24"/>
        </w:rPr>
        <w:t>o</w:t>
      </w:r>
      <w:r w:rsidR="00F22B0D" w:rsidRPr="007675F7">
        <w:rPr>
          <w:rFonts w:ascii="Times New Roman" w:hAnsi="Times New Roman"/>
          <w:sz w:val="24"/>
          <w:szCs w:val="24"/>
        </w:rPr>
        <w:t>trophic metabolism</w:t>
      </w:r>
      <w:r w:rsidR="005B5FD7" w:rsidRPr="007675F7">
        <w:rPr>
          <w:rFonts w:ascii="Times New Roman" w:hAnsi="Times New Roman"/>
          <w:sz w:val="24"/>
          <w:szCs w:val="24"/>
        </w:rPr>
        <w:t>. As a result</w:t>
      </w:r>
      <w:r w:rsidR="00DA5CCD" w:rsidRPr="007675F7">
        <w:rPr>
          <w:rFonts w:ascii="Times New Roman" w:hAnsi="Times New Roman"/>
          <w:sz w:val="24"/>
          <w:szCs w:val="24"/>
        </w:rPr>
        <w:t>,</w:t>
      </w:r>
      <w:r w:rsidR="00984205">
        <w:rPr>
          <w:rFonts w:ascii="Times New Roman" w:hAnsi="Times New Roman"/>
          <w:sz w:val="24"/>
          <w:szCs w:val="24"/>
        </w:rPr>
        <w:t xml:space="preserve"> steep</w:t>
      </w:r>
      <w:r w:rsidR="005B5FD7" w:rsidRPr="007675F7">
        <w:rPr>
          <w:rFonts w:ascii="Times New Roman" w:hAnsi="Times New Roman"/>
          <w:sz w:val="24"/>
          <w:szCs w:val="24"/>
        </w:rPr>
        <w:t xml:space="preserve"> pH and salinity </w:t>
      </w:r>
      <w:r w:rsidR="00984205">
        <w:rPr>
          <w:rFonts w:ascii="Times New Roman" w:hAnsi="Times New Roman"/>
          <w:sz w:val="24"/>
          <w:szCs w:val="24"/>
        </w:rPr>
        <w:t>gradient</w:t>
      </w:r>
      <w:r w:rsidR="00F75E85">
        <w:rPr>
          <w:rFonts w:ascii="Times New Roman" w:hAnsi="Times New Roman"/>
          <w:sz w:val="24"/>
          <w:szCs w:val="24"/>
        </w:rPr>
        <w:t>s</w:t>
      </w:r>
      <w:r w:rsidR="00984205">
        <w:rPr>
          <w:rFonts w:ascii="Times New Roman" w:hAnsi="Times New Roman"/>
          <w:sz w:val="24"/>
          <w:szCs w:val="24"/>
        </w:rPr>
        <w:t xml:space="preserve"> extend along</w:t>
      </w:r>
      <w:r w:rsidR="005B5FD7" w:rsidRPr="007675F7">
        <w:rPr>
          <w:rFonts w:ascii="Times New Roman" w:hAnsi="Times New Roman"/>
          <w:sz w:val="24"/>
          <w:szCs w:val="24"/>
        </w:rPr>
        <w:t xml:space="preserve"> the estuary.</w:t>
      </w:r>
      <w:r w:rsidR="00DA5CCD" w:rsidRPr="007675F7">
        <w:rPr>
          <w:rFonts w:ascii="Times New Roman" w:hAnsi="Times New Roman"/>
          <w:sz w:val="24"/>
          <w:szCs w:val="24"/>
        </w:rPr>
        <w:t xml:space="preserve"> Due to local dynamics, both pH and salinity are highly variable and range between 4.0-8.0 and 0-34 PSU, respectively (Bolhuis et al.</w:t>
      </w:r>
      <w:r w:rsidR="00222A99">
        <w:rPr>
          <w:rFonts w:ascii="Times New Roman" w:hAnsi="Times New Roman"/>
          <w:sz w:val="24"/>
          <w:szCs w:val="24"/>
        </w:rPr>
        <w:t>,</w:t>
      </w:r>
      <w:r w:rsidR="00DA5CCD" w:rsidRPr="007675F7">
        <w:rPr>
          <w:rFonts w:ascii="Times New Roman" w:hAnsi="Times New Roman"/>
          <w:sz w:val="24"/>
          <w:szCs w:val="24"/>
        </w:rPr>
        <w:t xml:space="preserve"> 2014).</w:t>
      </w:r>
    </w:p>
    <w:p w:rsidR="007750EE" w:rsidRPr="007675F7" w:rsidRDefault="007750EE" w:rsidP="00A70778">
      <w:pPr>
        <w:spacing w:after="0" w:line="480" w:lineRule="auto"/>
        <w:jc w:val="both"/>
        <w:rPr>
          <w:rFonts w:ascii="Times New Roman" w:hAnsi="Times New Roman"/>
          <w:sz w:val="24"/>
          <w:szCs w:val="24"/>
        </w:rPr>
      </w:pPr>
    </w:p>
    <w:p w:rsidR="00A70778" w:rsidRPr="007675F7" w:rsidRDefault="00DB4DAF" w:rsidP="00A70778">
      <w:pPr>
        <w:spacing w:after="0" w:line="480" w:lineRule="auto"/>
        <w:jc w:val="both"/>
        <w:rPr>
          <w:rFonts w:ascii="Times New Roman" w:hAnsi="Times New Roman"/>
          <w:i/>
          <w:sz w:val="24"/>
          <w:szCs w:val="24"/>
        </w:rPr>
      </w:pPr>
      <w:r w:rsidRPr="007675F7">
        <w:rPr>
          <w:rFonts w:ascii="Times New Roman" w:hAnsi="Times New Roman"/>
          <w:i/>
          <w:sz w:val="24"/>
          <w:szCs w:val="24"/>
        </w:rPr>
        <w:t>Phytoplankton sampling</w:t>
      </w:r>
    </w:p>
    <w:p w:rsidR="00A70778" w:rsidRPr="007675F7" w:rsidRDefault="00A70778" w:rsidP="007675F7">
      <w:pPr>
        <w:spacing w:line="480" w:lineRule="auto"/>
        <w:jc w:val="both"/>
        <w:rPr>
          <w:rFonts w:ascii="Times New Roman" w:hAnsi="Times New Roman"/>
          <w:sz w:val="24"/>
          <w:szCs w:val="24"/>
        </w:rPr>
      </w:pPr>
      <w:r w:rsidRPr="007675F7">
        <w:rPr>
          <w:rFonts w:ascii="Times New Roman" w:hAnsi="Times New Roman"/>
          <w:sz w:val="24"/>
          <w:szCs w:val="24"/>
        </w:rPr>
        <w:t xml:space="preserve">Phytoplankton samples were collected at four stations located along </w:t>
      </w:r>
      <w:r w:rsidR="00F63F8D" w:rsidRPr="007675F7">
        <w:rPr>
          <w:rFonts w:ascii="Times New Roman" w:hAnsi="Times New Roman"/>
          <w:sz w:val="24"/>
          <w:szCs w:val="24"/>
        </w:rPr>
        <w:t xml:space="preserve">the </w:t>
      </w:r>
      <w:r w:rsidR="00587D7C" w:rsidRPr="007675F7">
        <w:rPr>
          <w:rFonts w:ascii="Times New Roman" w:hAnsi="Times New Roman"/>
          <w:sz w:val="24"/>
          <w:szCs w:val="24"/>
        </w:rPr>
        <w:t xml:space="preserve">Brunei River </w:t>
      </w:r>
      <w:r w:rsidR="007675F7">
        <w:rPr>
          <w:rFonts w:ascii="Times New Roman" w:hAnsi="Times New Roman"/>
          <w:sz w:val="24"/>
          <w:szCs w:val="24"/>
        </w:rPr>
        <w:t>estuary</w:t>
      </w:r>
      <w:r w:rsidR="00051B09">
        <w:rPr>
          <w:rFonts w:ascii="Times New Roman" w:hAnsi="Times New Roman"/>
          <w:sz w:val="24"/>
          <w:szCs w:val="24"/>
        </w:rPr>
        <w:t>,</w:t>
      </w:r>
      <w:r w:rsidR="00776E2D" w:rsidRPr="007675F7">
        <w:rPr>
          <w:rFonts w:ascii="Times New Roman" w:hAnsi="Times New Roman"/>
          <w:sz w:val="24"/>
          <w:szCs w:val="24"/>
        </w:rPr>
        <w:t xml:space="preserve"> </w:t>
      </w:r>
      <w:r w:rsidR="007675F7">
        <w:rPr>
          <w:rFonts w:ascii="Times New Roman" w:hAnsi="Times New Roman"/>
          <w:sz w:val="24"/>
          <w:szCs w:val="24"/>
        </w:rPr>
        <w:t xml:space="preserve">Chermin Island (S1; </w:t>
      </w:r>
      <w:r w:rsidR="007675F7" w:rsidRPr="007675F7">
        <w:rPr>
          <w:rFonts w:ascii="Times New Roman" w:hAnsi="Times New Roman"/>
          <w:sz w:val="24"/>
          <w:szCs w:val="24"/>
        </w:rPr>
        <w:t>4.927650°</w:t>
      </w:r>
      <w:r w:rsidR="007675F7">
        <w:rPr>
          <w:rFonts w:ascii="Times New Roman" w:hAnsi="Times New Roman"/>
          <w:sz w:val="24"/>
          <w:szCs w:val="24"/>
        </w:rPr>
        <w:t xml:space="preserve">N, </w:t>
      </w:r>
      <w:r w:rsidR="007675F7" w:rsidRPr="007675F7">
        <w:rPr>
          <w:rFonts w:ascii="Times New Roman" w:hAnsi="Times New Roman"/>
          <w:sz w:val="24"/>
          <w:szCs w:val="24"/>
        </w:rPr>
        <w:t>115.020406°</w:t>
      </w:r>
      <w:r w:rsidR="007675F7">
        <w:rPr>
          <w:rFonts w:ascii="Times New Roman" w:hAnsi="Times New Roman"/>
          <w:sz w:val="24"/>
          <w:szCs w:val="24"/>
        </w:rPr>
        <w:t>E), Sungai Bunga (S2</w:t>
      </w:r>
      <w:r w:rsidR="00AF2698">
        <w:rPr>
          <w:rFonts w:ascii="Times New Roman" w:hAnsi="Times New Roman"/>
          <w:sz w:val="24"/>
          <w:szCs w:val="24"/>
        </w:rPr>
        <w:t xml:space="preserve">; 4.900956°N, </w:t>
      </w:r>
      <w:r w:rsidR="00AF2698" w:rsidRPr="00AF2698">
        <w:rPr>
          <w:rFonts w:ascii="Times New Roman" w:hAnsi="Times New Roman"/>
          <w:sz w:val="24"/>
          <w:szCs w:val="24"/>
        </w:rPr>
        <w:t>114.998353°</w:t>
      </w:r>
      <w:r w:rsidR="00AF2698">
        <w:rPr>
          <w:rFonts w:ascii="Times New Roman" w:hAnsi="Times New Roman"/>
          <w:sz w:val="24"/>
          <w:szCs w:val="24"/>
        </w:rPr>
        <w:t>E</w:t>
      </w:r>
      <w:r w:rsidR="007675F7">
        <w:rPr>
          <w:rFonts w:ascii="Times New Roman" w:hAnsi="Times New Roman"/>
          <w:sz w:val="24"/>
          <w:szCs w:val="24"/>
        </w:rPr>
        <w:t>), Pintu Malim (S</w:t>
      </w:r>
      <w:r w:rsidR="00776E2D" w:rsidRPr="007675F7">
        <w:rPr>
          <w:rFonts w:ascii="Times New Roman" w:hAnsi="Times New Roman"/>
          <w:sz w:val="24"/>
          <w:szCs w:val="24"/>
        </w:rPr>
        <w:t>3</w:t>
      </w:r>
      <w:r w:rsidR="00AF2698">
        <w:rPr>
          <w:rFonts w:ascii="Times New Roman" w:hAnsi="Times New Roman"/>
          <w:sz w:val="24"/>
          <w:szCs w:val="24"/>
        </w:rPr>
        <w:t xml:space="preserve">; </w:t>
      </w:r>
      <w:r w:rsidR="00AF2698" w:rsidRPr="00AF2698">
        <w:rPr>
          <w:rFonts w:ascii="Times New Roman" w:hAnsi="Times New Roman"/>
          <w:sz w:val="24"/>
          <w:szCs w:val="24"/>
        </w:rPr>
        <w:t>4.888897°</w:t>
      </w:r>
      <w:r w:rsidR="00AF2698">
        <w:rPr>
          <w:rFonts w:ascii="Times New Roman" w:hAnsi="Times New Roman"/>
          <w:sz w:val="24"/>
          <w:szCs w:val="24"/>
        </w:rPr>
        <w:t xml:space="preserve">N, </w:t>
      </w:r>
      <w:r w:rsidR="00AF2698" w:rsidRPr="00AF2698">
        <w:rPr>
          <w:rFonts w:ascii="Times New Roman" w:hAnsi="Times New Roman"/>
          <w:sz w:val="24"/>
          <w:szCs w:val="24"/>
        </w:rPr>
        <w:t>114.979133°</w:t>
      </w:r>
      <w:r w:rsidR="00AF2698">
        <w:rPr>
          <w:rFonts w:ascii="Times New Roman" w:hAnsi="Times New Roman"/>
          <w:sz w:val="24"/>
          <w:szCs w:val="24"/>
        </w:rPr>
        <w:t>E</w:t>
      </w:r>
      <w:r w:rsidR="00776E2D" w:rsidRPr="007675F7">
        <w:rPr>
          <w:rFonts w:ascii="Times New Roman" w:hAnsi="Times New Roman"/>
          <w:sz w:val="24"/>
          <w:szCs w:val="24"/>
        </w:rPr>
        <w:t>), and Kedayan</w:t>
      </w:r>
      <w:r w:rsidR="002B1816" w:rsidRPr="007675F7">
        <w:rPr>
          <w:rFonts w:ascii="Times New Roman" w:hAnsi="Times New Roman"/>
          <w:sz w:val="24"/>
          <w:szCs w:val="24"/>
        </w:rPr>
        <w:t xml:space="preserve"> R</w:t>
      </w:r>
      <w:r w:rsidR="00776E2D" w:rsidRPr="007675F7">
        <w:rPr>
          <w:rFonts w:ascii="Times New Roman" w:hAnsi="Times New Roman"/>
          <w:sz w:val="24"/>
          <w:szCs w:val="24"/>
        </w:rPr>
        <w:t>iver-</w:t>
      </w:r>
      <w:r w:rsidR="007675F7">
        <w:rPr>
          <w:rFonts w:ascii="Times New Roman" w:hAnsi="Times New Roman"/>
          <w:sz w:val="24"/>
          <w:szCs w:val="24"/>
        </w:rPr>
        <w:t>Kiulap (S</w:t>
      </w:r>
      <w:r w:rsidR="00776E2D" w:rsidRPr="007675F7">
        <w:rPr>
          <w:rFonts w:ascii="Times New Roman" w:hAnsi="Times New Roman"/>
          <w:sz w:val="24"/>
          <w:szCs w:val="24"/>
        </w:rPr>
        <w:t>4</w:t>
      </w:r>
      <w:r w:rsidR="00AF2698">
        <w:rPr>
          <w:rFonts w:ascii="Times New Roman" w:hAnsi="Times New Roman"/>
          <w:sz w:val="24"/>
          <w:szCs w:val="24"/>
        </w:rPr>
        <w:t xml:space="preserve">; 4.886733°N, </w:t>
      </w:r>
      <w:r w:rsidR="00AF2698" w:rsidRPr="00AF2698">
        <w:rPr>
          <w:rFonts w:ascii="Times New Roman" w:hAnsi="Times New Roman"/>
          <w:sz w:val="24"/>
          <w:szCs w:val="24"/>
        </w:rPr>
        <w:t>114.936767°</w:t>
      </w:r>
      <w:r w:rsidR="00AF2698">
        <w:rPr>
          <w:rFonts w:ascii="Times New Roman" w:hAnsi="Times New Roman"/>
          <w:sz w:val="24"/>
          <w:szCs w:val="24"/>
        </w:rPr>
        <w:t>E</w:t>
      </w:r>
      <w:r w:rsidR="00776E2D" w:rsidRPr="007675F7">
        <w:rPr>
          <w:rFonts w:ascii="Times New Roman" w:hAnsi="Times New Roman"/>
          <w:sz w:val="24"/>
          <w:szCs w:val="24"/>
        </w:rPr>
        <w:t>)</w:t>
      </w:r>
      <w:r w:rsidR="00051B09">
        <w:rPr>
          <w:rFonts w:ascii="Times New Roman" w:hAnsi="Times New Roman"/>
          <w:sz w:val="24"/>
          <w:szCs w:val="24"/>
        </w:rPr>
        <w:t>. These</w:t>
      </w:r>
      <w:r w:rsidR="00776E2D" w:rsidRPr="007675F7">
        <w:rPr>
          <w:rFonts w:ascii="Times New Roman" w:hAnsi="Times New Roman"/>
          <w:sz w:val="24"/>
          <w:szCs w:val="24"/>
        </w:rPr>
        <w:t xml:space="preserve"> were selected to display a strong gradient of pH and salinity</w:t>
      </w:r>
      <w:r w:rsidRPr="007675F7">
        <w:rPr>
          <w:rFonts w:ascii="Times New Roman" w:hAnsi="Times New Roman"/>
          <w:sz w:val="24"/>
          <w:szCs w:val="24"/>
        </w:rPr>
        <w:t xml:space="preserve"> </w:t>
      </w:r>
      <w:r w:rsidR="00776E2D" w:rsidRPr="007675F7">
        <w:rPr>
          <w:rFonts w:ascii="Times New Roman" w:hAnsi="Times New Roman"/>
          <w:sz w:val="24"/>
          <w:szCs w:val="24"/>
        </w:rPr>
        <w:lastRenderedPageBreak/>
        <w:t>(Fig. 1)</w:t>
      </w:r>
      <w:r w:rsidRPr="007675F7">
        <w:rPr>
          <w:rFonts w:ascii="Times New Roman" w:hAnsi="Times New Roman"/>
          <w:sz w:val="24"/>
          <w:szCs w:val="24"/>
        </w:rPr>
        <w:t xml:space="preserve">. Sampling </w:t>
      </w:r>
      <w:r w:rsidR="00F75E85">
        <w:rPr>
          <w:rFonts w:ascii="Times New Roman" w:hAnsi="Times New Roman"/>
          <w:sz w:val="24"/>
          <w:szCs w:val="24"/>
        </w:rPr>
        <w:t>was</w:t>
      </w:r>
      <w:r w:rsidR="00F75E85" w:rsidRPr="007675F7">
        <w:rPr>
          <w:rFonts w:ascii="Times New Roman" w:hAnsi="Times New Roman"/>
          <w:sz w:val="24"/>
          <w:szCs w:val="24"/>
        </w:rPr>
        <w:t xml:space="preserve"> </w:t>
      </w:r>
      <w:r w:rsidRPr="007675F7">
        <w:rPr>
          <w:rFonts w:ascii="Times New Roman" w:hAnsi="Times New Roman"/>
          <w:sz w:val="24"/>
          <w:szCs w:val="24"/>
        </w:rPr>
        <w:t xml:space="preserve">carried out </w:t>
      </w:r>
      <w:r w:rsidR="00051B09">
        <w:rPr>
          <w:rFonts w:ascii="Times New Roman" w:hAnsi="Times New Roman"/>
          <w:sz w:val="24"/>
          <w:szCs w:val="24"/>
        </w:rPr>
        <w:t xml:space="preserve">every </w:t>
      </w:r>
      <w:r w:rsidRPr="007675F7">
        <w:rPr>
          <w:rFonts w:ascii="Times New Roman" w:hAnsi="Times New Roman"/>
          <w:sz w:val="24"/>
          <w:szCs w:val="24"/>
        </w:rPr>
        <w:t xml:space="preserve">between August 2011 and June 2012. </w:t>
      </w:r>
      <w:r w:rsidR="00051B09">
        <w:rPr>
          <w:rFonts w:ascii="Times New Roman" w:hAnsi="Times New Roman"/>
          <w:sz w:val="24"/>
          <w:szCs w:val="24"/>
        </w:rPr>
        <w:t>H</w:t>
      </w:r>
      <w:r w:rsidRPr="007675F7">
        <w:rPr>
          <w:rFonts w:ascii="Times New Roman" w:hAnsi="Times New Roman"/>
          <w:sz w:val="24"/>
          <w:szCs w:val="24"/>
        </w:rPr>
        <w:t>eavy rainfall</w:t>
      </w:r>
      <w:r w:rsidR="00F63F8D" w:rsidRPr="007675F7">
        <w:rPr>
          <w:rFonts w:ascii="Times New Roman" w:hAnsi="Times New Roman"/>
          <w:sz w:val="24"/>
          <w:szCs w:val="24"/>
        </w:rPr>
        <w:t xml:space="preserve"> associated with</w:t>
      </w:r>
      <w:r w:rsidRPr="007675F7">
        <w:rPr>
          <w:rFonts w:ascii="Times New Roman" w:hAnsi="Times New Roman"/>
          <w:sz w:val="24"/>
          <w:szCs w:val="24"/>
        </w:rPr>
        <w:t xml:space="preserve"> the Asian monsoons</w:t>
      </w:r>
      <w:r w:rsidR="00051B09">
        <w:rPr>
          <w:rFonts w:ascii="Times New Roman" w:hAnsi="Times New Roman"/>
          <w:sz w:val="24"/>
          <w:szCs w:val="24"/>
        </w:rPr>
        <w:t xml:space="preserve"> (</w:t>
      </w:r>
      <w:r w:rsidR="00F63F8D" w:rsidRPr="007675F7">
        <w:rPr>
          <w:rFonts w:ascii="Times New Roman" w:hAnsi="Times New Roman"/>
          <w:sz w:val="24"/>
          <w:szCs w:val="24"/>
        </w:rPr>
        <w:t>north</w:t>
      </w:r>
      <w:r w:rsidR="00051B09">
        <w:rPr>
          <w:rFonts w:ascii="Times New Roman" w:hAnsi="Times New Roman"/>
          <w:sz w:val="24"/>
          <w:szCs w:val="24"/>
        </w:rPr>
        <w:t>-</w:t>
      </w:r>
      <w:r w:rsidR="00F63F8D" w:rsidRPr="007675F7">
        <w:rPr>
          <w:rFonts w:ascii="Times New Roman" w:hAnsi="Times New Roman"/>
          <w:sz w:val="24"/>
          <w:szCs w:val="24"/>
        </w:rPr>
        <w:t>east</w:t>
      </w:r>
      <w:r w:rsidR="00051B09">
        <w:rPr>
          <w:rFonts w:ascii="Times New Roman" w:hAnsi="Times New Roman"/>
          <w:sz w:val="24"/>
          <w:szCs w:val="24"/>
        </w:rPr>
        <w:t>ern monsoon, NEM,</w:t>
      </w:r>
      <w:r w:rsidRPr="007675F7">
        <w:rPr>
          <w:rFonts w:ascii="Times New Roman" w:hAnsi="Times New Roman"/>
          <w:sz w:val="24"/>
          <w:szCs w:val="24"/>
        </w:rPr>
        <w:t xml:space="preserve"> from November to </w:t>
      </w:r>
      <w:r w:rsidR="00051B09">
        <w:rPr>
          <w:rFonts w:ascii="Times New Roman" w:hAnsi="Times New Roman"/>
          <w:sz w:val="24"/>
          <w:szCs w:val="24"/>
        </w:rPr>
        <w:t xml:space="preserve">March; </w:t>
      </w:r>
      <w:r w:rsidR="00F63F8D" w:rsidRPr="007675F7">
        <w:rPr>
          <w:rFonts w:ascii="Times New Roman" w:hAnsi="Times New Roman"/>
          <w:sz w:val="24"/>
          <w:szCs w:val="24"/>
        </w:rPr>
        <w:t>s</w:t>
      </w:r>
      <w:r w:rsidRPr="007675F7">
        <w:rPr>
          <w:rFonts w:ascii="Times New Roman" w:hAnsi="Times New Roman"/>
          <w:sz w:val="24"/>
          <w:szCs w:val="24"/>
        </w:rPr>
        <w:t>outh</w:t>
      </w:r>
      <w:r w:rsidR="00F63F8D" w:rsidRPr="007675F7">
        <w:rPr>
          <w:rFonts w:ascii="Times New Roman" w:hAnsi="Times New Roman"/>
          <w:sz w:val="24"/>
          <w:szCs w:val="24"/>
        </w:rPr>
        <w:t>-</w:t>
      </w:r>
      <w:r w:rsidRPr="007675F7">
        <w:rPr>
          <w:rFonts w:ascii="Times New Roman" w:hAnsi="Times New Roman"/>
          <w:sz w:val="24"/>
          <w:szCs w:val="24"/>
        </w:rPr>
        <w:t>west</w:t>
      </w:r>
      <w:r w:rsidR="00051B09">
        <w:rPr>
          <w:rFonts w:ascii="Times New Roman" w:hAnsi="Times New Roman"/>
          <w:sz w:val="24"/>
          <w:szCs w:val="24"/>
        </w:rPr>
        <w:t>ern monsoon, SWM,</w:t>
      </w:r>
      <w:r w:rsidR="00F63F8D" w:rsidRPr="007675F7">
        <w:rPr>
          <w:rFonts w:ascii="Times New Roman" w:hAnsi="Times New Roman"/>
          <w:sz w:val="24"/>
          <w:szCs w:val="24"/>
        </w:rPr>
        <w:t xml:space="preserve"> from May to September), as well as the dry inter-m</w:t>
      </w:r>
      <w:r w:rsidRPr="007675F7">
        <w:rPr>
          <w:rFonts w:ascii="Times New Roman" w:hAnsi="Times New Roman"/>
          <w:sz w:val="24"/>
          <w:szCs w:val="24"/>
        </w:rPr>
        <w:t>onsoon periods (April and October)</w:t>
      </w:r>
      <w:r w:rsidR="00051B09">
        <w:rPr>
          <w:rFonts w:ascii="Times New Roman" w:hAnsi="Times New Roman"/>
          <w:sz w:val="24"/>
          <w:szCs w:val="24"/>
        </w:rPr>
        <w:t>,</w:t>
      </w:r>
      <w:r w:rsidR="00F63F8D" w:rsidRPr="007675F7">
        <w:rPr>
          <w:rFonts w:ascii="Times New Roman" w:hAnsi="Times New Roman"/>
          <w:sz w:val="24"/>
          <w:szCs w:val="24"/>
        </w:rPr>
        <w:t xml:space="preserve"> </w:t>
      </w:r>
      <w:r w:rsidR="00051B09" w:rsidRPr="007675F7">
        <w:rPr>
          <w:rFonts w:ascii="Times New Roman" w:hAnsi="Times New Roman"/>
          <w:sz w:val="24"/>
          <w:szCs w:val="24"/>
        </w:rPr>
        <w:t xml:space="preserve">significantly </w:t>
      </w:r>
      <w:r w:rsidR="00984205">
        <w:rPr>
          <w:rFonts w:ascii="Times New Roman" w:hAnsi="Times New Roman"/>
          <w:sz w:val="24"/>
          <w:szCs w:val="24"/>
        </w:rPr>
        <w:t>affect</w:t>
      </w:r>
      <w:r w:rsidR="00F63F8D" w:rsidRPr="007675F7">
        <w:rPr>
          <w:rFonts w:ascii="Times New Roman" w:hAnsi="Times New Roman"/>
          <w:sz w:val="24"/>
          <w:szCs w:val="24"/>
        </w:rPr>
        <w:t xml:space="preserve"> the local conditions</w:t>
      </w:r>
      <w:r w:rsidR="00222A99">
        <w:rPr>
          <w:rFonts w:ascii="Times New Roman" w:hAnsi="Times New Roman"/>
          <w:sz w:val="24"/>
          <w:szCs w:val="24"/>
        </w:rPr>
        <w:t xml:space="preserve"> (Adam</w:t>
      </w:r>
      <w:r w:rsidR="003A38E0" w:rsidRPr="007675F7">
        <w:rPr>
          <w:rFonts w:ascii="Times New Roman" w:hAnsi="Times New Roman"/>
          <w:sz w:val="24"/>
          <w:szCs w:val="24"/>
        </w:rPr>
        <w:t xml:space="preserve"> A.</w:t>
      </w:r>
      <w:r w:rsidR="00222A99">
        <w:rPr>
          <w:rFonts w:ascii="Times New Roman" w:hAnsi="Times New Roman"/>
          <w:sz w:val="24"/>
          <w:szCs w:val="24"/>
        </w:rPr>
        <w:t>,</w:t>
      </w:r>
      <w:r w:rsidR="003A38E0" w:rsidRPr="007675F7">
        <w:rPr>
          <w:rFonts w:ascii="Times New Roman" w:hAnsi="Times New Roman"/>
          <w:sz w:val="24"/>
          <w:szCs w:val="24"/>
        </w:rPr>
        <w:t xml:space="preserve"> personal observations</w:t>
      </w:r>
      <w:r w:rsidRPr="007675F7">
        <w:rPr>
          <w:rFonts w:ascii="Times New Roman" w:hAnsi="Times New Roman"/>
          <w:sz w:val="24"/>
          <w:szCs w:val="24"/>
        </w:rPr>
        <w:t xml:space="preserve">). </w:t>
      </w:r>
    </w:p>
    <w:p w:rsidR="00426C5D" w:rsidRPr="007675F7" w:rsidRDefault="003A38E0" w:rsidP="00426C5D">
      <w:pPr>
        <w:spacing w:after="0" w:line="480" w:lineRule="auto"/>
        <w:ind w:firstLine="720"/>
        <w:jc w:val="both"/>
        <w:rPr>
          <w:rFonts w:ascii="Times New Roman" w:hAnsi="Times New Roman"/>
          <w:sz w:val="24"/>
          <w:szCs w:val="24"/>
        </w:rPr>
      </w:pPr>
      <w:r w:rsidRPr="007675F7">
        <w:rPr>
          <w:rFonts w:ascii="Times New Roman" w:hAnsi="Times New Roman"/>
          <w:sz w:val="24"/>
          <w:szCs w:val="24"/>
        </w:rPr>
        <w:t>P</w:t>
      </w:r>
      <w:r w:rsidR="00A70778" w:rsidRPr="007675F7">
        <w:rPr>
          <w:rFonts w:ascii="Times New Roman" w:hAnsi="Times New Roman"/>
          <w:sz w:val="24"/>
          <w:szCs w:val="24"/>
        </w:rPr>
        <w:t xml:space="preserve">hytoplankton </w:t>
      </w:r>
      <w:r w:rsidRPr="007675F7">
        <w:rPr>
          <w:rFonts w:ascii="Times New Roman" w:hAnsi="Times New Roman"/>
          <w:sz w:val="24"/>
          <w:szCs w:val="24"/>
        </w:rPr>
        <w:t xml:space="preserve">samples </w:t>
      </w:r>
      <w:r w:rsidR="00A70778" w:rsidRPr="007675F7">
        <w:rPr>
          <w:rFonts w:ascii="Times New Roman" w:hAnsi="Times New Roman"/>
          <w:sz w:val="24"/>
          <w:szCs w:val="24"/>
        </w:rPr>
        <w:t>were c</w:t>
      </w:r>
      <w:r w:rsidR="00426C5D" w:rsidRPr="007675F7">
        <w:rPr>
          <w:rFonts w:ascii="Times New Roman" w:hAnsi="Times New Roman"/>
          <w:sz w:val="24"/>
          <w:szCs w:val="24"/>
        </w:rPr>
        <w:t>ollected by towing a</w:t>
      </w:r>
      <w:r w:rsidR="00A70778" w:rsidRPr="007675F7">
        <w:rPr>
          <w:rFonts w:ascii="Times New Roman" w:hAnsi="Times New Roman"/>
          <w:sz w:val="24"/>
          <w:szCs w:val="24"/>
        </w:rPr>
        <w:t xml:space="preserve"> </w:t>
      </w:r>
      <w:r w:rsidRPr="007675F7">
        <w:rPr>
          <w:rFonts w:ascii="Times New Roman" w:hAnsi="Times New Roman"/>
          <w:sz w:val="24"/>
          <w:szCs w:val="24"/>
        </w:rPr>
        <w:t>plankton net (20 µm mesh) behind a small boat ca.</w:t>
      </w:r>
      <w:r w:rsidR="00A70778" w:rsidRPr="007675F7">
        <w:rPr>
          <w:rFonts w:ascii="Times New Roman" w:hAnsi="Times New Roman"/>
          <w:sz w:val="24"/>
          <w:szCs w:val="24"/>
        </w:rPr>
        <w:t xml:space="preserve"> 0.5 m under </w:t>
      </w:r>
      <w:r w:rsidRPr="007675F7">
        <w:rPr>
          <w:rFonts w:ascii="Times New Roman" w:hAnsi="Times New Roman"/>
          <w:sz w:val="24"/>
          <w:szCs w:val="24"/>
        </w:rPr>
        <w:t>the water surface.</w:t>
      </w:r>
      <w:r w:rsidR="00A70778" w:rsidRPr="007675F7">
        <w:rPr>
          <w:rFonts w:ascii="Times New Roman" w:hAnsi="Times New Roman"/>
          <w:sz w:val="24"/>
          <w:szCs w:val="24"/>
        </w:rPr>
        <w:t xml:space="preserve"> </w:t>
      </w:r>
      <w:r w:rsidR="00051B09">
        <w:rPr>
          <w:rFonts w:ascii="Times New Roman" w:hAnsi="Times New Roman"/>
          <w:sz w:val="24"/>
          <w:szCs w:val="24"/>
        </w:rPr>
        <w:t>On each sampling occasion</w:t>
      </w:r>
      <w:r w:rsidRPr="007675F7">
        <w:rPr>
          <w:rFonts w:ascii="Times New Roman" w:hAnsi="Times New Roman"/>
          <w:sz w:val="24"/>
          <w:szCs w:val="24"/>
        </w:rPr>
        <w:t>, a similar</w:t>
      </w:r>
      <w:r w:rsidR="00A70778" w:rsidRPr="007675F7">
        <w:rPr>
          <w:rFonts w:ascii="Times New Roman" w:hAnsi="Times New Roman"/>
          <w:sz w:val="24"/>
          <w:szCs w:val="24"/>
        </w:rPr>
        <w:t xml:space="preserve"> procedure was </w:t>
      </w:r>
      <w:r w:rsidR="00C150FA">
        <w:rPr>
          <w:rFonts w:ascii="Times New Roman" w:hAnsi="Times New Roman"/>
          <w:sz w:val="24"/>
          <w:szCs w:val="24"/>
        </w:rPr>
        <w:t>carried out for 3 min at a</w:t>
      </w:r>
      <w:r w:rsidR="00A70778" w:rsidRPr="007675F7">
        <w:rPr>
          <w:rFonts w:ascii="Times New Roman" w:hAnsi="Times New Roman"/>
          <w:sz w:val="24"/>
          <w:szCs w:val="24"/>
        </w:rPr>
        <w:t xml:space="preserve"> constant speed (2 ms</w:t>
      </w:r>
      <w:r w:rsidR="00A70778" w:rsidRPr="007675F7">
        <w:rPr>
          <w:rFonts w:ascii="Times New Roman" w:hAnsi="Times New Roman"/>
          <w:sz w:val="24"/>
          <w:szCs w:val="24"/>
          <w:vertAlign w:val="superscript"/>
        </w:rPr>
        <w:t>-1</w:t>
      </w:r>
      <w:r w:rsidR="00A70778" w:rsidRPr="007675F7">
        <w:rPr>
          <w:rFonts w:ascii="Times New Roman" w:hAnsi="Times New Roman"/>
          <w:sz w:val="24"/>
          <w:szCs w:val="24"/>
        </w:rPr>
        <w:t xml:space="preserve">). </w:t>
      </w:r>
      <w:r w:rsidR="0003313B" w:rsidRPr="007675F7">
        <w:rPr>
          <w:rFonts w:ascii="Times New Roman" w:hAnsi="Times New Roman"/>
          <w:sz w:val="24"/>
          <w:szCs w:val="24"/>
        </w:rPr>
        <w:t>Subsequently, collected material was</w:t>
      </w:r>
      <w:r w:rsidR="00A70778" w:rsidRPr="007675F7">
        <w:rPr>
          <w:rFonts w:ascii="Times New Roman" w:hAnsi="Times New Roman"/>
          <w:sz w:val="24"/>
          <w:szCs w:val="24"/>
        </w:rPr>
        <w:t xml:space="preserve"> concentrated</w:t>
      </w:r>
      <w:r w:rsidR="0003313B" w:rsidRPr="007675F7">
        <w:rPr>
          <w:rFonts w:ascii="Times New Roman" w:hAnsi="Times New Roman"/>
          <w:sz w:val="24"/>
          <w:szCs w:val="24"/>
        </w:rPr>
        <w:t>, transferred into</w:t>
      </w:r>
      <w:r w:rsidR="00A70778" w:rsidRPr="007675F7">
        <w:rPr>
          <w:rFonts w:ascii="Times New Roman" w:hAnsi="Times New Roman"/>
          <w:sz w:val="24"/>
          <w:szCs w:val="24"/>
        </w:rPr>
        <w:t xml:space="preserve"> 100 ml container</w:t>
      </w:r>
      <w:r w:rsidR="0003313B" w:rsidRPr="007675F7">
        <w:rPr>
          <w:rFonts w:ascii="Times New Roman" w:hAnsi="Times New Roman"/>
          <w:sz w:val="24"/>
          <w:szCs w:val="24"/>
        </w:rPr>
        <w:t>s, and preserved with Lugol</w:t>
      </w:r>
      <w:r w:rsidR="00C150FA">
        <w:rPr>
          <w:rFonts w:ascii="Times New Roman" w:hAnsi="Times New Roman"/>
          <w:sz w:val="24"/>
          <w:szCs w:val="24"/>
        </w:rPr>
        <w:t>’s</w:t>
      </w:r>
      <w:r w:rsidR="0003313B" w:rsidRPr="007675F7">
        <w:rPr>
          <w:rFonts w:ascii="Times New Roman" w:hAnsi="Times New Roman"/>
          <w:sz w:val="24"/>
          <w:szCs w:val="24"/>
        </w:rPr>
        <w:t xml:space="preserve"> i</w:t>
      </w:r>
      <w:r w:rsidR="00A70778" w:rsidRPr="007675F7">
        <w:rPr>
          <w:rFonts w:ascii="Times New Roman" w:hAnsi="Times New Roman"/>
          <w:sz w:val="24"/>
          <w:szCs w:val="24"/>
        </w:rPr>
        <w:t>odine solu</w:t>
      </w:r>
      <w:r w:rsidR="00C150FA">
        <w:rPr>
          <w:rFonts w:ascii="Times New Roman" w:hAnsi="Times New Roman"/>
          <w:sz w:val="24"/>
          <w:szCs w:val="24"/>
        </w:rPr>
        <w:t>tion. All sampling took place</w:t>
      </w:r>
      <w:r w:rsidR="00A70778" w:rsidRPr="007675F7">
        <w:rPr>
          <w:rFonts w:ascii="Times New Roman" w:hAnsi="Times New Roman"/>
          <w:sz w:val="24"/>
          <w:szCs w:val="24"/>
        </w:rPr>
        <w:t xml:space="preserve"> during the </w:t>
      </w:r>
      <w:r w:rsidR="0003313B" w:rsidRPr="007675F7">
        <w:rPr>
          <w:rFonts w:ascii="Times New Roman" w:hAnsi="Times New Roman"/>
          <w:sz w:val="24"/>
          <w:szCs w:val="24"/>
        </w:rPr>
        <w:t>daytime, at the same tidal level</w:t>
      </w:r>
      <w:r w:rsidR="003669F4" w:rsidRPr="007675F7">
        <w:rPr>
          <w:rFonts w:ascii="Times New Roman" w:hAnsi="Times New Roman"/>
          <w:sz w:val="24"/>
          <w:szCs w:val="24"/>
        </w:rPr>
        <w:t xml:space="preserve"> (</w:t>
      </w:r>
      <w:r w:rsidR="00C150FA">
        <w:rPr>
          <w:rFonts w:ascii="Times New Roman" w:hAnsi="Times New Roman"/>
          <w:sz w:val="24"/>
          <w:szCs w:val="24"/>
        </w:rPr>
        <w:t>just after high tide). Tidal levels</w:t>
      </w:r>
      <w:r w:rsidR="00AD3339" w:rsidRPr="007675F7">
        <w:rPr>
          <w:rFonts w:ascii="Times New Roman" w:hAnsi="Times New Roman"/>
          <w:sz w:val="24"/>
          <w:szCs w:val="24"/>
        </w:rPr>
        <w:t xml:space="preserve"> were</w:t>
      </w:r>
      <w:r w:rsidR="003669F4" w:rsidRPr="007675F7">
        <w:rPr>
          <w:rFonts w:ascii="Times New Roman" w:hAnsi="Times New Roman"/>
          <w:sz w:val="24"/>
          <w:szCs w:val="24"/>
        </w:rPr>
        <w:t xml:space="preserve"> estimated using TideComp v.7.04 (Pa</w:t>
      </w:r>
      <w:r w:rsidR="00996127" w:rsidRPr="007675F7">
        <w:rPr>
          <w:rFonts w:ascii="Times New Roman" w:hAnsi="Times New Roman"/>
          <w:sz w:val="24"/>
          <w:szCs w:val="24"/>
        </w:rPr>
        <w:t>ngolin, Bristol, UK</w:t>
      </w:r>
      <w:r w:rsidR="003669F4" w:rsidRPr="007675F7">
        <w:rPr>
          <w:rFonts w:ascii="Times New Roman" w:hAnsi="Times New Roman"/>
          <w:sz w:val="24"/>
          <w:szCs w:val="24"/>
        </w:rPr>
        <w:t>) software.</w:t>
      </w:r>
    </w:p>
    <w:p w:rsidR="00A70778" w:rsidRDefault="00996127" w:rsidP="00426C5D">
      <w:pPr>
        <w:spacing w:after="0" w:line="480" w:lineRule="auto"/>
        <w:ind w:firstLine="720"/>
        <w:jc w:val="both"/>
        <w:rPr>
          <w:rFonts w:ascii="Times New Roman" w:hAnsi="Times New Roman"/>
          <w:iCs/>
          <w:sz w:val="24"/>
          <w:szCs w:val="24"/>
          <w:lang w:val="en-US"/>
        </w:rPr>
      </w:pPr>
      <w:r w:rsidRPr="007675F7">
        <w:rPr>
          <w:rFonts w:ascii="Times New Roman" w:hAnsi="Times New Roman"/>
          <w:sz w:val="24"/>
          <w:szCs w:val="24"/>
        </w:rPr>
        <w:t>Sedgewick-Rafter counting slides</w:t>
      </w:r>
      <w:r w:rsidR="00A70778" w:rsidRPr="007675F7">
        <w:rPr>
          <w:rFonts w:ascii="Times New Roman" w:hAnsi="Times New Roman"/>
          <w:sz w:val="24"/>
          <w:szCs w:val="24"/>
        </w:rPr>
        <w:t xml:space="preserve"> </w:t>
      </w:r>
      <w:r w:rsidR="00F64ACF" w:rsidRPr="007675F7">
        <w:rPr>
          <w:rFonts w:ascii="Times New Roman" w:hAnsi="Times New Roman"/>
          <w:sz w:val="24"/>
          <w:szCs w:val="24"/>
        </w:rPr>
        <w:t>were used for phytoplankton identification and quantification. Prior to observation the samples were homogenised by gentl</w:t>
      </w:r>
      <w:r w:rsidR="00C150FA">
        <w:rPr>
          <w:rFonts w:ascii="Times New Roman" w:hAnsi="Times New Roman"/>
          <w:sz w:val="24"/>
          <w:szCs w:val="24"/>
        </w:rPr>
        <w:t>y agitating</w:t>
      </w:r>
      <w:r w:rsidR="00F64ACF" w:rsidRPr="007675F7">
        <w:rPr>
          <w:rFonts w:ascii="Times New Roman" w:hAnsi="Times New Roman"/>
          <w:sz w:val="24"/>
          <w:szCs w:val="24"/>
        </w:rPr>
        <w:t xml:space="preserve"> the sample bottle. From a well-mixed sample</w:t>
      </w:r>
      <w:r w:rsidR="00133B0A" w:rsidRPr="007675F7">
        <w:rPr>
          <w:rFonts w:ascii="Times New Roman" w:hAnsi="Times New Roman"/>
          <w:sz w:val="24"/>
          <w:szCs w:val="24"/>
        </w:rPr>
        <w:t>, 1 ml was dispensed into the counting cell</w:t>
      </w:r>
      <w:r w:rsidR="00F64ACF" w:rsidRPr="007675F7">
        <w:rPr>
          <w:rFonts w:ascii="Times New Roman" w:hAnsi="Times New Roman"/>
          <w:sz w:val="24"/>
          <w:szCs w:val="24"/>
        </w:rPr>
        <w:t xml:space="preserve"> </w:t>
      </w:r>
      <w:r w:rsidR="00A70778" w:rsidRPr="007675F7">
        <w:rPr>
          <w:rFonts w:ascii="Times New Roman" w:hAnsi="Times New Roman"/>
          <w:sz w:val="24"/>
          <w:szCs w:val="24"/>
        </w:rPr>
        <w:t>and viewed</w:t>
      </w:r>
      <w:r w:rsidR="00133B0A" w:rsidRPr="007675F7">
        <w:rPr>
          <w:rFonts w:ascii="Times New Roman" w:hAnsi="Times New Roman"/>
          <w:sz w:val="24"/>
          <w:szCs w:val="24"/>
        </w:rPr>
        <w:t xml:space="preserve"> under a </w:t>
      </w:r>
      <w:r w:rsidR="00350726" w:rsidRPr="007675F7">
        <w:rPr>
          <w:rFonts w:ascii="Times New Roman" w:hAnsi="Times New Roman"/>
          <w:sz w:val="24"/>
          <w:szCs w:val="24"/>
        </w:rPr>
        <w:t>compound</w:t>
      </w:r>
      <w:r w:rsidR="00133B0A" w:rsidRPr="007675F7">
        <w:rPr>
          <w:rFonts w:ascii="Times New Roman" w:hAnsi="Times New Roman"/>
          <w:sz w:val="24"/>
          <w:szCs w:val="24"/>
        </w:rPr>
        <w:t xml:space="preserve"> microscope</w:t>
      </w:r>
      <w:r w:rsidRPr="007675F7">
        <w:rPr>
          <w:rFonts w:ascii="Times New Roman" w:hAnsi="Times New Roman"/>
          <w:sz w:val="24"/>
          <w:szCs w:val="24"/>
        </w:rPr>
        <w:t xml:space="preserve"> </w:t>
      </w:r>
      <w:r w:rsidR="00133B0A" w:rsidRPr="007675F7">
        <w:rPr>
          <w:rFonts w:ascii="Times New Roman" w:hAnsi="Times New Roman"/>
          <w:sz w:val="24"/>
          <w:szCs w:val="24"/>
        </w:rPr>
        <w:t xml:space="preserve">at </w:t>
      </w:r>
      <w:r w:rsidRPr="007675F7">
        <w:rPr>
          <w:rFonts w:ascii="Times New Roman" w:hAnsi="Times New Roman"/>
          <w:sz w:val="24"/>
          <w:szCs w:val="24"/>
        </w:rPr>
        <w:t>40x and 100x</w:t>
      </w:r>
      <w:r w:rsidR="00A70778" w:rsidRPr="007675F7">
        <w:rPr>
          <w:rFonts w:ascii="Times New Roman" w:hAnsi="Times New Roman"/>
          <w:sz w:val="24"/>
          <w:szCs w:val="24"/>
        </w:rPr>
        <w:t xml:space="preserve"> magnifications. This pro</w:t>
      </w:r>
      <w:r w:rsidR="00C150FA">
        <w:rPr>
          <w:rFonts w:ascii="Times New Roman" w:hAnsi="Times New Roman"/>
          <w:sz w:val="24"/>
          <w:szCs w:val="24"/>
        </w:rPr>
        <w:t>cedure was repeated three times and the final result was expressed as the</w:t>
      </w:r>
      <w:r w:rsidR="00350726" w:rsidRPr="007675F7">
        <w:rPr>
          <w:rFonts w:ascii="Times New Roman" w:hAnsi="Times New Roman"/>
          <w:sz w:val="24"/>
          <w:szCs w:val="24"/>
        </w:rPr>
        <w:t xml:space="preserve"> mean value of the three counts.</w:t>
      </w:r>
      <w:r w:rsidR="00C150FA">
        <w:rPr>
          <w:rFonts w:ascii="Times New Roman" w:hAnsi="Times New Roman"/>
          <w:sz w:val="24"/>
          <w:szCs w:val="24"/>
        </w:rPr>
        <w:t xml:space="preserve"> Collected phytoplankton were</w:t>
      </w:r>
      <w:r w:rsidR="00A70778" w:rsidRPr="007675F7">
        <w:rPr>
          <w:rFonts w:ascii="Times New Roman" w:hAnsi="Times New Roman"/>
          <w:sz w:val="24"/>
          <w:szCs w:val="24"/>
        </w:rPr>
        <w:t xml:space="preserve"> i</w:t>
      </w:r>
      <w:r w:rsidR="00C150FA">
        <w:rPr>
          <w:rFonts w:ascii="Times New Roman" w:hAnsi="Times New Roman"/>
          <w:sz w:val="24"/>
          <w:szCs w:val="24"/>
        </w:rPr>
        <w:t>dentified to the lowest taxonomic</w:t>
      </w:r>
      <w:r w:rsidR="00A70778" w:rsidRPr="007675F7">
        <w:rPr>
          <w:rFonts w:ascii="Times New Roman" w:hAnsi="Times New Roman"/>
          <w:sz w:val="24"/>
          <w:szCs w:val="24"/>
        </w:rPr>
        <w:t xml:space="preserve"> level </w:t>
      </w:r>
      <w:r w:rsidR="00C150FA">
        <w:rPr>
          <w:rFonts w:ascii="Times New Roman" w:hAnsi="Times New Roman"/>
          <w:sz w:val="24"/>
          <w:szCs w:val="24"/>
        </w:rPr>
        <w:t xml:space="preserve">possible </w:t>
      </w:r>
      <w:r w:rsidR="00A70778" w:rsidRPr="007675F7">
        <w:rPr>
          <w:rFonts w:ascii="Times New Roman" w:hAnsi="Times New Roman"/>
          <w:sz w:val="24"/>
          <w:szCs w:val="24"/>
        </w:rPr>
        <w:t>using relevant references (</w:t>
      </w:r>
      <w:r w:rsidR="00A70778" w:rsidRPr="00E10115">
        <w:rPr>
          <w:rFonts w:ascii="Times New Roman" w:hAnsi="Times New Roman"/>
          <w:sz w:val="24"/>
          <w:szCs w:val="24"/>
        </w:rPr>
        <w:t>e.g.</w:t>
      </w:r>
      <w:r w:rsidR="00E43410" w:rsidRPr="00E10115">
        <w:rPr>
          <w:rFonts w:ascii="Times New Roman" w:hAnsi="Times New Roman"/>
          <w:sz w:val="24"/>
          <w:szCs w:val="24"/>
        </w:rPr>
        <w:t xml:space="preserve"> Ehrenberg</w:t>
      </w:r>
      <w:r w:rsidR="00222A99">
        <w:rPr>
          <w:rFonts w:ascii="Times New Roman" w:hAnsi="Times New Roman"/>
          <w:sz w:val="24"/>
          <w:szCs w:val="24"/>
        </w:rPr>
        <w:t>, 1844;</w:t>
      </w:r>
      <w:r w:rsidR="00E10115" w:rsidRPr="00E10115">
        <w:rPr>
          <w:rFonts w:ascii="Times New Roman" w:hAnsi="Times New Roman"/>
          <w:sz w:val="24"/>
          <w:szCs w:val="24"/>
        </w:rPr>
        <w:t xml:space="preserve"> </w:t>
      </w:r>
      <w:r w:rsidR="00BC26A8">
        <w:rPr>
          <w:rFonts w:ascii="Times New Roman" w:hAnsi="Times New Roman"/>
          <w:sz w:val="24"/>
          <w:szCs w:val="24"/>
        </w:rPr>
        <w:t>Lauder</w:t>
      </w:r>
      <w:r w:rsidR="00222A99">
        <w:rPr>
          <w:rFonts w:ascii="Times New Roman" w:hAnsi="Times New Roman"/>
          <w:sz w:val="24"/>
          <w:szCs w:val="24"/>
        </w:rPr>
        <w:t>, 1864;</w:t>
      </w:r>
      <w:r w:rsidR="00BC26A8">
        <w:rPr>
          <w:rFonts w:ascii="Times New Roman" w:hAnsi="Times New Roman"/>
          <w:sz w:val="24"/>
          <w:szCs w:val="24"/>
        </w:rPr>
        <w:t xml:space="preserve"> </w:t>
      </w:r>
      <w:r w:rsidR="00E10115" w:rsidRPr="00E10115">
        <w:rPr>
          <w:rFonts w:ascii="Times New Roman" w:hAnsi="Times New Roman"/>
          <w:sz w:val="24"/>
          <w:szCs w:val="24"/>
        </w:rPr>
        <w:t>Schmidt</w:t>
      </w:r>
      <w:r w:rsidR="00222A99">
        <w:rPr>
          <w:rFonts w:ascii="Times New Roman" w:hAnsi="Times New Roman"/>
          <w:sz w:val="24"/>
          <w:szCs w:val="24"/>
        </w:rPr>
        <w:t>, 1874,</w:t>
      </w:r>
      <w:r w:rsidR="00E10115" w:rsidRPr="00E10115">
        <w:rPr>
          <w:rFonts w:ascii="Times New Roman" w:hAnsi="Times New Roman"/>
          <w:sz w:val="24"/>
          <w:szCs w:val="24"/>
        </w:rPr>
        <w:t xml:space="preserve"> 1878, 1888, 1890, 1892, 1893</w:t>
      </w:r>
      <w:r w:rsidR="00E10115">
        <w:rPr>
          <w:rFonts w:ascii="Times New Roman" w:hAnsi="Times New Roman"/>
          <w:sz w:val="24"/>
          <w:szCs w:val="24"/>
        </w:rPr>
        <w:t>;</w:t>
      </w:r>
      <w:r w:rsidR="00A70778" w:rsidRPr="00E10115">
        <w:rPr>
          <w:rFonts w:ascii="Times New Roman" w:hAnsi="Times New Roman"/>
          <w:sz w:val="24"/>
          <w:szCs w:val="24"/>
        </w:rPr>
        <w:t xml:space="preserve"> Shirota, 1966</w:t>
      </w:r>
      <w:r w:rsidR="00222A99">
        <w:rPr>
          <w:rFonts w:ascii="Times New Roman" w:hAnsi="Times New Roman"/>
          <w:sz w:val="24"/>
          <w:szCs w:val="24"/>
        </w:rPr>
        <w:t>;</w:t>
      </w:r>
      <w:r w:rsidR="00995055" w:rsidRPr="00E10115">
        <w:rPr>
          <w:rFonts w:ascii="Times New Roman" w:hAnsi="Times New Roman"/>
          <w:sz w:val="24"/>
          <w:szCs w:val="24"/>
        </w:rPr>
        <w:t xml:space="preserve"> Tomas, 1997</w:t>
      </w:r>
      <w:r w:rsidR="00A70778" w:rsidRPr="00E10115">
        <w:rPr>
          <w:rFonts w:ascii="Times New Roman" w:hAnsi="Times New Roman"/>
          <w:sz w:val="24"/>
          <w:szCs w:val="24"/>
        </w:rPr>
        <w:t>).</w:t>
      </w:r>
      <w:r w:rsidR="00A70778" w:rsidRPr="007675F7">
        <w:rPr>
          <w:rFonts w:ascii="Times New Roman" w:hAnsi="Times New Roman"/>
          <w:sz w:val="24"/>
          <w:szCs w:val="24"/>
        </w:rPr>
        <w:t xml:space="preserve"> Scanning electron microscopy of phytoplankton samples was undertaken in Italy (II University of Naples). Samples were shipped in Lugol’s solution. </w:t>
      </w:r>
      <w:r w:rsidR="00A70778" w:rsidRPr="007675F7">
        <w:rPr>
          <w:rFonts w:ascii="Times New Roman" w:hAnsi="Times New Roman"/>
          <w:iCs/>
          <w:sz w:val="24"/>
          <w:szCs w:val="24"/>
          <w:lang w:val="en-US"/>
        </w:rPr>
        <w:t>In order to remove all organic matter, material was dig</w:t>
      </w:r>
      <w:r w:rsidR="00C150FA">
        <w:rPr>
          <w:rFonts w:ascii="Times New Roman" w:hAnsi="Times New Roman"/>
          <w:iCs/>
          <w:sz w:val="24"/>
          <w:szCs w:val="24"/>
          <w:lang w:val="en-US"/>
        </w:rPr>
        <w:t xml:space="preserve">ested </w:t>
      </w:r>
      <w:r w:rsidR="00F75E85">
        <w:rPr>
          <w:rFonts w:ascii="Times New Roman" w:hAnsi="Times New Roman"/>
          <w:iCs/>
          <w:sz w:val="24"/>
          <w:szCs w:val="24"/>
          <w:lang w:val="en-US"/>
        </w:rPr>
        <w:t>following</w:t>
      </w:r>
      <w:r w:rsidR="00C150FA">
        <w:rPr>
          <w:rFonts w:ascii="Times New Roman" w:hAnsi="Times New Roman"/>
          <w:iCs/>
          <w:sz w:val="24"/>
          <w:szCs w:val="24"/>
          <w:lang w:val="en-US"/>
        </w:rPr>
        <w:t xml:space="preserve"> a slight modification of the method of</w:t>
      </w:r>
      <w:r w:rsidR="00A70778" w:rsidRPr="007675F7">
        <w:rPr>
          <w:rFonts w:ascii="Times New Roman" w:hAnsi="Times New Roman"/>
          <w:iCs/>
          <w:sz w:val="24"/>
          <w:szCs w:val="24"/>
          <w:lang w:val="en-US"/>
        </w:rPr>
        <w:t xml:space="preserve"> von Stosch (Hasle and Syvertsen</w:t>
      </w:r>
      <w:r w:rsidR="00222A99">
        <w:rPr>
          <w:rFonts w:ascii="Times New Roman" w:hAnsi="Times New Roman"/>
          <w:iCs/>
          <w:sz w:val="24"/>
          <w:szCs w:val="24"/>
          <w:lang w:val="en-US"/>
        </w:rPr>
        <w:t>,</w:t>
      </w:r>
      <w:r w:rsidR="00A70778" w:rsidRPr="007675F7">
        <w:rPr>
          <w:rFonts w:ascii="Times New Roman" w:hAnsi="Times New Roman"/>
          <w:iCs/>
          <w:sz w:val="24"/>
          <w:szCs w:val="24"/>
          <w:lang w:val="en-US"/>
        </w:rPr>
        <w:t xml:space="preserve"> 1997) using a mixture o</w:t>
      </w:r>
      <w:r w:rsidR="00C150FA">
        <w:rPr>
          <w:rFonts w:ascii="Times New Roman" w:hAnsi="Times New Roman"/>
          <w:iCs/>
          <w:sz w:val="24"/>
          <w:szCs w:val="24"/>
          <w:lang w:val="en-US"/>
        </w:rPr>
        <w:t>f boiling concentrated acid (64% nitric acid and 97</w:t>
      </w:r>
      <w:r w:rsidR="00A70778" w:rsidRPr="007675F7">
        <w:rPr>
          <w:rFonts w:ascii="Times New Roman" w:hAnsi="Times New Roman"/>
          <w:iCs/>
          <w:sz w:val="24"/>
          <w:szCs w:val="24"/>
          <w:lang w:val="en-US"/>
        </w:rPr>
        <w:t xml:space="preserve">% sulphuric acid added at a 1:3 volume ratio). Following digestion and centrifugation, cleaned material was </w:t>
      </w:r>
      <w:r w:rsidR="00A70778" w:rsidRPr="007675F7">
        <w:rPr>
          <w:rFonts w:ascii="Times New Roman" w:hAnsi="Times New Roman"/>
          <w:iCs/>
          <w:sz w:val="24"/>
          <w:szCs w:val="24"/>
          <w:lang w:val="en-US"/>
        </w:rPr>
        <w:lastRenderedPageBreak/>
        <w:t>rinsed and diluted with deionized water. Subsequently, the oxidized suspension was placed on alu</w:t>
      </w:r>
      <w:r w:rsidR="007F050B">
        <w:rPr>
          <w:rFonts w:ascii="Times New Roman" w:hAnsi="Times New Roman"/>
          <w:iCs/>
          <w:sz w:val="24"/>
          <w:szCs w:val="24"/>
          <w:lang w:val="en-US"/>
        </w:rPr>
        <w:t xml:space="preserve">minum stubs with </w:t>
      </w:r>
      <w:r w:rsidR="00F75E85">
        <w:rPr>
          <w:rFonts w:ascii="Times New Roman" w:hAnsi="Times New Roman"/>
          <w:iCs/>
          <w:sz w:val="24"/>
          <w:szCs w:val="24"/>
          <w:lang w:val="en-US"/>
        </w:rPr>
        <w:t xml:space="preserve">a </w:t>
      </w:r>
      <w:r w:rsidR="007F050B">
        <w:rPr>
          <w:rFonts w:ascii="Times New Roman" w:hAnsi="Times New Roman"/>
          <w:iCs/>
          <w:sz w:val="24"/>
          <w:szCs w:val="24"/>
          <w:lang w:val="en-US"/>
        </w:rPr>
        <w:t xml:space="preserve">carbon tape </w:t>
      </w:r>
      <w:r w:rsidR="00F75E85">
        <w:rPr>
          <w:rFonts w:ascii="Times New Roman" w:hAnsi="Times New Roman"/>
          <w:iCs/>
          <w:sz w:val="24"/>
          <w:szCs w:val="24"/>
          <w:lang w:val="en-US"/>
        </w:rPr>
        <w:t xml:space="preserve">on </w:t>
      </w:r>
      <w:r w:rsidR="007F050B">
        <w:rPr>
          <w:rFonts w:ascii="Times New Roman" w:hAnsi="Times New Roman"/>
          <w:iCs/>
          <w:sz w:val="24"/>
          <w:szCs w:val="24"/>
          <w:lang w:val="en-US"/>
        </w:rPr>
        <w:t>a</w:t>
      </w:r>
      <w:r w:rsidR="00A70778" w:rsidRPr="007675F7">
        <w:rPr>
          <w:rFonts w:ascii="Times New Roman" w:hAnsi="Times New Roman"/>
          <w:iCs/>
          <w:sz w:val="24"/>
          <w:szCs w:val="24"/>
          <w:lang w:val="en-US"/>
        </w:rPr>
        <w:t xml:space="preserve"> 3-µm Whatman™ polycarbonate membrane filter. The stubs were sputter-coated with </w:t>
      </w:r>
      <w:r w:rsidR="00F75E85">
        <w:rPr>
          <w:rFonts w:ascii="Times New Roman" w:hAnsi="Times New Roman"/>
          <w:iCs/>
          <w:sz w:val="24"/>
          <w:szCs w:val="24"/>
          <w:lang w:val="en-US"/>
        </w:rPr>
        <w:t>g</w:t>
      </w:r>
      <w:r w:rsidR="00A70778" w:rsidRPr="007675F7">
        <w:rPr>
          <w:rFonts w:ascii="Times New Roman" w:hAnsi="Times New Roman"/>
          <w:iCs/>
          <w:sz w:val="24"/>
          <w:szCs w:val="24"/>
          <w:lang w:val="en-US"/>
        </w:rPr>
        <w:t>old-</w:t>
      </w:r>
      <w:r w:rsidR="00F75E85">
        <w:rPr>
          <w:rFonts w:ascii="Times New Roman" w:hAnsi="Times New Roman"/>
          <w:iCs/>
          <w:sz w:val="24"/>
          <w:szCs w:val="24"/>
          <w:lang w:val="en-US"/>
        </w:rPr>
        <w:t>p</w:t>
      </w:r>
      <w:r w:rsidR="00A70778" w:rsidRPr="007675F7">
        <w:rPr>
          <w:rFonts w:ascii="Times New Roman" w:hAnsi="Times New Roman"/>
          <w:iCs/>
          <w:sz w:val="24"/>
          <w:szCs w:val="24"/>
          <w:lang w:val="en-US"/>
        </w:rPr>
        <w:t xml:space="preserve">alladium and </w:t>
      </w:r>
      <w:r w:rsidR="00F75E85">
        <w:rPr>
          <w:rFonts w:ascii="Times New Roman" w:hAnsi="Times New Roman"/>
          <w:iCs/>
          <w:sz w:val="24"/>
          <w:szCs w:val="24"/>
          <w:lang w:val="en-US"/>
        </w:rPr>
        <w:t>examined in</w:t>
      </w:r>
      <w:r w:rsidR="00A70778" w:rsidRPr="007675F7">
        <w:rPr>
          <w:rFonts w:ascii="Times New Roman" w:hAnsi="Times New Roman"/>
          <w:iCs/>
          <w:sz w:val="24"/>
          <w:szCs w:val="24"/>
          <w:lang w:val="en-US"/>
        </w:rPr>
        <w:t xml:space="preserve"> a ZEISS Supra 40 SEM microscope at 5 kV (Centro Grandi Apparecchiature, II University of Naples, Naples, Italy).</w:t>
      </w:r>
    </w:p>
    <w:p w:rsidR="00DF2BB2" w:rsidRPr="007675F7" w:rsidRDefault="00DF2BB2" w:rsidP="00426C5D">
      <w:pPr>
        <w:spacing w:after="0" w:line="480" w:lineRule="auto"/>
        <w:ind w:firstLine="720"/>
        <w:jc w:val="both"/>
        <w:rPr>
          <w:rFonts w:ascii="Times New Roman" w:hAnsi="Times New Roman"/>
          <w:sz w:val="24"/>
          <w:szCs w:val="24"/>
        </w:rPr>
      </w:pPr>
    </w:p>
    <w:p w:rsidR="00A70778" w:rsidRPr="007675F7" w:rsidRDefault="00A70778" w:rsidP="00A70778">
      <w:pPr>
        <w:spacing w:after="0" w:line="480" w:lineRule="auto"/>
        <w:jc w:val="both"/>
        <w:rPr>
          <w:rFonts w:ascii="Times New Roman" w:hAnsi="Times New Roman"/>
          <w:b/>
          <w:sz w:val="24"/>
          <w:szCs w:val="24"/>
        </w:rPr>
      </w:pPr>
    </w:p>
    <w:p w:rsidR="00A70778" w:rsidRPr="007675F7" w:rsidRDefault="00A70778" w:rsidP="00A70778">
      <w:pPr>
        <w:spacing w:after="0" w:line="480" w:lineRule="auto"/>
        <w:jc w:val="both"/>
        <w:rPr>
          <w:rFonts w:ascii="Times New Roman" w:hAnsi="Times New Roman"/>
          <w:i/>
          <w:sz w:val="24"/>
          <w:szCs w:val="24"/>
        </w:rPr>
      </w:pPr>
      <w:r w:rsidRPr="007675F7">
        <w:rPr>
          <w:rFonts w:ascii="Times New Roman" w:hAnsi="Times New Roman"/>
          <w:i/>
          <w:sz w:val="24"/>
          <w:szCs w:val="24"/>
        </w:rPr>
        <w:t>Physicochemical properties of water</w:t>
      </w:r>
    </w:p>
    <w:p w:rsidR="00721D08" w:rsidRDefault="00A70778" w:rsidP="00721D08">
      <w:pPr>
        <w:spacing w:after="0" w:line="480" w:lineRule="auto"/>
        <w:jc w:val="both"/>
        <w:rPr>
          <w:rFonts w:ascii="Times New Roman" w:hAnsi="Times New Roman"/>
          <w:sz w:val="24"/>
          <w:szCs w:val="24"/>
        </w:rPr>
      </w:pPr>
      <w:r w:rsidRPr="007675F7">
        <w:rPr>
          <w:rFonts w:ascii="Times New Roman" w:hAnsi="Times New Roman"/>
          <w:sz w:val="24"/>
          <w:szCs w:val="24"/>
        </w:rPr>
        <w:t>P</w:t>
      </w:r>
      <w:r w:rsidR="00D95A8C" w:rsidRPr="007675F7">
        <w:rPr>
          <w:rFonts w:ascii="Times New Roman" w:hAnsi="Times New Roman"/>
          <w:sz w:val="24"/>
          <w:szCs w:val="24"/>
        </w:rPr>
        <w:t xml:space="preserve">hysicochemical properties of </w:t>
      </w:r>
      <w:r w:rsidRPr="007675F7">
        <w:rPr>
          <w:rFonts w:ascii="Times New Roman" w:hAnsi="Times New Roman"/>
          <w:sz w:val="24"/>
          <w:szCs w:val="24"/>
        </w:rPr>
        <w:t>water (salinity, tempe</w:t>
      </w:r>
      <w:r w:rsidR="007F050B">
        <w:rPr>
          <w:rFonts w:ascii="Times New Roman" w:hAnsi="Times New Roman"/>
          <w:sz w:val="24"/>
          <w:szCs w:val="24"/>
        </w:rPr>
        <w:t xml:space="preserve">rature and pH) were measured </w:t>
      </w:r>
      <w:r w:rsidR="007F050B" w:rsidRPr="007F050B">
        <w:rPr>
          <w:rFonts w:ascii="Times New Roman" w:hAnsi="Times New Roman"/>
          <w:i/>
          <w:sz w:val="24"/>
          <w:szCs w:val="24"/>
        </w:rPr>
        <w:t xml:space="preserve">in </w:t>
      </w:r>
      <w:r w:rsidRPr="007F050B">
        <w:rPr>
          <w:rFonts w:ascii="Times New Roman" w:hAnsi="Times New Roman"/>
          <w:i/>
          <w:sz w:val="24"/>
          <w:szCs w:val="24"/>
        </w:rPr>
        <w:t>situ</w:t>
      </w:r>
      <w:r w:rsidRPr="007675F7">
        <w:rPr>
          <w:rFonts w:ascii="Times New Roman" w:hAnsi="Times New Roman"/>
          <w:sz w:val="24"/>
          <w:szCs w:val="24"/>
        </w:rPr>
        <w:t xml:space="preserve"> </w:t>
      </w:r>
      <w:r w:rsidR="00D95A8C" w:rsidRPr="007675F7">
        <w:rPr>
          <w:rFonts w:ascii="Times New Roman" w:hAnsi="Times New Roman"/>
          <w:sz w:val="24"/>
          <w:szCs w:val="24"/>
        </w:rPr>
        <w:t>(</w:t>
      </w:r>
      <w:r w:rsidR="007F050B">
        <w:rPr>
          <w:rFonts w:ascii="Times New Roman" w:hAnsi="Times New Roman"/>
          <w:sz w:val="24"/>
          <w:szCs w:val="24"/>
        </w:rPr>
        <w:t>at</w:t>
      </w:r>
      <w:r w:rsidR="00AD3339" w:rsidRPr="007675F7">
        <w:rPr>
          <w:rFonts w:ascii="Times New Roman" w:hAnsi="Times New Roman"/>
          <w:sz w:val="24"/>
          <w:szCs w:val="24"/>
        </w:rPr>
        <w:t xml:space="preserve"> 0.5 m</w:t>
      </w:r>
      <w:r w:rsidR="00D95A8C" w:rsidRPr="007675F7">
        <w:rPr>
          <w:rFonts w:ascii="Times New Roman" w:hAnsi="Times New Roman"/>
          <w:sz w:val="24"/>
          <w:szCs w:val="24"/>
        </w:rPr>
        <w:t xml:space="preserve"> depth) </w:t>
      </w:r>
      <w:r w:rsidRPr="007675F7">
        <w:rPr>
          <w:rFonts w:ascii="Times New Roman" w:hAnsi="Times New Roman"/>
          <w:sz w:val="24"/>
          <w:szCs w:val="24"/>
        </w:rPr>
        <w:t xml:space="preserve">at the time of </w:t>
      </w:r>
      <w:r w:rsidR="00D95A8C" w:rsidRPr="007675F7">
        <w:rPr>
          <w:rFonts w:ascii="Times New Roman" w:hAnsi="Times New Roman"/>
          <w:sz w:val="24"/>
          <w:szCs w:val="24"/>
        </w:rPr>
        <w:t>sampling</w:t>
      </w:r>
      <w:r w:rsidRPr="007675F7">
        <w:rPr>
          <w:rFonts w:ascii="Times New Roman" w:hAnsi="Times New Roman"/>
          <w:sz w:val="24"/>
          <w:szCs w:val="24"/>
        </w:rPr>
        <w:t xml:space="preserve"> using a calibrated pH and salinity meter (</w:t>
      </w:r>
      <w:r w:rsidR="00AD3339" w:rsidRPr="007675F7">
        <w:rPr>
          <w:rFonts w:ascii="Times New Roman" w:hAnsi="Times New Roman"/>
          <w:sz w:val="24"/>
          <w:szCs w:val="24"/>
        </w:rPr>
        <w:t xml:space="preserve">Hanna Instruments, </w:t>
      </w:r>
      <w:r w:rsidR="007F050B">
        <w:rPr>
          <w:rFonts w:ascii="Times New Roman" w:hAnsi="Times New Roman"/>
          <w:sz w:val="24"/>
          <w:szCs w:val="24"/>
        </w:rPr>
        <w:t>USA,</w:t>
      </w:r>
      <w:r w:rsidR="00AD3339" w:rsidRPr="007675F7">
        <w:rPr>
          <w:rFonts w:ascii="Times New Roman" w:hAnsi="Times New Roman"/>
          <w:sz w:val="24"/>
          <w:szCs w:val="24"/>
        </w:rPr>
        <w:t xml:space="preserve"> </w:t>
      </w:r>
      <w:r w:rsidRPr="007675F7">
        <w:rPr>
          <w:rFonts w:ascii="Times New Roman" w:hAnsi="Times New Roman"/>
          <w:sz w:val="24"/>
          <w:szCs w:val="24"/>
        </w:rPr>
        <w:t>two points calibration, used from A</w:t>
      </w:r>
      <w:r w:rsidR="00AD3339" w:rsidRPr="007675F7">
        <w:rPr>
          <w:rFonts w:ascii="Times New Roman" w:hAnsi="Times New Roman"/>
          <w:sz w:val="24"/>
          <w:szCs w:val="24"/>
        </w:rPr>
        <w:t xml:space="preserve">ugust 2011 to January 2012; </w:t>
      </w:r>
      <w:r w:rsidRPr="007675F7">
        <w:rPr>
          <w:rFonts w:ascii="Times New Roman" w:hAnsi="Times New Roman"/>
          <w:sz w:val="24"/>
          <w:szCs w:val="24"/>
        </w:rPr>
        <w:t xml:space="preserve">YSI </w:t>
      </w:r>
      <w:r w:rsidR="00AD3339" w:rsidRPr="007675F7">
        <w:rPr>
          <w:rFonts w:ascii="Times New Roman" w:hAnsi="Times New Roman"/>
          <w:sz w:val="24"/>
          <w:szCs w:val="24"/>
        </w:rPr>
        <w:t xml:space="preserve">Model 63, </w:t>
      </w:r>
      <w:r w:rsidRPr="007675F7">
        <w:rPr>
          <w:rFonts w:ascii="Times New Roman" w:hAnsi="Times New Roman"/>
          <w:sz w:val="24"/>
          <w:szCs w:val="24"/>
        </w:rPr>
        <w:t xml:space="preserve">Yellow Springs </w:t>
      </w:r>
      <w:r w:rsidR="007F050B">
        <w:rPr>
          <w:rFonts w:ascii="Times New Roman" w:hAnsi="Times New Roman"/>
          <w:sz w:val="24"/>
          <w:szCs w:val="24"/>
        </w:rPr>
        <w:t>Instrument Co., three points calibration,</w:t>
      </w:r>
      <w:r w:rsidRPr="007675F7">
        <w:rPr>
          <w:rFonts w:ascii="Times New Roman" w:hAnsi="Times New Roman"/>
          <w:sz w:val="24"/>
          <w:szCs w:val="24"/>
        </w:rPr>
        <w:t xml:space="preserve"> used from February to June 2012).</w:t>
      </w:r>
      <w:r w:rsidR="0010049D" w:rsidRPr="007675F7">
        <w:rPr>
          <w:rFonts w:ascii="Times New Roman" w:hAnsi="Times New Roman"/>
          <w:sz w:val="24"/>
          <w:szCs w:val="24"/>
        </w:rPr>
        <w:t xml:space="preserve"> </w:t>
      </w:r>
      <w:r w:rsidR="007F050B">
        <w:rPr>
          <w:rFonts w:ascii="Times New Roman" w:hAnsi="Times New Roman"/>
          <w:sz w:val="24"/>
          <w:szCs w:val="24"/>
        </w:rPr>
        <w:t>For</w:t>
      </w:r>
      <w:r w:rsidRPr="007675F7">
        <w:rPr>
          <w:rFonts w:ascii="Times New Roman" w:hAnsi="Times New Roman"/>
          <w:sz w:val="24"/>
          <w:szCs w:val="24"/>
        </w:rPr>
        <w:t xml:space="preserve"> dissolved oxygen </w:t>
      </w:r>
      <w:r w:rsidR="007F050B">
        <w:rPr>
          <w:rFonts w:ascii="Times New Roman" w:hAnsi="Times New Roman"/>
          <w:sz w:val="24"/>
          <w:szCs w:val="24"/>
        </w:rPr>
        <w:t xml:space="preserve">(DO) </w:t>
      </w:r>
      <w:r w:rsidRPr="007675F7">
        <w:rPr>
          <w:rFonts w:ascii="Times New Roman" w:hAnsi="Times New Roman"/>
          <w:sz w:val="24"/>
          <w:szCs w:val="24"/>
        </w:rPr>
        <w:t>measurement</w:t>
      </w:r>
      <w:r w:rsidR="006F0836" w:rsidRPr="007675F7">
        <w:rPr>
          <w:rFonts w:ascii="Times New Roman" w:hAnsi="Times New Roman"/>
          <w:sz w:val="24"/>
          <w:szCs w:val="24"/>
        </w:rPr>
        <w:t>s</w:t>
      </w:r>
      <w:r w:rsidRPr="007675F7">
        <w:rPr>
          <w:rFonts w:ascii="Times New Roman" w:hAnsi="Times New Roman"/>
          <w:sz w:val="24"/>
          <w:szCs w:val="24"/>
        </w:rPr>
        <w:t xml:space="preserve">, </w:t>
      </w:r>
      <w:r w:rsidR="007F050B">
        <w:rPr>
          <w:rFonts w:ascii="Times New Roman" w:hAnsi="Times New Roman"/>
          <w:sz w:val="24"/>
          <w:szCs w:val="24"/>
        </w:rPr>
        <w:t xml:space="preserve">a </w:t>
      </w:r>
      <w:r w:rsidRPr="007675F7">
        <w:rPr>
          <w:rFonts w:ascii="Times New Roman" w:hAnsi="Times New Roman"/>
          <w:sz w:val="24"/>
          <w:szCs w:val="24"/>
        </w:rPr>
        <w:t>1l seawater</w:t>
      </w:r>
      <w:r w:rsidR="007F050B">
        <w:rPr>
          <w:rFonts w:ascii="Times New Roman" w:hAnsi="Times New Roman"/>
          <w:sz w:val="24"/>
          <w:szCs w:val="24"/>
        </w:rPr>
        <w:t xml:space="preserve"> sample</w:t>
      </w:r>
      <w:r w:rsidRPr="007675F7">
        <w:rPr>
          <w:rFonts w:ascii="Times New Roman" w:hAnsi="Times New Roman"/>
          <w:sz w:val="24"/>
          <w:szCs w:val="24"/>
        </w:rPr>
        <w:t xml:space="preserve"> kept in an airtig</w:t>
      </w:r>
      <w:r w:rsidR="00E005EA" w:rsidRPr="007675F7">
        <w:rPr>
          <w:rFonts w:ascii="Times New Roman" w:hAnsi="Times New Roman"/>
          <w:sz w:val="24"/>
          <w:szCs w:val="24"/>
        </w:rPr>
        <w:t>ht polyethylene jar was taken</w:t>
      </w:r>
      <w:r w:rsidRPr="007675F7">
        <w:rPr>
          <w:rFonts w:ascii="Times New Roman" w:hAnsi="Times New Roman"/>
          <w:sz w:val="24"/>
          <w:szCs w:val="24"/>
        </w:rPr>
        <w:t xml:space="preserve"> to the laboratory and </w:t>
      </w:r>
      <w:r w:rsidR="00E005EA" w:rsidRPr="007675F7">
        <w:rPr>
          <w:rFonts w:ascii="Times New Roman" w:hAnsi="Times New Roman"/>
          <w:sz w:val="24"/>
          <w:szCs w:val="24"/>
        </w:rPr>
        <w:t xml:space="preserve">DO level was </w:t>
      </w:r>
      <w:r w:rsidRPr="007675F7">
        <w:rPr>
          <w:rFonts w:ascii="Times New Roman" w:hAnsi="Times New Roman"/>
          <w:sz w:val="24"/>
          <w:szCs w:val="24"/>
        </w:rPr>
        <w:t xml:space="preserve">measured using </w:t>
      </w:r>
      <w:r w:rsidR="00E005EA" w:rsidRPr="007675F7">
        <w:rPr>
          <w:rFonts w:ascii="Times New Roman" w:hAnsi="Times New Roman"/>
          <w:sz w:val="24"/>
          <w:szCs w:val="24"/>
        </w:rPr>
        <w:t xml:space="preserve">a </w:t>
      </w:r>
      <w:r w:rsidR="00E005EA" w:rsidRPr="007675F7">
        <w:rPr>
          <w:rFonts w:ascii="Times New Roman" w:hAnsi="Times New Roman"/>
          <w:sz w:val="24"/>
          <w:szCs w:val="24"/>
          <w:lang w:val="en-US"/>
        </w:rPr>
        <w:t>NexSens WQ-DO Sensor</w:t>
      </w:r>
      <w:r w:rsidRPr="007675F7">
        <w:rPr>
          <w:rFonts w:ascii="Times New Roman" w:hAnsi="Times New Roman"/>
          <w:sz w:val="24"/>
          <w:szCs w:val="24"/>
          <w:lang w:val="en-US"/>
        </w:rPr>
        <w:t>.</w:t>
      </w:r>
      <w:r w:rsidRPr="007675F7">
        <w:rPr>
          <w:rFonts w:ascii="Times New Roman" w:hAnsi="Times New Roman"/>
          <w:sz w:val="24"/>
          <w:szCs w:val="24"/>
        </w:rPr>
        <w:t xml:space="preserve"> The senso</w:t>
      </w:r>
      <w:r w:rsidR="00507D7C" w:rsidRPr="007675F7">
        <w:rPr>
          <w:rFonts w:ascii="Times New Roman" w:hAnsi="Times New Roman"/>
          <w:sz w:val="24"/>
          <w:szCs w:val="24"/>
        </w:rPr>
        <w:t>r was calibrated in</w:t>
      </w:r>
      <w:r w:rsidRPr="007675F7">
        <w:rPr>
          <w:rFonts w:ascii="Times New Roman" w:hAnsi="Times New Roman"/>
          <w:sz w:val="24"/>
          <w:szCs w:val="24"/>
        </w:rPr>
        <w:t xml:space="preserve"> </w:t>
      </w:r>
      <w:r w:rsidR="007F050B">
        <w:rPr>
          <w:rFonts w:ascii="Times New Roman" w:hAnsi="Times New Roman"/>
          <w:sz w:val="24"/>
          <w:szCs w:val="24"/>
        </w:rPr>
        <w:t xml:space="preserve">a </w:t>
      </w:r>
      <w:r w:rsidRPr="007675F7">
        <w:rPr>
          <w:rFonts w:ascii="Times New Roman" w:hAnsi="Times New Roman"/>
          <w:sz w:val="24"/>
          <w:szCs w:val="24"/>
        </w:rPr>
        <w:t xml:space="preserve">100% </w:t>
      </w:r>
      <w:r w:rsidR="00E005EA" w:rsidRPr="007675F7">
        <w:rPr>
          <w:rFonts w:ascii="Times New Roman" w:hAnsi="Times New Roman"/>
          <w:sz w:val="24"/>
          <w:szCs w:val="24"/>
        </w:rPr>
        <w:t xml:space="preserve">oxygen </w:t>
      </w:r>
      <w:r w:rsidRPr="007675F7">
        <w:rPr>
          <w:rFonts w:ascii="Times New Roman" w:hAnsi="Times New Roman"/>
          <w:sz w:val="24"/>
          <w:szCs w:val="24"/>
        </w:rPr>
        <w:t>saturated</w:t>
      </w:r>
      <w:r w:rsidR="00E005EA" w:rsidRPr="007675F7">
        <w:rPr>
          <w:rFonts w:ascii="Times New Roman" w:hAnsi="Times New Roman"/>
          <w:sz w:val="24"/>
          <w:szCs w:val="24"/>
        </w:rPr>
        <w:t xml:space="preserve"> environment (air c</w:t>
      </w:r>
      <w:r w:rsidRPr="007675F7">
        <w:rPr>
          <w:rFonts w:ascii="Times New Roman" w:hAnsi="Times New Roman"/>
          <w:sz w:val="24"/>
          <w:szCs w:val="24"/>
        </w:rPr>
        <w:t xml:space="preserve">alibration). In order to ensure </w:t>
      </w:r>
      <w:r w:rsidR="00507D7C" w:rsidRPr="007675F7">
        <w:rPr>
          <w:rFonts w:ascii="Times New Roman" w:hAnsi="Times New Roman"/>
          <w:sz w:val="24"/>
          <w:szCs w:val="24"/>
        </w:rPr>
        <w:t xml:space="preserve">a </w:t>
      </w:r>
      <w:r w:rsidRPr="007675F7">
        <w:rPr>
          <w:rFonts w:ascii="Times New Roman" w:hAnsi="Times New Roman"/>
          <w:sz w:val="24"/>
          <w:szCs w:val="24"/>
        </w:rPr>
        <w:t>proper polarization of the electrodes, the probe</w:t>
      </w:r>
      <w:r w:rsidR="007F050B">
        <w:rPr>
          <w:rFonts w:ascii="Times New Roman" w:hAnsi="Times New Roman"/>
          <w:sz w:val="24"/>
          <w:szCs w:val="24"/>
        </w:rPr>
        <w:t xml:space="preserve"> was warmed up for 15-30 min before calibration. B</w:t>
      </w:r>
      <w:r w:rsidRPr="007675F7">
        <w:rPr>
          <w:rFonts w:ascii="Times New Roman" w:hAnsi="Times New Roman"/>
          <w:sz w:val="24"/>
          <w:szCs w:val="24"/>
        </w:rPr>
        <w:t>arometric pres</w:t>
      </w:r>
      <w:r w:rsidR="007F050B">
        <w:rPr>
          <w:rFonts w:ascii="Times New Roman" w:hAnsi="Times New Roman"/>
          <w:sz w:val="24"/>
          <w:szCs w:val="24"/>
        </w:rPr>
        <w:t>sure (745 mmHg) and salinity were</w:t>
      </w:r>
      <w:r w:rsidRPr="007675F7">
        <w:rPr>
          <w:rFonts w:ascii="Times New Roman" w:hAnsi="Times New Roman"/>
          <w:sz w:val="24"/>
          <w:szCs w:val="24"/>
        </w:rPr>
        <w:t xml:space="preserve"> set be</w:t>
      </w:r>
      <w:r w:rsidR="007F050B">
        <w:rPr>
          <w:rFonts w:ascii="Times New Roman" w:hAnsi="Times New Roman"/>
          <w:sz w:val="24"/>
          <w:szCs w:val="24"/>
        </w:rPr>
        <w:t>fore the DO reading was taken. Correlation between t</w:t>
      </w:r>
      <w:r w:rsidRPr="007675F7">
        <w:rPr>
          <w:rFonts w:ascii="Times New Roman" w:hAnsi="Times New Roman"/>
          <w:sz w:val="24"/>
          <w:szCs w:val="24"/>
        </w:rPr>
        <w:t>hese environmental parameters (pH, salinity, temperature</w:t>
      </w:r>
      <w:r w:rsidR="00507D7C" w:rsidRPr="007675F7">
        <w:rPr>
          <w:rFonts w:ascii="Times New Roman" w:hAnsi="Times New Roman"/>
          <w:sz w:val="24"/>
          <w:szCs w:val="24"/>
        </w:rPr>
        <w:t>, and DO</w:t>
      </w:r>
      <w:r w:rsidRPr="007675F7">
        <w:rPr>
          <w:rFonts w:ascii="Times New Roman" w:hAnsi="Times New Roman"/>
          <w:sz w:val="24"/>
          <w:szCs w:val="24"/>
        </w:rPr>
        <w:t xml:space="preserve">) </w:t>
      </w:r>
      <w:r w:rsidR="007F050B">
        <w:rPr>
          <w:rFonts w:ascii="Times New Roman" w:hAnsi="Times New Roman"/>
          <w:sz w:val="24"/>
          <w:szCs w:val="24"/>
        </w:rPr>
        <w:t>and</w:t>
      </w:r>
      <w:r w:rsidRPr="007675F7">
        <w:rPr>
          <w:rFonts w:ascii="Times New Roman" w:hAnsi="Times New Roman"/>
          <w:sz w:val="24"/>
          <w:szCs w:val="24"/>
        </w:rPr>
        <w:t xml:space="preserve"> population density </w:t>
      </w:r>
      <w:r w:rsidR="007F050B">
        <w:rPr>
          <w:rFonts w:ascii="Times New Roman" w:hAnsi="Times New Roman"/>
          <w:sz w:val="24"/>
          <w:szCs w:val="24"/>
        </w:rPr>
        <w:t xml:space="preserve">were analysed </w:t>
      </w:r>
      <w:r w:rsidRPr="007675F7">
        <w:rPr>
          <w:rFonts w:ascii="Times New Roman" w:hAnsi="Times New Roman"/>
          <w:sz w:val="24"/>
          <w:szCs w:val="24"/>
        </w:rPr>
        <w:t xml:space="preserve">using SPSS </w:t>
      </w:r>
      <w:r w:rsidR="00984205">
        <w:rPr>
          <w:rFonts w:ascii="Times New Roman" w:hAnsi="Times New Roman"/>
          <w:sz w:val="24"/>
          <w:szCs w:val="24"/>
        </w:rPr>
        <w:t xml:space="preserve">Ver. </w:t>
      </w:r>
      <w:r w:rsidRPr="007675F7">
        <w:rPr>
          <w:rFonts w:ascii="Times New Roman" w:hAnsi="Times New Roman"/>
          <w:sz w:val="24"/>
          <w:szCs w:val="24"/>
        </w:rPr>
        <w:t>15.</w:t>
      </w:r>
    </w:p>
    <w:p w:rsidR="000129E2" w:rsidRDefault="000129E2" w:rsidP="000129E2">
      <w:pPr>
        <w:spacing w:after="0" w:line="480" w:lineRule="auto"/>
        <w:jc w:val="both"/>
        <w:rPr>
          <w:rFonts w:ascii="Times New Roman" w:hAnsi="Times New Roman"/>
          <w:b/>
          <w:sz w:val="24"/>
          <w:szCs w:val="24"/>
        </w:rPr>
      </w:pPr>
    </w:p>
    <w:p w:rsidR="000129E2" w:rsidRPr="000129E2" w:rsidRDefault="000129E2" w:rsidP="000129E2">
      <w:pPr>
        <w:spacing w:after="0" w:line="480" w:lineRule="auto"/>
        <w:jc w:val="both"/>
        <w:rPr>
          <w:rFonts w:ascii="Times New Roman" w:hAnsi="Times New Roman"/>
          <w:i/>
          <w:sz w:val="24"/>
          <w:szCs w:val="24"/>
        </w:rPr>
      </w:pPr>
      <w:r w:rsidRPr="000129E2">
        <w:rPr>
          <w:rFonts w:ascii="Times New Roman" w:hAnsi="Times New Roman"/>
          <w:i/>
          <w:sz w:val="24"/>
          <w:szCs w:val="24"/>
        </w:rPr>
        <w:t>Statistical analyses</w:t>
      </w:r>
    </w:p>
    <w:p w:rsidR="000129E2" w:rsidRPr="000129E2" w:rsidRDefault="007F050B" w:rsidP="000129E2">
      <w:pPr>
        <w:spacing w:after="0" w:line="480" w:lineRule="auto"/>
        <w:jc w:val="both"/>
        <w:rPr>
          <w:rFonts w:ascii="Times New Roman" w:hAnsi="Times New Roman"/>
          <w:sz w:val="24"/>
          <w:szCs w:val="24"/>
        </w:rPr>
      </w:pPr>
      <w:r>
        <w:rPr>
          <w:rFonts w:ascii="Times New Roman" w:hAnsi="Times New Roman"/>
          <w:sz w:val="24"/>
          <w:szCs w:val="24"/>
        </w:rPr>
        <w:t>S</w:t>
      </w:r>
      <w:r w:rsidR="000129E2" w:rsidRPr="000129E2">
        <w:rPr>
          <w:rFonts w:ascii="Times New Roman" w:hAnsi="Times New Roman"/>
          <w:sz w:val="24"/>
          <w:szCs w:val="24"/>
        </w:rPr>
        <w:t xml:space="preserve">tatistical analyses were performed using the PAST 2.17b (Hammer et al., </w:t>
      </w:r>
      <w:r w:rsidR="00222A99">
        <w:rPr>
          <w:rFonts w:ascii="Times New Roman" w:hAnsi="Times New Roman"/>
          <w:sz w:val="24"/>
          <w:szCs w:val="24"/>
        </w:rPr>
        <w:t xml:space="preserve">2001), PRIMER </w:t>
      </w:r>
      <w:r w:rsidR="00984205">
        <w:rPr>
          <w:rFonts w:ascii="Times New Roman" w:hAnsi="Times New Roman"/>
          <w:sz w:val="24"/>
          <w:szCs w:val="24"/>
        </w:rPr>
        <w:t>Ver</w:t>
      </w:r>
      <w:r w:rsidR="00222A99">
        <w:rPr>
          <w:rFonts w:ascii="Times New Roman" w:hAnsi="Times New Roman"/>
          <w:sz w:val="24"/>
          <w:szCs w:val="24"/>
        </w:rPr>
        <w:t>.</w:t>
      </w:r>
      <w:r w:rsidR="00984205">
        <w:rPr>
          <w:rFonts w:ascii="Times New Roman" w:hAnsi="Times New Roman"/>
          <w:sz w:val="24"/>
          <w:szCs w:val="24"/>
        </w:rPr>
        <w:t xml:space="preserve"> </w:t>
      </w:r>
      <w:r w:rsidR="00222A99">
        <w:rPr>
          <w:rFonts w:ascii="Times New Roman" w:hAnsi="Times New Roman"/>
          <w:sz w:val="24"/>
          <w:szCs w:val="24"/>
        </w:rPr>
        <w:t>5 (Clark and</w:t>
      </w:r>
      <w:r w:rsidR="000129E2" w:rsidRPr="000129E2">
        <w:rPr>
          <w:rFonts w:ascii="Times New Roman" w:hAnsi="Times New Roman"/>
          <w:sz w:val="24"/>
          <w:szCs w:val="24"/>
        </w:rPr>
        <w:t xml:space="preserve"> Warwick, </w:t>
      </w:r>
      <w:r w:rsidR="00222A99">
        <w:rPr>
          <w:rFonts w:ascii="Times New Roman" w:hAnsi="Times New Roman"/>
          <w:sz w:val="24"/>
          <w:szCs w:val="24"/>
        </w:rPr>
        <w:t>2001), and Canoco 5 (ter Braak and</w:t>
      </w:r>
      <w:r w:rsidR="000129E2" w:rsidRPr="000129E2">
        <w:rPr>
          <w:rFonts w:ascii="Times New Roman" w:hAnsi="Times New Roman"/>
          <w:sz w:val="24"/>
          <w:szCs w:val="24"/>
        </w:rPr>
        <w:t xml:space="preserve"> Šmilauer, 2012) software. </w:t>
      </w:r>
      <w:r w:rsidR="00F22D9C" w:rsidRPr="009B020B">
        <w:rPr>
          <w:rFonts w:ascii="Times New Roman" w:hAnsi="Times New Roman"/>
          <w:sz w:val="24"/>
          <w:szCs w:val="24"/>
        </w:rPr>
        <w:t>Although taxa were identified to the lowest taxonomic level possible, further analyses were performed on gener</w:t>
      </w:r>
      <w:r w:rsidR="00DF2BB2">
        <w:rPr>
          <w:rFonts w:ascii="Times New Roman" w:hAnsi="Times New Roman"/>
          <w:sz w:val="24"/>
          <w:szCs w:val="24"/>
        </w:rPr>
        <w:t>ic-level</w:t>
      </w:r>
      <w:r w:rsidR="00F22D9C" w:rsidRPr="009B020B">
        <w:rPr>
          <w:rFonts w:ascii="Times New Roman" w:hAnsi="Times New Roman"/>
          <w:sz w:val="24"/>
          <w:szCs w:val="24"/>
        </w:rPr>
        <w:t xml:space="preserve"> data to avoid detection of false patterns due to potential misidentification.</w:t>
      </w:r>
      <w:r w:rsidR="00F22D9C">
        <w:rPr>
          <w:rFonts w:ascii="Times New Roman" w:hAnsi="Times New Roman"/>
          <w:sz w:val="24"/>
          <w:szCs w:val="24"/>
        </w:rPr>
        <w:t xml:space="preserve"> </w:t>
      </w:r>
      <w:r w:rsidR="000129E2" w:rsidRPr="000129E2">
        <w:rPr>
          <w:rFonts w:ascii="Times New Roman" w:hAnsi="Times New Roman"/>
          <w:sz w:val="24"/>
          <w:szCs w:val="24"/>
        </w:rPr>
        <w:t xml:space="preserve">A </w:t>
      </w:r>
      <w:r w:rsidR="000129E2" w:rsidRPr="000129E2">
        <w:rPr>
          <w:rFonts w:ascii="Times New Roman" w:hAnsi="Times New Roman"/>
          <w:sz w:val="24"/>
          <w:szCs w:val="24"/>
        </w:rPr>
        <w:lastRenderedPageBreak/>
        <w:t>similarity percentage analysis (SIMPER) was run to identify phytoplankton taxa responsible for the similarity within groups. To evaluate the relationship between the phytoplankton communities and measured environmental variables, a constrained ordination method was used. Prior to this analysis, an unconstrained unimodal ordination (detrended correspondence analysis, DCA) was performed and the length of its ordination axes was measured. On this basis (the longest axis = 2.4 turnover units) the linear method was selected as the most appropriate for t</w:t>
      </w:r>
      <w:r w:rsidR="00D6230A">
        <w:rPr>
          <w:rFonts w:ascii="Times New Roman" w:hAnsi="Times New Roman"/>
          <w:sz w:val="24"/>
          <w:szCs w:val="24"/>
        </w:rPr>
        <w:t>he analysed data</w:t>
      </w:r>
      <w:r w:rsidR="00222A99">
        <w:rPr>
          <w:rFonts w:ascii="Times New Roman" w:hAnsi="Times New Roman"/>
          <w:sz w:val="24"/>
          <w:szCs w:val="24"/>
        </w:rPr>
        <w:t>set (Šmilauer and</w:t>
      </w:r>
      <w:r w:rsidR="00D6230A">
        <w:rPr>
          <w:rFonts w:ascii="Times New Roman" w:hAnsi="Times New Roman"/>
          <w:sz w:val="24"/>
          <w:szCs w:val="24"/>
        </w:rPr>
        <w:t xml:space="preserve"> Lepš, 2014). Subsequently,</w:t>
      </w:r>
      <w:r w:rsidR="000129E2" w:rsidRPr="000129E2">
        <w:rPr>
          <w:rFonts w:ascii="Times New Roman" w:hAnsi="Times New Roman"/>
          <w:sz w:val="24"/>
          <w:szCs w:val="24"/>
        </w:rPr>
        <w:t xml:space="preserve"> redundancy an</w:t>
      </w:r>
      <w:r w:rsidR="00D6230A">
        <w:rPr>
          <w:rFonts w:ascii="Times New Roman" w:hAnsi="Times New Roman"/>
          <w:sz w:val="24"/>
          <w:szCs w:val="24"/>
        </w:rPr>
        <w:t>alysis (RDA) and partial RDA were</w:t>
      </w:r>
      <w:r w:rsidR="000129E2" w:rsidRPr="000129E2">
        <w:rPr>
          <w:rFonts w:ascii="Times New Roman" w:hAnsi="Times New Roman"/>
          <w:sz w:val="24"/>
          <w:szCs w:val="24"/>
        </w:rPr>
        <w:t xml:space="preserve"> performed on log-transformed abundance data. A Monte Carlo permutation test was used to test the significance of the axes (4999 permutations, p &lt; 0.05). In order to select the best subset of the chosen environmental variables to summarize the variation in p</w:t>
      </w:r>
      <w:r w:rsidR="00D6230A">
        <w:rPr>
          <w:rFonts w:ascii="Times New Roman" w:hAnsi="Times New Roman"/>
          <w:sz w:val="24"/>
          <w:szCs w:val="24"/>
        </w:rPr>
        <w:t>hytoplankton composition,</w:t>
      </w:r>
      <w:r w:rsidR="000129E2" w:rsidRPr="000129E2">
        <w:rPr>
          <w:rFonts w:ascii="Times New Roman" w:hAnsi="Times New Roman"/>
          <w:sz w:val="24"/>
          <w:szCs w:val="24"/>
        </w:rPr>
        <w:t xml:space="preserve"> interactive forward selection was performed. The conditional and simple effect</w:t>
      </w:r>
      <w:r w:rsidR="00D6230A">
        <w:rPr>
          <w:rFonts w:ascii="Times New Roman" w:hAnsi="Times New Roman"/>
          <w:sz w:val="24"/>
          <w:szCs w:val="24"/>
        </w:rPr>
        <w:t>s</w:t>
      </w:r>
      <w:r w:rsidR="000129E2" w:rsidRPr="000129E2">
        <w:rPr>
          <w:rFonts w:ascii="Times New Roman" w:hAnsi="Times New Roman"/>
          <w:sz w:val="24"/>
          <w:szCs w:val="24"/>
        </w:rPr>
        <w:t xml:space="preserve"> of individual explanatory variable</w:t>
      </w:r>
      <w:r w:rsidR="00D6230A">
        <w:rPr>
          <w:rFonts w:ascii="Times New Roman" w:hAnsi="Times New Roman"/>
          <w:sz w:val="24"/>
          <w:szCs w:val="24"/>
        </w:rPr>
        <w:t>s upon the compositional data were</w:t>
      </w:r>
      <w:r w:rsidR="000129E2" w:rsidRPr="000129E2">
        <w:rPr>
          <w:rFonts w:ascii="Times New Roman" w:hAnsi="Times New Roman"/>
          <w:sz w:val="24"/>
          <w:szCs w:val="24"/>
        </w:rPr>
        <w:t xml:space="preserve"> assessed using a variation partitioning procedure (Legendre, 2007)</w:t>
      </w:r>
    </w:p>
    <w:p w:rsidR="000129E2" w:rsidRPr="000129E2" w:rsidRDefault="000129E2" w:rsidP="000129E2">
      <w:pPr>
        <w:spacing w:after="0" w:line="480" w:lineRule="auto"/>
        <w:jc w:val="both"/>
        <w:rPr>
          <w:rFonts w:ascii="Times New Roman" w:hAnsi="Times New Roman"/>
          <w:b/>
          <w:sz w:val="24"/>
          <w:szCs w:val="24"/>
        </w:rPr>
      </w:pPr>
    </w:p>
    <w:p w:rsidR="002C1268" w:rsidRPr="007675F7" w:rsidRDefault="002C1268" w:rsidP="002C1268">
      <w:pPr>
        <w:spacing w:after="0" w:line="480" w:lineRule="auto"/>
        <w:jc w:val="both"/>
        <w:rPr>
          <w:rFonts w:ascii="Times New Roman" w:hAnsi="Times New Roman"/>
          <w:b/>
          <w:sz w:val="24"/>
          <w:szCs w:val="24"/>
        </w:rPr>
      </w:pPr>
      <w:r w:rsidRPr="007675F7">
        <w:rPr>
          <w:rFonts w:ascii="Times New Roman" w:hAnsi="Times New Roman"/>
          <w:b/>
          <w:sz w:val="24"/>
          <w:szCs w:val="24"/>
        </w:rPr>
        <w:t>Results</w:t>
      </w:r>
    </w:p>
    <w:p w:rsidR="002C1268" w:rsidRPr="007675F7" w:rsidRDefault="002C1268" w:rsidP="002C1268">
      <w:pPr>
        <w:spacing w:after="0" w:line="480" w:lineRule="auto"/>
        <w:jc w:val="both"/>
        <w:rPr>
          <w:rFonts w:ascii="Times New Roman" w:hAnsi="Times New Roman"/>
          <w:i/>
          <w:sz w:val="24"/>
          <w:szCs w:val="24"/>
        </w:rPr>
      </w:pPr>
      <w:r w:rsidRPr="007675F7">
        <w:rPr>
          <w:rFonts w:ascii="Times New Roman" w:hAnsi="Times New Roman"/>
          <w:i/>
          <w:sz w:val="24"/>
          <w:szCs w:val="24"/>
        </w:rPr>
        <w:t>Phytoplankton composition and densities</w:t>
      </w:r>
    </w:p>
    <w:p w:rsidR="002C1268" w:rsidRPr="007675F7" w:rsidRDefault="00A61A3C" w:rsidP="002C1268">
      <w:pPr>
        <w:spacing w:after="0" w:line="480" w:lineRule="auto"/>
        <w:jc w:val="both"/>
        <w:rPr>
          <w:rFonts w:ascii="Times New Roman" w:hAnsi="Times New Roman"/>
          <w:sz w:val="24"/>
          <w:szCs w:val="24"/>
        </w:rPr>
      </w:pPr>
      <w:r>
        <w:rPr>
          <w:rFonts w:ascii="Times New Roman" w:hAnsi="Times New Roman"/>
          <w:sz w:val="24"/>
          <w:szCs w:val="24"/>
        </w:rPr>
        <w:t>A total of 2</w:t>
      </w:r>
      <w:r w:rsidR="00194AC1">
        <w:rPr>
          <w:rFonts w:ascii="Times New Roman" w:hAnsi="Times New Roman"/>
          <w:sz w:val="24"/>
          <w:szCs w:val="24"/>
        </w:rPr>
        <w:t>6</w:t>
      </w:r>
      <w:r w:rsidR="002C1268" w:rsidRPr="007675F7">
        <w:rPr>
          <w:rFonts w:ascii="Times New Roman" w:hAnsi="Times New Roman"/>
          <w:sz w:val="24"/>
          <w:szCs w:val="24"/>
        </w:rPr>
        <w:t xml:space="preserve"> microalgal families were found in the </w:t>
      </w:r>
      <w:r w:rsidR="00984205">
        <w:rPr>
          <w:rFonts w:ascii="Times New Roman" w:hAnsi="Times New Roman"/>
          <w:sz w:val="24"/>
          <w:szCs w:val="24"/>
        </w:rPr>
        <w:t>Sungai Brunei</w:t>
      </w:r>
      <w:r w:rsidR="002C1268" w:rsidRPr="007675F7">
        <w:rPr>
          <w:rFonts w:ascii="Times New Roman" w:hAnsi="Times New Roman"/>
          <w:sz w:val="24"/>
          <w:szCs w:val="24"/>
        </w:rPr>
        <w:t xml:space="preserve"> estuary area during the perio</w:t>
      </w:r>
      <w:r w:rsidR="00D6230A">
        <w:rPr>
          <w:rFonts w:ascii="Times New Roman" w:hAnsi="Times New Roman"/>
          <w:sz w:val="24"/>
          <w:szCs w:val="24"/>
        </w:rPr>
        <w:t>d of study, with</w:t>
      </w:r>
      <w:r w:rsidR="00BC26A8">
        <w:rPr>
          <w:rFonts w:ascii="Times New Roman" w:hAnsi="Times New Roman"/>
          <w:sz w:val="24"/>
          <w:szCs w:val="24"/>
        </w:rPr>
        <w:t xml:space="preserve"> 22</w:t>
      </w:r>
      <w:r w:rsidR="00194AC1">
        <w:rPr>
          <w:rFonts w:ascii="Times New Roman" w:hAnsi="Times New Roman"/>
          <w:sz w:val="24"/>
          <w:szCs w:val="24"/>
        </w:rPr>
        <w:t xml:space="preserve"> genera of diatoms, seven</w:t>
      </w:r>
      <w:r w:rsidR="002C1268" w:rsidRPr="007675F7">
        <w:rPr>
          <w:rFonts w:ascii="Times New Roman" w:hAnsi="Times New Roman"/>
          <w:sz w:val="24"/>
          <w:szCs w:val="24"/>
        </w:rPr>
        <w:t xml:space="preserve"> of dinoflagellates and one fam</w:t>
      </w:r>
      <w:r w:rsidR="00D6230A">
        <w:rPr>
          <w:rFonts w:ascii="Times New Roman" w:hAnsi="Times New Roman"/>
          <w:sz w:val="24"/>
          <w:szCs w:val="24"/>
        </w:rPr>
        <w:t>ily of ciliates (Table 1). L</w:t>
      </w:r>
      <w:r w:rsidR="002C1268" w:rsidRPr="007675F7">
        <w:rPr>
          <w:rFonts w:ascii="Times New Roman" w:hAnsi="Times New Roman"/>
          <w:sz w:val="24"/>
          <w:szCs w:val="24"/>
        </w:rPr>
        <w:t>ight and scanning electron micrographs of selected taxa are shown in Figure</w:t>
      </w:r>
      <w:r w:rsidR="00FA5B41">
        <w:rPr>
          <w:rFonts w:ascii="Times New Roman" w:hAnsi="Times New Roman"/>
          <w:sz w:val="24"/>
          <w:szCs w:val="24"/>
        </w:rPr>
        <w:t>s</w:t>
      </w:r>
      <w:r w:rsidR="002C1268" w:rsidRPr="007675F7">
        <w:rPr>
          <w:rFonts w:ascii="Times New Roman" w:hAnsi="Times New Roman"/>
          <w:sz w:val="24"/>
          <w:szCs w:val="24"/>
        </w:rPr>
        <w:t xml:space="preserve"> 2</w:t>
      </w:r>
      <w:r w:rsidR="00FA5B41">
        <w:rPr>
          <w:rFonts w:ascii="Times New Roman" w:hAnsi="Times New Roman"/>
          <w:sz w:val="24"/>
          <w:szCs w:val="24"/>
        </w:rPr>
        <w:t xml:space="preserve"> and 3</w:t>
      </w:r>
      <w:r w:rsidR="002C1268" w:rsidRPr="007675F7">
        <w:rPr>
          <w:rFonts w:ascii="Times New Roman" w:hAnsi="Times New Roman"/>
          <w:sz w:val="24"/>
          <w:szCs w:val="24"/>
        </w:rPr>
        <w:t xml:space="preserve">. </w:t>
      </w:r>
    </w:p>
    <w:p w:rsidR="002C1268" w:rsidRPr="007675F7" w:rsidRDefault="002C1268" w:rsidP="002C1268">
      <w:pPr>
        <w:spacing w:after="0" w:line="480" w:lineRule="auto"/>
        <w:jc w:val="both"/>
        <w:rPr>
          <w:rFonts w:ascii="Times New Roman" w:hAnsi="Times New Roman"/>
          <w:sz w:val="24"/>
          <w:szCs w:val="24"/>
        </w:rPr>
      </w:pPr>
      <w:r w:rsidRPr="007675F7">
        <w:rPr>
          <w:rFonts w:ascii="Times New Roman" w:hAnsi="Times New Roman"/>
          <w:sz w:val="24"/>
          <w:szCs w:val="24"/>
        </w:rPr>
        <w:tab/>
        <w:t>In terms of phytoplan</w:t>
      </w:r>
      <w:r w:rsidR="00D6230A">
        <w:rPr>
          <w:rFonts w:ascii="Times New Roman" w:hAnsi="Times New Roman"/>
          <w:sz w:val="24"/>
          <w:szCs w:val="24"/>
        </w:rPr>
        <w:t>kton abundance, the highest</w:t>
      </w:r>
      <w:r w:rsidRPr="007675F7">
        <w:rPr>
          <w:rFonts w:ascii="Times New Roman" w:hAnsi="Times New Roman"/>
          <w:sz w:val="24"/>
          <w:szCs w:val="24"/>
        </w:rPr>
        <w:t xml:space="preserve"> density was recorded at Station 3 (S3; 1251 cells ml</w:t>
      </w:r>
      <w:r w:rsidRPr="007675F7">
        <w:rPr>
          <w:rFonts w:ascii="Times New Roman" w:hAnsi="Times New Roman"/>
          <w:sz w:val="24"/>
          <w:szCs w:val="24"/>
          <w:vertAlign w:val="superscript"/>
        </w:rPr>
        <w:t xml:space="preserve">-1 </w:t>
      </w:r>
      <w:r w:rsidRPr="007675F7">
        <w:rPr>
          <w:rFonts w:ascii="Times New Roman" w:hAnsi="Times New Roman"/>
          <w:sz w:val="24"/>
          <w:szCs w:val="24"/>
        </w:rPr>
        <w:t>± 2544), followed by Station 2 (S2; 1119 cells ml</w:t>
      </w:r>
      <w:r w:rsidRPr="007675F7">
        <w:rPr>
          <w:rFonts w:ascii="Times New Roman" w:hAnsi="Times New Roman"/>
          <w:sz w:val="24"/>
          <w:szCs w:val="24"/>
          <w:vertAlign w:val="superscript"/>
        </w:rPr>
        <w:t xml:space="preserve">-1 </w:t>
      </w:r>
      <w:r w:rsidRPr="007675F7">
        <w:rPr>
          <w:rFonts w:ascii="Times New Roman" w:hAnsi="Times New Roman"/>
          <w:sz w:val="24"/>
          <w:szCs w:val="24"/>
        </w:rPr>
        <w:t>± 2197), Station 1 (S1; 437 cells ml</w:t>
      </w:r>
      <w:r w:rsidRPr="007675F7">
        <w:rPr>
          <w:rFonts w:ascii="Times New Roman" w:hAnsi="Times New Roman"/>
          <w:sz w:val="24"/>
          <w:szCs w:val="24"/>
          <w:vertAlign w:val="superscript"/>
        </w:rPr>
        <w:t xml:space="preserve">-1 </w:t>
      </w:r>
      <w:r w:rsidRPr="007675F7">
        <w:rPr>
          <w:rFonts w:ascii="Times New Roman" w:hAnsi="Times New Roman"/>
          <w:sz w:val="24"/>
          <w:szCs w:val="24"/>
        </w:rPr>
        <w:t>± 744) and lastly Station 4 (S4; 118 cells ml</w:t>
      </w:r>
      <w:r w:rsidRPr="007675F7">
        <w:rPr>
          <w:rFonts w:ascii="Times New Roman" w:hAnsi="Times New Roman"/>
          <w:sz w:val="24"/>
          <w:szCs w:val="24"/>
          <w:vertAlign w:val="superscript"/>
        </w:rPr>
        <w:t xml:space="preserve">-1 </w:t>
      </w:r>
      <w:r w:rsidRPr="007675F7">
        <w:rPr>
          <w:rFonts w:ascii="Times New Roman" w:hAnsi="Times New Roman"/>
          <w:sz w:val="24"/>
          <w:szCs w:val="24"/>
        </w:rPr>
        <w:t>± 265). Generally, the highest phytoplankton densities (up to 9107 cells ml</w:t>
      </w:r>
      <w:r w:rsidRPr="007675F7">
        <w:rPr>
          <w:rFonts w:ascii="Times New Roman" w:hAnsi="Times New Roman"/>
          <w:sz w:val="24"/>
          <w:szCs w:val="24"/>
          <w:vertAlign w:val="superscript"/>
        </w:rPr>
        <w:t>-1</w:t>
      </w:r>
      <w:r w:rsidRPr="007675F7">
        <w:rPr>
          <w:rFonts w:ascii="Times New Roman" w:hAnsi="Times New Roman"/>
          <w:sz w:val="24"/>
          <w:szCs w:val="24"/>
        </w:rPr>
        <w:t>, S3) were observ</w:t>
      </w:r>
      <w:r w:rsidR="00FA5B41">
        <w:rPr>
          <w:rFonts w:ascii="Times New Roman" w:hAnsi="Times New Roman"/>
          <w:sz w:val="24"/>
          <w:szCs w:val="24"/>
        </w:rPr>
        <w:t>ed in August and October (Fig. 4</w:t>
      </w:r>
      <w:r w:rsidR="00D6230A">
        <w:rPr>
          <w:rFonts w:ascii="Times New Roman" w:hAnsi="Times New Roman"/>
          <w:sz w:val="24"/>
          <w:szCs w:val="24"/>
        </w:rPr>
        <w:t xml:space="preserve">). </w:t>
      </w:r>
      <w:r w:rsidR="00D6230A">
        <w:rPr>
          <w:rFonts w:ascii="Times New Roman" w:hAnsi="Times New Roman"/>
          <w:sz w:val="24"/>
          <w:szCs w:val="24"/>
        </w:rPr>
        <w:lastRenderedPageBreak/>
        <w:t>T</w:t>
      </w:r>
      <w:r w:rsidRPr="007675F7">
        <w:rPr>
          <w:rFonts w:ascii="Times New Roman" w:hAnsi="Times New Roman"/>
          <w:sz w:val="24"/>
          <w:szCs w:val="24"/>
        </w:rPr>
        <w:t>he differences in phytoplankton abundances observed among the four sampling stations during the study period were significant (</w:t>
      </w:r>
      <w:r w:rsidR="00D6230A">
        <w:rPr>
          <w:rFonts w:ascii="Times New Roman" w:hAnsi="Times New Roman"/>
          <w:sz w:val="24"/>
          <w:szCs w:val="24"/>
        </w:rPr>
        <w:t xml:space="preserve">Kruskal-Wallis, </w:t>
      </w:r>
      <w:r w:rsidRPr="007675F7">
        <w:rPr>
          <w:rFonts w:ascii="Times New Roman" w:hAnsi="Times New Roman"/>
          <w:sz w:val="24"/>
          <w:szCs w:val="24"/>
        </w:rPr>
        <w:t>p &lt; 0.05).</w:t>
      </w:r>
    </w:p>
    <w:p w:rsidR="002C1268" w:rsidRPr="007675F7" w:rsidRDefault="002C1268" w:rsidP="002C1268">
      <w:pPr>
        <w:spacing w:after="0" w:line="480" w:lineRule="auto"/>
        <w:jc w:val="both"/>
        <w:rPr>
          <w:rFonts w:ascii="Times New Roman" w:hAnsi="Times New Roman"/>
          <w:sz w:val="24"/>
          <w:szCs w:val="24"/>
        </w:rPr>
      </w:pPr>
      <w:r w:rsidRPr="007675F7">
        <w:rPr>
          <w:rFonts w:ascii="Times New Roman" w:hAnsi="Times New Roman"/>
          <w:sz w:val="24"/>
          <w:szCs w:val="24"/>
        </w:rPr>
        <w:tab/>
        <w:t>Comparing the communities, the highest average dissimilarity occurred between those found at S4 and S1 (69.2%), S4 and S2 (68.2%), and S4 and S3 (67.6%) while the</w:t>
      </w:r>
      <w:r w:rsidR="00AF5455">
        <w:rPr>
          <w:rFonts w:ascii="Times New Roman" w:hAnsi="Times New Roman"/>
          <w:sz w:val="24"/>
          <w:szCs w:val="24"/>
        </w:rPr>
        <w:t xml:space="preserve"> most similar were the</w:t>
      </w:r>
      <w:r w:rsidRPr="007675F7">
        <w:rPr>
          <w:rFonts w:ascii="Times New Roman" w:hAnsi="Times New Roman"/>
          <w:sz w:val="24"/>
          <w:szCs w:val="24"/>
        </w:rPr>
        <w:t xml:space="preserve"> communities from S1 and S2</w:t>
      </w:r>
      <w:r w:rsidRPr="007675F7">
        <w:rPr>
          <w:rFonts w:ascii="Times New Roman" w:hAnsi="Times New Roman"/>
          <w:i/>
          <w:iCs/>
          <w:sz w:val="24"/>
          <w:szCs w:val="24"/>
        </w:rPr>
        <w:t xml:space="preserve"> </w:t>
      </w:r>
      <w:r w:rsidRPr="007675F7">
        <w:rPr>
          <w:rFonts w:ascii="Times New Roman" w:hAnsi="Times New Roman"/>
          <w:sz w:val="24"/>
          <w:szCs w:val="24"/>
        </w:rPr>
        <w:t xml:space="preserve">(59.8%; Table 2). Diatoms constituted the main fraction of the observed microalgal communities, with </w:t>
      </w:r>
      <w:r w:rsidRPr="007675F7">
        <w:rPr>
          <w:rFonts w:ascii="Times New Roman" w:hAnsi="Times New Roman"/>
          <w:i/>
          <w:sz w:val="24"/>
          <w:szCs w:val="24"/>
        </w:rPr>
        <w:t xml:space="preserve">Nitzschia </w:t>
      </w:r>
      <w:r w:rsidRPr="007675F7">
        <w:rPr>
          <w:rFonts w:ascii="Times New Roman" w:hAnsi="Times New Roman"/>
          <w:sz w:val="24"/>
          <w:szCs w:val="24"/>
        </w:rPr>
        <w:t xml:space="preserve">(0-61.5% of the total cell number in the sample; 25.9% on average) being the dominant genus. This was followed by two other high-density genera, </w:t>
      </w:r>
      <w:r w:rsidRPr="007675F7">
        <w:rPr>
          <w:rFonts w:ascii="Times New Roman" w:hAnsi="Times New Roman"/>
          <w:i/>
          <w:sz w:val="24"/>
          <w:szCs w:val="24"/>
        </w:rPr>
        <w:t xml:space="preserve">Rhizosolenia </w:t>
      </w:r>
      <w:r w:rsidRPr="007675F7">
        <w:rPr>
          <w:rFonts w:ascii="Times New Roman" w:hAnsi="Times New Roman"/>
          <w:sz w:val="24"/>
          <w:szCs w:val="24"/>
        </w:rPr>
        <w:t xml:space="preserve">(0-52.4%; 24.1% on average) and </w:t>
      </w:r>
      <w:r w:rsidRPr="007675F7">
        <w:rPr>
          <w:rFonts w:ascii="Times New Roman" w:hAnsi="Times New Roman"/>
          <w:i/>
          <w:sz w:val="24"/>
          <w:szCs w:val="24"/>
        </w:rPr>
        <w:t>Leptocylindrus</w:t>
      </w:r>
      <w:r w:rsidRPr="007675F7">
        <w:rPr>
          <w:rFonts w:ascii="Times New Roman" w:hAnsi="Times New Roman"/>
          <w:sz w:val="24"/>
          <w:szCs w:val="24"/>
        </w:rPr>
        <w:t xml:space="preserve"> (0</w:t>
      </w:r>
      <w:r w:rsidR="00FA5B41">
        <w:rPr>
          <w:rFonts w:ascii="Times New Roman" w:hAnsi="Times New Roman"/>
          <w:sz w:val="24"/>
          <w:szCs w:val="24"/>
        </w:rPr>
        <w:t>-75.5%; 21.9% on average</w:t>
      </w:r>
      <w:r w:rsidRPr="007675F7">
        <w:rPr>
          <w:rFonts w:ascii="Times New Roman" w:hAnsi="Times New Roman"/>
          <w:sz w:val="24"/>
          <w:szCs w:val="24"/>
        </w:rPr>
        <w:t>). According to the SIMPE</w:t>
      </w:r>
      <w:r w:rsidR="00AF5455">
        <w:rPr>
          <w:rFonts w:ascii="Times New Roman" w:hAnsi="Times New Roman"/>
          <w:sz w:val="24"/>
          <w:szCs w:val="24"/>
        </w:rPr>
        <w:t>R analysis, these</w:t>
      </w:r>
      <w:r w:rsidRPr="007675F7">
        <w:rPr>
          <w:rFonts w:ascii="Times New Roman" w:hAnsi="Times New Roman"/>
          <w:sz w:val="24"/>
          <w:szCs w:val="24"/>
        </w:rPr>
        <w:t xml:space="preserve"> taxa together with </w:t>
      </w:r>
      <w:r w:rsidRPr="007675F7">
        <w:rPr>
          <w:rFonts w:ascii="Times New Roman" w:hAnsi="Times New Roman"/>
          <w:i/>
          <w:iCs/>
          <w:sz w:val="24"/>
          <w:szCs w:val="24"/>
        </w:rPr>
        <w:t xml:space="preserve">Chaetoceros </w:t>
      </w:r>
      <w:r w:rsidRPr="007675F7">
        <w:rPr>
          <w:rFonts w:ascii="Times New Roman" w:hAnsi="Times New Roman"/>
          <w:iCs/>
          <w:sz w:val="24"/>
          <w:szCs w:val="24"/>
        </w:rPr>
        <w:t>spp</w:t>
      </w:r>
      <w:r w:rsidRPr="007675F7">
        <w:rPr>
          <w:rFonts w:ascii="Times New Roman" w:hAnsi="Times New Roman"/>
          <w:i/>
          <w:iCs/>
          <w:sz w:val="24"/>
          <w:szCs w:val="24"/>
        </w:rPr>
        <w:t>.</w:t>
      </w:r>
      <w:r w:rsidRPr="007675F7">
        <w:rPr>
          <w:rFonts w:ascii="Times New Roman" w:hAnsi="Times New Roman"/>
          <w:sz w:val="24"/>
          <w:szCs w:val="24"/>
        </w:rPr>
        <w:t xml:space="preserve">, </w:t>
      </w:r>
      <w:r w:rsidRPr="007675F7">
        <w:rPr>
          <w:rFonts w:ascii="Times New Roman" w:hAnsi="Times New Roman"/>
          <w:i/>
          <w:iCs/>
          <w:sz w:val="24"/>
          <w:szCs w:val="24"/>
        </w:rPr>
        <w:t xml:space="preserve">Thalassionema </w:t>
      </w:r>
      <w:r w:rsidRPr="007675F7">
        <w:rPr>
          <w:rFonts w:ascii="Times New Roman" w:hAnsi="Times New Roman"/>
          <w:iCs/>
          <w:sz w:val="24"/>
          <w:szCs w:val="24"/>
        </w:rPr>
        <w:t>spp.</w:t>
      </w:r>
      <w:r w:rsidRPr="007675F7">
        <w:rPr>
          <w:rFonts w:ascii="Times New Roman" w:hAnsi="Times New Roman"/>
          <w:sz w:val="24"/>
          <w:szCs w:val="24"/>
        </w:rPr>
        <w:t xml:space="preserve">, </w:t>
      </w:r>
      <w:r w:rsidRPr="007675F7">
        <w:rPr>
          <w:rFonts w:ascii="Times New Roman" w:hAnsi="Times New Roman"/>
          <w:i/>
          <w:iCs/>
          <w:sz w:val="24"/>
          <w:szCs w:val="24"/>
        </w:rPr>
        <w:t xml:space="preserve">Dinophysis </w:t>
      </w:r>
      <w:r w:rsidRPr="007675F7">
        <w:rPr>
          <w:rFonts w:ascii="Times New Roman" w:hAnsi="Times New Roman"/>
          <w:iCs/>
          <w:sz w:val="24"/>
          <w:szCs w:val="24"/>
        </w:rPr>
        <w:t>spp.</w:t>
      </w:r>
      <w:r w:rsidRPr="007675F7">
        <w:rPr>
          <w:rFonts w:ascii="Times New Roman" w:hAnsi="Times New Roman"/>
          <w:sz w:val="24"/>
          <w:szCs w:val="24"/>
        </w:rPr>
        <w:t xml:space="preserve">, </w:t>
      </w:r>
      <w:r w:rsidRPr="007675F7">
        <w:rPr>
          <w:rFonts w:ascii="Times New Roman" w:hAnsi="Times New Roman"/>
          <w:iCs/>
          <w:sz w:val="24"/>
          <w:szCs w:val="24"/>
        </w:rPr>
        <w:t xml:space="preserve">and </w:t>
      </w:r>
      <w:r w:rsidRPr="007675F7">
        <w:rPr>
          <w:rFonts w:ascii="Times New Roman" w:hAnsi="Times New Roman"/>
          <w:i/>
          <w:iCs/>
          <w:sz w:val="24"/>
          <w:szCs w:val="24"/>
        </w:rPr>
        <w:t>Pleurosigma</w:t>
      </w:r>
      <w:r w:rsidRPr="007675F7">
        <w:rPr>
          <w:rFonts w:ascii="Times New Roman" w:hAnsi="Times New Roman"/>
          <w:iCs/>
          <w:sz w:val="24"/>
          <w:szCs w:val="24"/>
        </w:rPr>
        <w:t xml:space="preserve"> spp. </w:t>
      </w:r>
      <w:r w:rsidRPr="007675F7">
        <w:rPr>
          <w:rFonts w:ascii="Times New Roman" w:hAnsi="Times New Roman"/>
          <w:sz w:val="24"/>
          <w:szCs w:val="24"/>
        </w:rPr>
        <w:t xml:space="preserve">were responsible for more than 50% of the dissimilarity between the </w:t>
      </w:r>
      <w:r w:rsidR="00AF5455">
        <w:rPr>
          <w:rFonts w:ascii="Times New Roman" w:hAnsi="Times New Roman"/>
          <w:sz w:val="24"/>
          <w:szCs w:val="24"/>
        </w:rPr>
        <w:t xml:space="preserve">sampling </w:t>
      </w:r>
      <w:r w:rsidRPr="007675F7">
        <w:rPr>
          <w:rFonts w:ascii="Times New Roman" w:hAnsi="Times New Roman"/>
          <w:sz w:val="24"/>
          <w:szCs w:val="24"/>
        </w:rPr>
        <w:t xml:space="preserve">stations  (for </w:t>
      </w:r>
      <w:r w:rsidR="001330A0">
        <w:rPr>
          <w:rFonts w:ascii="Times New Roman" w:hAnsi="Times New Roman"/>
          <w:sz w:val="24"/>
          <w:szCs w:val="24"/>
        </w:rPr>
        <w:t>further</w:t>
      </w:r>
      <w:r w:rsidR="001330A0" w:rsidRPr="007675F7">
        <w:rPr>
          <w:rFonts w:ascii="Times New Roman" w:hAnsi="Times New Roman"/>
          <w:sz w:val="24"/>
          <w:szCs w:val="24"/>
        </w:rPr>
        <w:t xml:space="preserve"> </w:t>
      </w:r>
      <w:r w:rsidRPr="007675F7">
        <w:rPr>
          <w:rFonts w:ascii="Times New Roman" w:hAnsi="Times New Roman"/>
          <w:sz w:val="24"/>
          <w:szCs w:val="24"/>
        </w:rPr>
        <w:t>detail see Supplemental material: Tables I-VI).</w:t>
      </w:r>
    </w:p>
    <w:p w:rsidR="002C1268" w:rsidRPr="007675F7" w:rsidRDefault="002C1268" w:rsidP="002C1268">
      <w:pPr>
        <w:spacing w:after="0" w:line="480" w:lineRule="auto"/>
        <w:jc w:val="both"/>
        <w:rPr>
          <w:rFonts w:ascii="Times New Roman" w:hAnsi="Times New Roman"/>
          <w:b/>
          <w:sz w:val="24"/>
          <w:szCs w:val="24"/>
        </w:rPr>
      </w:pPr>
    </w:p>
    <w:p w:rsidR="002C1268" w:rsidRPr="007675F7" w:rsidRDefault="002C1268" w:rsidP="002C1268">
      <w:pPr>
        <w:spacing w:after="0" w:line="480" w:lineRule="auto"/>
        <w:jc w:val="both"/>
        <w:rPr>
          <w:rFonts w:ascii="Times New Roman" w:hAnsi="Times New Roman"/>
          <w:i/>
          <w:sz w:val="24"/>
          <w:szCs w:val="24"/>
        </w:rPr>
      </w:pPr>
      <w:r w:rsidRPr="007675F7">
        <w:rPr>
          <w:rFonts w:ascii="Times New Roman" w:hAnsi="Times New Roman"/>
          <w:i/>
          <w:sz w:val="24"/>
          <w:szCs w:val="24"/>
        </w:rPr>
        <w:t>Phytoplankton communities vs. environmental factors</w:t>
      </w:r>
    </w:p>
    <w:p w:rsidR="002C1268" w:rsidRPr="007675F7" w:rsidRDefault="00AF5455" w:rsidP="002C1268">
      <w:pPr>
        <w:spacing w:after="0" w:line="480" w:lineRule="auto"/>
        <w:jc w:val="both"/>
        <w:rPr>
          <w:rFonts w:ascii="Times New Roman" w:hAnsi="Times New Roman"/>
          <w:sz w:val="24"/>
          <w:szCs w:val="24"/>
        </w:rPr>
      </w:pPr>
      <w:r>
        <w:rPr>
          <w:rFonts w:ascii="Times New Roman" w:hAnsi="Times New Roman"/>
          <w:sz w:val="24"/>
          <w:szCs w:val="24"/>
        </w:rPr>
        <w:t>V</w:t>
      </w:r>
      <w:r w:rsidR="002C1268" w:rsidRPr="007675F7">
        <w:rPr>
          <w:rFonts w:ascii="Times New Roman" w:hAnsi="Times New Roman"/>
          <w:sz w:val="24"/>
          <w:szCs w:val="24"/>
        </w:rPr>
        <w:t>alues of salinity, pH, and DO</w:t>
      </w:r>
      <w:r>
        <w:rPr>
          <w:rFonts w:ascii="Times New Roman" w:hAnsi="Times New Roman"/>
          <w:sz w:val="24"/>
          <w:szCs w:val="24"/>
        </w:rPr>
        <w:t xml:space="preserve"> generally decreased landward,</w:t>
      </w:r>
      <w:r w:rsidR="002C1268" w:rsidRPr="007675F7">
        <w:rPr>
          <w:rFonts w:ascii="Times New Roman" w:hAnsi="Times New Roman"/>
          <w:sz w:val="24"/>
          <w:szCs w:val="24"/>
        </w:rPr>
        <w:t xml:space="preserve"> from Station 1 to Station 4 (Table 3)</w:t>
      </w:r>
      <w:r>
        <w:rPr>
          <w:rFonts w:ascii="Times New Roman" w:hAnsi="Times New Roman"/>
          <w:sz w:val="24"/>
          <w:szCs w:val="24"/>
        </w:rPr>
        <w:t>, with the</w:t>
      </w:r>
      <w:r w:rsidR="002C1268" w:rsidRPr="007675F7">
        <w:rPr>
          <w:rFonts w:ascii="Times New Roman" w:hAnsi="Times New Roman"/>
          <w:sz w:val="24"/>
          <w:szCs w:val="24"/>
        </w:rPr>
        <w:t xml:space="preserve"> differences </w:t>
      </w:r>
      <w:r>
        <w:rPr>
          <w:rFonts w:ascii="Times New Roman" w:hAnsi="Times New Roman"/>
          <w:sz w:val="24"/>
          <w:szCs w:val="24"/>
        </w:rPr>
        <w:t>between the stations being</w:t>
      </w:r>
      <w:r w:rsidR="002C1268" w:rsidRPr="007675F7">
        <w:rPr>
          <w:rFonts w:ascii="Times New Roman" w:hAnsi="Times New Roman"/>
          <w:sz w:val="24"/>
          <w:szCs w:val="24"/>
        </w:rPr>
        <w:t xml:space="preserve"> statistically significant (</w:t>
      </w:r>
      <w:r>
        <w:rPr>
          <w:rFonts w:ascii="Times New Roman" w:hAnsi="Times New Roman"/>
          <w:sz w:val="24"/>
          <w:szCs w:val="24"/>
        </w:rPr>
        <w:t xml:space="preserve">Kruskal-Wallis, </w:t>
      </w:r>
      <w:r w:rsidR="002C1268" w:rsidRPr="007675F7">
        <w:rPr>
          <w:rFonts w:ascii="Times New Roman" w:hAnsi="Times New Roman"/>
          <w:sz w:val="24"/>
          <w:szCs w:val="24"/>
        </w:rPr>
        <w:t>p</w:t>
      </w:r>
      <w:r>
        <w:rPr>
          <w:rFonts w:ascii="Times New Roman" w:hAnsi="Times New Roman"/>
          <w:sz w:val="24"/>
          <w:szCs w:val="24"/>
        </w:rPr>
        <w:t xml:space="preserve"> &lt; 0.05). However</w:t>
      </w:r>
      <w:r w:rsidR="002C1268" w:rsidRPr="007675F7">
        <w:rPr>
          <w:rFonts w:ascii="Times New Roman" w:hAnsi="Times New Roman"/>
          <w:sz w:val="24"/>
          <w:szCs w:val="24"/>
        </w:rPr>
        <w:t>, the four sampling sites did not differ significantly in</w:t>
      </w:r>
      <w:r>
        <w:rPr>
          <w:rFonts w:ascii="Times New Roman" w:hAnsi="Times New Roman"/>
          <w:sz w:val="24"/>
          <w:szCs w:val="24"/>
        </w:rPr>
        <w:t xml:space="preserve"> terms of water temperature. All of the</w:t>
      </w:r>
      <w:r w:rsidR="002C1268" w:rsidRPr="007675F7">
        <w:rPr>
          <w:rFonts w:ascii="Times New Roman" w:hAnsi="Times New Roman"/>
          <w:sz w:val="24"/>
          <w:szCs w:val="24"/>
        </w:rPr>
        <w:t xml:space="preserve"> environment variables (pH, temperature, salinity, DO) were </w:t>
      </w:r>
      <w:r>
        <w:rPr>
          <w:rFonts w:ascii="Times New Roman" w:hAnsi="Times New Roman"/>
          <w:sz w:val="24"/>
          <w:szCs w:val="24"/>
        </w:rPr>
        <w:t xml:space="preserve">significantly </w:t>
      </w:r>
      <w:r w:rsidR="002C1268" w:rsidRPr="007675F7">
        <w:rPr>
          <w:rFonts w:ascii="Times New Roman" w:hAnsi="Times New Roman"/>
          <w:sz w:val="24"/>
          <w:szCs w:val="24"/>
        </w:rPr>
        <w:t>positively correlated with phytoplankton density (Table 4).</w:t>
      </w:r>
    </w:p>
    <w:p w:rsidR="002C1268" w:rsidRPr="007675F7" w:rsidRDefault="002C1268" w:rsidP="002C1268">
      <w:pPr>
        <w:spacing w:after="0" w:line="480" w:lineRule="auto"/>
        <w:jc w:val="both"/>
        <w:rPr>
          <w:rFonts w:ascii="Times New Roman" w:hAnsi="Times New Roman"/>
          <w:b/>
          <w:sz w:val="24"/>
          <w:szCs w:val="24"/>
        </w:rPr>
      </w:pPr>
    </w:p>
    <w:p w:rsidR="002C1268" w:rsidRPr="007675F7" w:rsidRDefault="002C1268" w:rsidP="002C1268">
      <w:pPr>
        <w:spacing w:after="0" w:line="480" w:lineRule="auto"/>
        <w:jc w:val="both"/>
        <w:rPr>
          <w:rFonts w:ascii="Times New Roman" w:hAnsi="Times New Roman"/>
          <w:i/>
          <w:sz w:val="24"/>
          <w:szCs w:val="24"/>
        </w:rPr>
      </w:pPr>
      <w:r w:rsidRPr="007675F7">
        <w:rPr>
          <w:rFonts w:ascii="Times New Roman" w:hAnsi="Times New Roman"/>
          <w:i/>
          <w:sz w:val="24"/>
          <w:szCs w:val="24"/>
        </w:rPr>
        <w:t>Differences among seasons</w:t>
      </w:r>
    </w:p>
    <w:p w:rsidR="002C1268" w:rsidRPr="007675F7" w:rsidRDefault="002C1268" w:rsidP="00021DF4">
      <w:pPr>
        <w:spacing w:after="0" w:line="480" w:lineRule="auto"/>
        <w:jc w:val="both"/>
        <w:rPr>
          <w:rFonts w:ascii="Times New Roman" w:hAnsi="Times New Roman"/>
          <w:sz w:val="24"/>
          <w:szCs w:val="24"/>
        </w:rPr>
      </w:pPr>
      <w:r w:rsidRPr="007675F7">
        <w:rPr>
          <w:rFonts w:ascii="Times New Roman" w:hAnsi="Times New Roman"/>
          <w:sz w:val="24"/>
          <w:szCs w:val="24"/>
        </w:rPr>
        <w:t xml:space="preserve">A partial RDA with supplementary variables was performed </w:t>
      </w:r>
      <w:r w:rsidR="00AF5455">
        <w:rPr>
          <w:rFonts w:ascii="Times New Roman" w:hAnsi="Times New Roman"/>
          <w:sz w:val="24"/>
          <w:szCs w:val="24"/>
        </w:rPr>
        <w:t xml:space="preserve">to test the effect of season on </w:t>
      </w:r>
      <w:r w:rsidRPr="007675F7">
        <w:rPr>
          <w:rFonts w:ascii="Times New Roman" w:hAnsi="Times New Roman"/>
          <w:sz w:val="24"/>
          <w:szCs w:val="24"/>
        </w:rPr>
        <w:t xml:space="preserve">phytoplankton communities (Fig. 5). Sampling site was used as </w:t>
      </w:r>
      <w:r w:rsidR="001330A0">
        <w:rPr>
          <w:rFonts w:ascii="Times New Roman" w:hAnsi="Times New Roman"/>
          <w:sz w:val="24"/>
          <w:szCs w:val="24"/>
        </w:rPr>
        <w:t xml:space="preserve">a </w:t>
      </w:r>
      <w:r w:rsidRPr="007675F7">
        <w:rPr>
          <w:rFonts w:ascii="Times New Roman" w:hAnsi="Times New Roman"/>
          <w:sz w:val="24"/>
          <w:szCs w:val="24"/>
        </w:rPr>
        <w:t>covariate</w:t>
      </w:r>
      <w:r w:rsidR="00AF5455">
        <w:rPr>
          <w:rFonts w:ascii="Times New Roman" w:hAnsi="Times New Roman"/>
          <w:sz w:val="24"/>
          <w:szCs w:val="24"/>
        </w:rPr>
        <w:t xml:space="preserve"> and</w:t>
      </w:r>
      <w:r w:rsidR="001330A0">
        <w:rPr>
          <w:rFonts w:ascii="Times New Roman" w:hAnsi="Times New Roman"/>
          <w:sz w:val="24"/>
          <w:szCs w:val="24"/>
        </w:rPr>
        <w:t>,</w:t>
      </w:r>
      <w:r w:rsidRPr="007675F7">
        <w:rPr>
          <w:rFonts w:ascii="Times New Roman" w:hAnsi="Times New Roman"/>
          <w:sz w:val="24"/>
          <w:szCs w:val="24"/>
        </w:rPr>
        <w:t xml:space="preserve"> therefore</w:t>
      </w:r>
      <w:r w:rsidR="001330A0">
        <w:rPr>
          <w:rFonts w:ascii="Times New Roman" w:hAnsi="Times New Roman"/>
          <w:sz w:val="24"/>
          <w:szCs w:val="24"/>
        </w:rPr>
        <w:t>,</w:t>
      </w:r>
      <w:r w:rsidRPr="007675F7">
        <w:rPr>
          <w:rFonts w:ascii="Times New Roman" w:hAnsi="Times New Roman"/>
          <w:sz w:val="24"/>
          <w:szCs w:val="24"/>
        </w:rPr>
        <w:t xml:space="preserve"> its effect on phytopla</w:t>
      </w:r>
      <w:r w:rsidR="00AF5455">
        <w:rPr>
          <w:rFonts w:ascii="Times New Roman" w:hAnsi="Times New Roman"/>
          <w:sz w:val="24"/>
          <w:szCs w:val="24"/>
        </w:rPr>
        <w:t xml:space="preserve">nkton communities was removed from the model. The </w:t>
      </w:r>
      <w:r w:rsidRPr="007675F7">
        <w:rPr>
          <w:rFonts w:ascii="Times New Roman" w:hAnsi="Times New Roman"/>
          <w:sz w:val="24"/>
          <w:szCs w:val="24"/>
        </w:rPr>
        <w:t>explain</w:t>
      </w:r>
      <w:r w:rsidR="00AF5455">
        <w:rPr>
          <w:rFonts w:ascii="Times New Roman" w:hAnsi="Times New Roman"/>
          <w:sz w:val="24"/>
          <w:szCs w:val="24"/>
        </w:rPr>
        <w:t xml:space="preserve">ed variation </w:t>
      </w:r>
      <w:r w:rsidR="00AF5455">
        <w:rPr>
          <w:rFonts w:ascii="Times New Roman" w:hAnsi="Times New Roman"/>
          <w:sz w:val="24"/>
          <w:szCs w:val="24"/>
        </w:rPr>
        <w:lastRenderedPageBreak/>
        <w:t>accounted for 33.2</w:t>
      </w:r>
      <w:r w:rsidRPr="007675F7">
        <w:rPr>
          <w:rFonts w:ascii="Times New Roman" w:hAnsi="Times New Roman"/>
          <w:sz w:val="24"/>
          <w:szCs w:val="24"/>
        </w:rPr>
        <w:t>% of the total variance in phytoplankton compositional data (adju</w:t>
      </w:r>
      <w:r w:rsidR="00021DF4">
        <w:rPr>
          <w:rFonts w:ascii="Times New Roman" w:hAnsi="Times New Roman"/>
          <w:sz w:val="24"/>
          <w:szCs w:val="24"/>
        </w:rPr>
        <w:t>sted explained variation = 30.0</w:t>
      </w:r>
      <w:r w:rsidRPr="007675F7">
        <w:rPr>
          <w:rFonts w:ascii="Times New Roman" w:hAnsi="Times New Roman"/>
          <w:sz w:val="24"/>
          <w:szCs w:val="24"/>
        </w:rPr>
        <w:t>%). As confirmed by the Monte Carlo permutation test (p = 0.001) this effect was significant. Most of the algal taxa appeared to be correlated (either positively or negatively) with salinity and pH.</w:t>
      </w:r>
      <w:r w:rsidR="00021DF4">
        <w:rPr>
          <w:rFonts w:ascii="Times New Roman" w:hAnsi="Times New Roman"/>
          <w:sz w:val="24"/>
          <w:szCs w:val="24"/>
        </w:rPr>
        <w:t xml:space="preserve"> The</w:t>
      </w:r>
      <w:r w:rsidRPr="007675F7">
        <w:rPr>
          <w:rFonts w:ascii="Times New Roman" w:hAnsi="Times New Roman"/>
          <w:sz w:val="24"/>
          <w:szCs w:val="24"/>
        </w:rPr>
        <w:t xml:space="preserve"> spring inter-monsoon period </w:t>
      </w:r>
      <w:r w:rsidR="00021DF4">
        <w:rPr>
          <w:rFonts w:ascii="Times New Roman" w:hAnsi="Times New Roman"/>
          <w:sz w:val="24"/>
          <w:szCs w:val="24"/>
        </w:rPr>
        <w:t>(April) was clearly</w:t>
      </w:r>
      <w:r w:rsidRPr="007675F7">
        <w:rPr>
          <w:rFonts w:ascii="Times New Roman" w:hAnsi="Times New Roman"/>
          <w:sz w:val="24"/>
          <w:szCs w:val="24"/>
        </w:rPr>
        <w:t xml:space="preserve"> the </w:t>
      </w:r>
      <w:r w:rsidR="00021DF4">
        <w:rPr>
          <w:rFonts w:ascii="Times New Roman" w:hAnsi="Times New Roman"/>
          <w:sz w:val="24"/>
          <w:szCs w:val="24"/>
        </w:rPr>
        <w:t>season in which the conditions we</w:t>
      </w:r>
      <w:r w:rsidRPr="007675F7">
        <w:rPr>
          <w:rFonts w:ascii="Times New Roman" w:hAnsi="Times New Roman"/>
          <w:sz w:val="24"/>
          <w:szCs w:val="24"/>
        </w:rPr>
        <w:t>re the least favourabl</w:t>
      </w:r>
      <w:r w:rsidR="00021DF4">
        <w:rPr>
          <w:rFonts w:ascii="Times New Roman" w:hAnsi="Times New Roman"/>
          <w:sz w:val="24"/>
          <w:szCs w:val="24"/>
        </w:rPr>
        <w:t>e for phytoplankton community</w:t>
      </w:r>
      <w:r w:rsidRPr="007675F7">
        <w:rPr>
          <w:rFonts w:ascii="Times New Roman" w:hAnsi="Times New Roman"/>
          <w:sz w:val="24"/>
          <w:szCs w:val="24"/>
        </w:rPr>
        <w:t xml:space="preserve"> development.</w:t>
      </w:r>
      <w:r w:rsidR="00021DF4" w:rsidRPr="00021DF4">
        <w:rPr>
          <w:rFonts w:ascii="Times New Roman" w:hAnsi="Times New Roman"/>
          <w:sz w:val="24"/>
          <w:szCs w:val="24"/>
        </w:rPr>
        <w:t xml:space="preserve"> </w:t>
      </w:r>
      <w:r w:rsidR="00021DF4" w:rsidRPr="007675F7">
        <w:rPr>
          <w:rFonts w:ascii="Times New Roman" w:hAnsi="Times New Roman"/>
          <w:sz w:val="24"/>
          <w:szCs w:val="24"/>
        </w:rPr>
        <w:t>Although both NEM and SWM samples create</w:t>
      </w:r>
      <w:r w:rsidR="00021DF4">
        <w:rPr>
          <w:rFonts w:ascii="Times New Roman" w:hAnsi="Times New Roman"/>
          <w:sz w:val="24"/>
          <w:szCs w:val="24"/>
        </w:rPr>
        <w:t>d</w:t>
      </w:r>
      <w:r w:rsidR="00021DF4" w:rsidRPr="007675F7">
        <w:rPr>
          <w:rFonts w:ascii="Times New Roman" w:hAnsi="Times New Roman"/>
          <w:sz w:val="24"/>
          <w:szCs w:val="24"/>
        </w:rPr>
        <w:t xml:space="preserve"> highly heterogeneous overlapping groups, samples collected during the two inter-monsoon periods (April and October) form</w:t>
      </w:r>
      <w:r w:rsidR="00021DF4">
        <w:rPr>
          <w:rFonts w:ascii="Times New Roman" w:hAnsi="Times New Roman"/>
          <w:sz w:val="24"/>
          <w:szCs w:val="24"/>
        </w:rPr>
        <w:t>ed</w:t>
      </w:r>
      <w:r w:rsidR="00021DF4" w:rsidRPr="007675F7">
        <w:rPr>
          <w:rFonts w:ascii="Times New Roman" w:hAnsi="Times New Roman"/>
          <w:sz w:val="24"/>
          <w:szCs w:val="24"/>
        </w:rPr>
        <w:t xml:space="preserve"> two distinct clusters, suggesting a substantial seasonal change in phytoplankton communities</w:t>
      </w:r>
      <w:r w:rsidR="00021DF4">
        <w:rPr>
          <w:rFonts w:ascii="Times New Roman" w:hAnsi="Times New Roman"/>
          <w:sz w:val="24"/>
          <w:szCs w:val="24"/>
        </w:rPr>
        <w:t xml:space="preserve"> (Fig. 6)</w:t>
      </w:r>
      <w:r w:rsidR="00021DF4" w:rsidRPr="007675F7">
        <w:rPr>
          <w:rFonts w:ascii="Times New Roman" w:hAnsi="Times New Roman"/>
          <w:sz w:val="24"/>
          <w:szCs w:val="24"/>
        </w:rPr>
        <w:t>.</w:t>
      </w:r>
    </w:p>
    <w:p w:rsidR="002C1268" w:rsidRPr="007675F7" w:rsidRDefault="002C1268" w:rsidP="002C1268">
      <w:pPr>
        <w:spacing w:after="0" w:line="480" w:lineRule="auto"/>
        <w:jc w:val="both"/>
        <w:rPr>
          <w:rFonts w:ascii="Times New Roman" w:hAnsi="Times New Roman"/>
          <w:b/>
          <w:sz w:val="24"/>
          <w:szCs w:val="24"/>
        </w:rPr>
      </w:pPr>
    </w:p>
    <w:p w:rsidR="002C1268" w:rsidRPr="007675F7" w:rsidRDefault="002C1268" w:rsidP="002C1268">
      <w:pPr>
        <w:spacing w:after="0" w:line="480" w:lineRule="auto"/>
        <w:jc w:val="both"/>
        <w:rPr>
          <w:rFonts w:ascii="Times New Roman" w:hAnsi="Times New Roman"/>
          <w:i/>
          <w:sz w:val="24"/>
          <w:szCs w:val="24"/>
        </w:rPr>
      </w:pPr>
      <w:r w:rsidRPr="007675F7">
        <w:rPr>
          <w:rFonts w:ascii="Times New Roman" w:hAnsi="Times New Roman"/>
          <w:i/>
          <w:sz w:val="24"/>
          <w:szCs w:val="24"/>
        </w:rPr>
        <w:t>Differences among sites</w:t>
      </w:r>
    </w:p>
    <w:p w:rsidR="002C1268" w:rsidRPr="007675F7" w:rsidRDefault="002C1268" w:rsidP="002C1268">
      <w:pPr>
        <w:spacing w:after="0" w:line="480" w:lineRule="auto"/>
        <w:jc w:val="both"/>
        <w:rPr>
          <w:rFonts w:ascii="Times New Roman" w:hAnsi="Times New Roman"/>
          <w:sz w:val="24"/>
          <w:szCs w:val="24"/>
        </w:rPr>
      </w:pPr>
      <w:r w:rsidRPr="007675F7">
        <w:rPr>
          <w:rFonts w:ascii="Times New Roman" w:hAnsi="Times New Roman"/>
          <w:sz w:val="24"/>
          <w:szCs w:val="24"/>
        </w:rPr>
        <w:t>A partial RDA was run to test the eff</w:t>
      </w:r>
      <w:r w:rsidR="00021DF4">
        <w:rPr>
          <w:rFonts w:ascii="Times New Roman" w:hAnsi="Times New Roman"/>
          <w:sz w:val="24"/>
          <w:szCs w:val="24"/>
        </w:rPr>
        <w:t>ect of sampling site on the</w:t>
      </w:r>
      <w:r w:rsidRPr="007675F7">
        <w:rPr>
          <w:rFonts w:ascii="Times New Roman" w:hAnsi="Times New Roman"/>
          <w:sz w:val="24"/>
          <w:szCs w:val="24"/>
        </w:rPr>
        <w:t xml:space="preserve"> algal communities (Fig. 7). The sampling season was used as </w:t>
      </w:r>
      <w:r w:rsidR="00021DF4">
        <w:rPr>
          <w:rFonts w:ascii="Times New Roman" w:hAnsi="Times New Roman"/>
          <w:sz w:val="24"/>
          <w:szCs w:val="24"/>
        </w:rPr>
        <w:t>a covariate, allowing removal of</w:t>
      </w:r>
      <w:r w:rsidRPr="007675F7">
        <w:rPr>
          <w:rFonts w:ascii="Times New Roman" w:hAnsi="Times New Roman"/>
          <w:sz w:val="24"/>
          <w:szCs w:val="24"/>
        </w:rPr>
        <w:t xml:space="preserve"> its effect on algal assemblages from the final model. The explained variation accounted for</w:t>
      </w:r>
      <w:r w:rsidR="00021DF4">
        <w:rPr>
          <w:rFonts w:ascii="Times New Roman" w:hAnsi="Times New Roman"/>
          <w:sz w:val="24"/>
          <w:szCs w:val="24"/>
        </w:rPr>
        <w:t xml:space="preserve"> 25.0</w:t>
      </w:r>
      <w:r w:rsidRPr="007675F7">
        <w:rPr>
          <w:rFonts w:ascii="Times New Roman" w:hAnsi="Times New Roman"/>
          <w:sz w:val="24"/>
          <w:szCs w:val="24"/>
        </w:rPr>
        <w:t>% of the total variance in phytoplankton compositional data (adju</w:t>
      </w:r>
      <w:r w:rsidR="00021DF4">
        <w:rPr>
          <w:rFonts w:ascii="Times New Roman" w:hAnsi="Times New Roman"/>
          <w:sz w:val="24"/>
          <w:szCs w:val="24"/>
        </w:rPr>
        <w:t>sted explained variation = 20.5</w:t>
      </w:r>
      <w:r w:rsidRPr="007675F7">
        <w:rPr>
          <w:rFonts w:ascii="Times New Roman" w:hAnsi="Times New Roman"/>
          <w:sz w:val="24"/>
          <w:szCs w:val="24"/>
        </w:rPr>
        <w:t>%) and the Monte Carlo permutation test (p = 0.001) confirmed significan</w:t>
      </w:r>
      <w:r w:rsidR="00021DF4">
        <w:rPr>
          <w:rFonts w:ascii="Times New Roman" w:hAnsi="Times New Roman"/>
          <w:sz w:val="24"/>
          <w:szCs w:val="24"/>
        </w:rPr>
        <w:t>ce of the observed effect. A</w:t>
      </w:r>
      <w:r w:rsidRPr="007675F7">
        <w:rPr>
          <w:rFonts w:ascii="Times New Roman" w:hAnsi="Times New Roman"/>
          <w:sz w:val="24"/>
          <w:szCs w:val="24"/>
        </w:rPr>
        <w:t xml:space="preserve">ll of the phytoplankton taxa responded negatively </w:t>
      </w:r>
      <w:r w:rsidR="00021DF4">
        <w:rPr>
          <w:rFonts w:ascii="Times New Roman" w:hAnsi="Times New Roman"/>
          <w:sz w:val="24"/>
          <w:szCs w:val="24"/>
        </w:rPr>
        <w:t>to the conditions of</w:t>
      </w:r>
      <w:r w:rsidRPr="007675F7">
        <w:rPr>
          <w:rFonts w:ascii="Times New Roman" w:hAnsi="Times New Roman"/>
          <w:sz w:val="24"/>
          <w:szCs w:val="24"/>
        </w:rPr>
        <w:t xml:space="preserve"> Station 4. Only the two benthic taxa (</w:t>
      </w:r>
      <w:r w:rsidRPr="007675F7">
        <w:rPr>
          <w:rFonts w:ascii="Times New Roman" w:hAnsi="Times New Roman"/>
          <w:i/>
          <w:sz w:val="24"/>
          <w:szCs w:val="24"/>
        </w:rPr>
        <w:t>Achnanthes</w:t>
      </w:r>
      <w:r w:rsidRPr="007675F7">
        <w:rPr>
          <w:rFonts w:ascii="Times New Roman" w:hAnsi="Times New Roman"/>
          <w:sz w:val="24"/>
          <w:szCs w:val="24"/>
        </w:rPr>
        <w:t xml:space="preserve"> and </w:t>
      </w:r>
      <w:r w:rsidRPr="007675F7">
        <w:rPr>
          <w:rFonts w:ascii="Times New Roman" w:hAnsi="Times New Roman"/>
          <w:i/>
          <w:sz w:val="24"/>
          <w:szCs w:val="24"/>
        </w:rPr>
        <w:t>Navicula</w:t>
      </w:r>
      <w:r w:rsidR="00021DF4">
        <w:rPr>
          <w:rFonts w:ascii="Times New Roman" w:hAnsi="Times New Roman"/>
          <w:sz w:val="24"/>
          <w:szCs w:val="24"/>
        </w:rPr>
        <w:t>) were</w:t>
      </w:r>
      <w:r w:rsidRPr="007675F7">
        <w:rPr>
          <w:rFonts w:ascii="Times New Roman" w:hAnsi="Times New Roman"/>
          <w:sz w:val="24"/>
          <w:szCs w:val="24"/>
        </w:rPr>
        <w:t xml:space="preserve"> more common in samples collected at Station 4 than in those collected at the other stations.</w:t>
      </w:r>
    </w:p>
    <w:p w:rsidR="002C1268" w:rsidRPr="007675F7" w:rsidRDefault="002B490F" w:rsidP="002C1268">
      <w:pPr>
        <w:spacing w:after="0" w:line="480" w:lineRule="auto"/>
        <w:ind w:firstLine="720"/>
        <w:jc w:val="both"/>
        <w:rPr>
          <w:rFonts w:ascii="Times New Roman" w:eastAsiaTheme="minorHAnsi" w:hAnsi="Times New Roman"/>
          <w:b/>
          <w:sz w:val="24"/>
          <w:szCs w:val="24"/>
        </w:rPr>
      </w:pPr>
      <w:r>
        <w:rPr>
          <w:rFonts w:ascii="Times New Roman" w:hAnsi="Times New Roman"/>
          <w:sz w:val="24"/>
          <w:szCs w:val="24"/>
        </w:rPr>
        <w:t>Figure 8 presents</w:t>
      </w:r>
      <w:r w:rsidR="002C1268" w:rsidRPr="007675F7">
        <w:rPr>
          <w:rFonts w:ascii="Times New Roman" w:hAnsi="Times New Roman"/>
          <w:sz w:val="24"/>
          <w:szCs w:val="24"/>
        </w:rPr>
        <w:t xml:space="preserve"> a classification of</w:t>
      </w:r>
      <w:r>
        <w:rPr>
          <w:rFonts w:ascii="Times New Roman" w:hAnsi="Times New Roman"/>
          <w:sz w:val="24"/>
          <w:szCs w:val="24"/>
        </w:rPr>
        <w:t xml:space="preserve"> the</w:t>
      </w:r>
      <w:r w:rsidR="002C1268" w:rsidRPr="007675F7">
        <w:rPr>
          <w:rFonts w:ascii="Times New Roman" w:hAnsi="Times New Roman"/>
          <w:sz w:val="24"/>
          <w:szCs w:val="24"/>
        </w:rPr>
        <w:t xml:space="preserve"> phytoplankton samples into the f</w:t>
      </w:r>
      <w:r>
        <w:rPr>
          <w:rFonts w:ascii="Times New Roman" w:hAnsi="Times New Roman"/>
          <w:sz w:val="24"/>
          <w:szCs w:val="24"/>
        </w:rPr>
        <w:t>our groups according to the site from which they were collected. The overlapping clusters illustrate</w:t>
      </w:r>
      <w:r w:rsidR="002C1268" w:rsidRPr="007675F7">
        <w:rPr>
          <w:rFonts w:ascii="Times New Roman" w:hAnsi="Times New Roman"/>
          <w:sz w:val="24"/>
          <w:szCs w:val="24"/>
        </w:rPr>
        <w:t xml:space="preserve"> the spatial continuum throughout the sampling area. Nevertheless, samples collect</w:t>
      </w:r>
      <w:r>
        <w:rPr>
          <w:rFonts w:ascii="Times New Roman" w:hAnsi="Times New Roman"/>
          <w:sz w:val="24"/>
          <w:szCs w:val="24"/>
        </w:rPr>
        <w:t>ed at Station 1 and Station 4 were</w:t>
      </w:r>
      <w:r w:rsidR="002C1268" w:rsidRPr="007675F7">
        <w:rPr>
          <w:rFonts w:ascii="Times New Roman" w:hAnsi="Times New Roman"/>
          <w:sz w:val="24"/>
          <w:szCs w:val="24"/>
        </w:rPr>
        <w:t xml:space="preserve"> more floristically heterogeneous than those collected at the other two stations. In addition, samples collected at Station 4, in contrast with the other samples, tended to be placed </w:t>
      </w:r>
      <w:r w:rsidR="002C1268" w:rsidRPr="007675F7">
        <w:rPr>
          <w:rFonts w:ascii="Times New Roman" w:hAnsi="Times New Roman"/>
          <w:sz w:val="24"/>
          <w:szCs w:val="24"/>
        </w:rPr>
        <w:lastRenderedPageBreak/>
        <w:t>toward one side of the first axis of the plot. This suggests a relatively high dissimilarity between groups c</w:t>
      </w:r>
      <w:r>
        <w:rPr>
          <w:rFonts w:ascii="Times New Roman" w:hAnsi="Times New Roman"/>
          <w:sz w:val="24"/>
          <w:szCs w:val="24"/>
        </w:rPr>
        <w:t>reated by S4 samples and those from the three remaining sample locations</w:t>
      </w:r>
      <w:r w:rsidR="002C1268" w:rsidRPr="007675F7">
        <w:rPr>
          <w:rFonts w:ascii="Times New Roman" w:hAnsi="Times New Roman"/>
          <w:sz w:val="24"/>
          <w:szCs w:val="24"/>
        </w:rPr>
        <w:t>.</w:t>
      </w:r>
    </w:p>
    <w:p w:rsidR="002C1268" w:rsidRPr="007675F7" w:rsidRDefault="002C1268" w:rsidP="002C1268">
      <w:pPr>
        <w:spacing w:after="0" w:line="480" w:lineRule="auto"/>
        <w:ind w:firstLine="720"/>
        <w:jc w:val="both"/>
        <w:rPr>
          <w:rFonts w:ascii="Times New Roman" w:eastAsiaTheme="minorHAnsi" w:hAnsi="Times New Roman"/>
          <w:b/>
          <w:sz w:val="24"/>
          <w:szCs w:val="24"/>
        </w:rPr>
      </w:pPr>
    </w:p>
    <w:p w:rsidR="002C1268" w:rsidRPr="007675F7" w:rsidRDefault="002C1268" w:rsidP="002C1268">
      <w:pPr>
        <w:spacing w:after="0" w:line="480" w:lineRule="auto"/>
        <w:jc w:val="both"/>
        <w:rPr>
          <w:rFonts w:ascii="Times New Roman" w:eastAsiaTheme="minorHAnsi" w:hAnsi="Times New Roman"/>
          <w:i/>
          <w:sz w:val="24"/>
          <w:szCs w:val="24"/>
        </w:rPr>
      </w:pPr>
      <w:r w:rsidRPr="007675F7">
        <w:rPr>
          <w:rFonts w:ascii="Times New Roman" w:eastAsiaTheme="minorHAnsi" w:hAnsi="Times New Roman"/>
          <w:i/>
          <w:sz w:val="24"/>
          <w:szCs w:val="24"/>
        </w:rPr>
        <w:t xml:space="preserve">Influence of water physicochemical properties </w:t>
      </w:r>
    </w:p>
    <w:p w:rsidR="002C1268" w:rsidRPr="007675F7" w:rsidRDefault="002C1268" w:rsidP="002C1268">
      <w:pPr>
        <w:spacing w:after="0" w:line="480" w:lineRule="auto"/>
        <w:jc w:val="both"/>
        <w:rPr>
          <w:rFonts w:ascii="Times New Roman" w:hAnsi="Times New Roman"/>
          <w:sz w:val="24"/>
          <w:szCs w:val="24"/>
        </w:rPr>
      </w:pPr>
      <w:r w:rsidRPr="007675F7">
        <w:rPr>
          <w:rFonts w:ascii="Times New Roman" w:hAnsi="Times New Roman"/>
          <w:sz w:val="24"/>
          <w:szCs w:val="24"/>
        </w:rPr>
        <w:t xml:space="preserve">Forward selection of </w:t>
      </w:r>
      <w:r w:rsidR="002B490F">
        <w:rPr>
          <w:rFonts w:ascii="Times New Roman" w:hAnsi="Times New Roman"/>
          <w:sz w:val="24"/>
          <w:szCs w:val="24"/>
        </w:rPr>
        <w:t>explanatory variables allowed determination of</w:t>
      </w:r>
      <w:r w:rsidRPr="007675F7">
        <w:rPr>
          <w:rFonts w:ascii="Times New Roman" w:hAnsi="Times New Roman"/>
          <w:sz w:val="24"/>
          <w:szCs w:val="24"/>
        </w:rPr>
        <w:t xml:space="preserve"> the most important environmental variables affecting phytoplankton communities. The season of sampling along with the sampli</w:t>
      </w:r>
      <w:r w:rsidR="002B490F">
        <w:rPr>
          <w:rFonts w:ascii="Times New Roman" w:hAnsi="Times New Roman"/>
          <w:sz w:val="24"/>
          <w:szCs w:val="24"/>
        </w:rPr>
        <w:t xml:space="preserve">ng site were used as covariates. </w:t>
      </w:r>
      <w:r w:rsidR="001330A0">
        <w:rPr>
          <w:rFonts w:ascii="Times New Roman" w:hAnsi="Times New Roman"/>
          <w:sz w:val="24"/>
          <w:szCs w:val="24"/>
        </w:rPr>
        <w:t>p</w:t>
      </w:r>
      <w:r w:rsidRPr="007675F7">
        <w:rPr>
          <w:rFonts w:ascii="Times New Roman" w:hAnsi="Times New Roman"/>
          <w:sz w:val="24"/>
          <w:szCs w:val="24"/>
        </w:rPr>
        <w:t>H was indicated as the most suitable predictor of the phytoplankton community composition</w:t>
      </w:r>
      <w:r w:rsidR="002B490F">
        <w:rPr>
          <w:rFonts w:ascii="Times New Roman" w:hAnsi="Times New Roman"/>
          <w:sz w:val="24"/>
          <w:szCs w:val="24"/>
        </w:rPr>
        <w:t xml:space="preserve"> </w:t>
      </w:r>
      <w:r w:rsidR="002B490F" w:rsidRPr="007675F7">
        <w:rPr>
          <w:rFonts w:ascii="Times New Roman" w:hAnsi="Times New Roman"/>
          <w:sz w:val="24"/>
          <w:szCs w:val="24"/>
        </w:rPr>
        <w:t>(p = 0.005)</w:t>
      </w:r>
      <w:r w:rsidRPr="007675F7">
        <w:rPr>
          <w:rFonts w:ascii="Times New Roman" w:hAnsi="Times New Roman"/>
          <w:sz w:val="24"/>
          <w:szCs w:val="24"/>
        </w:rPr>
        <w:t xml:space="preserve">, followed by temperature </w:t>
      </w:r>
      <w:r w:rsidR="002B490F">
        <w:rPr>
          <w:rFonts w:ascii="Times New Roman" w:hAnsi="Times New Roman"/>
          <w:sz w:val="24"/>
          <w:szCs w:val="24"/>
        </w:rPr>
        <w:t xml:space="preserve">(p &lt;0.01) </w:t>
      </w:r>
      <w:r w:rsidRPr="007675F7">
        <w:rPr>
          <w:rFonts w:ascii="Times New Roman" w:hAnsi="Times New Roman"/>
          <w:sz w:val="24"/>
          <w:szCs w:val="24"/>
        </w:rPr>
        <w:t>and salinity</w:t>
      </w:r>
      <w:r w:rsidR="002B490F">
        <w:rPr>
          <w:rFonts w:ascii="Times New Roman" w:hAnsi="Times New Roman"/>
          <w:sz w:val="24"/>
          <w:szCs w:val="24"/>
        </w:rPr>
        <w:t xml:space="preserve"> (p &lt;0.05)</w:t>
      </w:r>
      <w:r w:rsidRPr="007675F7">
        <w:rPr>
          <w:rFonts w:ascii="Times New Roman" w:hAnsi="Times New Roman"/>
          <w:sz w:val="24"/>
          <w:szCs w:val="24"/>
        </w:rPr>
        <w:t>.</w:t>
      </w:r>
    </w:p>
    <w:p w:rsidR="002C1268" w:rsidRPr="007675F7" w:rsidRDefault="002B490F" w:rsidP="002C1268">
      <w:pPr>
        <w:spacing w:after="0" w:line="480" w:lineRule="auto"/>
        <w:ind w:firstLine="720"/>
        <w:jc w:val="both"/>
        <w:rPr>
          <w:rFonts w:ascii="Times New Roman" w:hAnsi="Times New Roman"/>
          <w:sz w:val="24"/>
          <w:szCs w:val="24"/>
        </w:rPr>
      </w:pPr>
      <w:r>
        <w:rPr>
          <w:rFonts w:ascii="Times New Roman" w:hAnsi="Times New Roman"/>
          <w:sz w:val="24"/>
          <w:szCs w:val="24"/>
        </w:rPr>
        <w:t>V</w:t>
      </w:r>
      <w:r w:rsidR="002C1268" w:rsidRPr="007675F7">
        <w:rPr>
          <w:rFonts w:ascii="Times New Roman" w:hAnsi="Times New Roman"/>
          <w:sz w:val="24"/>
          <w:szCs w:val="24"/>
        </w:rPr>
        <w:t xml:space="preserve">ariation partitioning by partial constrained ordination (RDA) was </w:t>
      </w:r>
      <w:r>
        <w:rPr>
          <w:rFonts w:ascii="Times New Roman" w:hAnsi="Times New Roman"/>
          <w:sz w:val="24"/>
          <w:szCs w:val="24"/>
        </w:rPr>
        <w:t xml:space="preserve">then </w:t>
      </w:r>
      <w:r w:rsidR="002C1268" w:rsidRPr="007675F7">
        <w:rPr>
          <w:rFonts w:ascii="Times New Roman" w:hAnsi="Times New Roman"/>
          <w:sz w:val="24"/>
          <w:szCs w:val="24"/>
        </w:rPr>
        <w:t>performed to quantify the effects (and their overlap) of pH and salinity as well as pH and temperature on the algal communities. Figure 9 summarizes the variation in phytoplankton composition that can be explained by the joint effect of pH and salinity.</w:t>
      </w:r>
      <w:r>
        <w:rPr>
          <w:rFonts w:ascii="Times New Roman" w:hAnsi="Times New Roman"/>
          <w:sz w:val="24"/>
          <w:szCs w:val="24"/>
        </w:rPr>
        <w:t xml:space="preserve"> The overlap of these effects is</w:t>
      </w:r>
      <w:r w:rsidR="002C1268" w:rsidRPr="007675F7">
        <w:rPr>
          <w:rFonts w:ascii="Times New Roman" w:hAnsi="Times New Roman"/>
          <w:sz w:val="24"/>
          <w:szCs w:val="24"/>
        </w:rPr>
        <w:t xml:space="preserve"> expected as pH and salinity are positively correla</w:t>
      </w:r>
      <w:r>
        <w:rPr>
          <w:rFonts w:ascii="Times New Roman" w:hAnsi="Times New Roman"/>
          <w:sz w:val="24"/>
          <w:szCs w:val="24"/>
        </w:rPr>
        <w:t>ted. The amount of variation</w:t>
      </w:r>
      <w:r w:rsidR="002C1268" w:rsidRPr="007675F7">
        <w:rPr>
          <w:rFonts w:ascii="Times New Roman" w:hAnsi="Times New Roman"/>
          <w:sz w:val="24"/>
          <w:szCs w:val="24"/>
        </w:rPr>
        <w:t xml:space="preserve"> explained by the joint effect of the two envi</w:t>
      </w:r>
      <w:r w:rsidR="00422452">
        <w:rPr>
          <w:rFonts w:ascii="Times New Roman" w:hAnsi="Times New Roman"/>
          <w:sz w:val="24"/>
          <w:szCs w:val="24"/>
        </w:rPr>
        <w:t>ronmental variables was 16.7</w:t>
      </w:r>
      <w:r w:rsidR="002C1268" w:rsidRPr="007675F7">
        <w:rPr>
          <w:rFonts w:ascii="Times New Roman" w:hAnsi="Times New Roman"/>
          <w:sz w:val="24"/>
          <w:szCs w:val="24"/>
        </w:rPr>
        <w:t>% (p =0.001). The sole (part</w:t>
      </w:r>
      <w:r w:rsidR="00422452">
        <w:rPr>
          <w:rFonts w:ascii="Times New Roman" w:hAnsi="Times New Roman"/>
          <w:sz w:val="24"/>
          <w:szCs w:val="24"/>
        </w:rPr>
        <w:t>ial) effect of pH explained 2.5</w:t>
      </w:r>
      <w:r w:rsidR="002C1268" w:rsidRPr="007675F7">
        <w:rPr>
          <w:rFonts w:ascii="Times New Roman" w:hAnsi="Times New Roman"/>
          <w:sz w:val="24"/>
          <w:szCs w:val="24"/>
        </w:rPr>
        <w:t>% (p = 0.02), while the sole effect of salinity accounted for 0.9 % (p &gt; 0.05) of the total varia</w:t>
      </w:r>
      <w:r w:rsidR="00422452">
        <w:rPr>
          <w:rFonts w:ascii="Times New Roman" w:hAnsi="Times New Roman"/>
          <w:sz w:val="24"/>
          <w:szCs w:val="24"/>
        </w:rPr>
        <w:t>tion (see Supplemental material, Fig</w:t>
      </w:r>
      <w:r w:rsidR="002C1268" w:rsidRPr="007675F7">
        <w:rPr>
          <w:rFonts w:ascii="Times New Roman" w:hAnsi="Times New Roman"/>
          <w:sz w:val="24"/>
          <w:szCs w:val="24"/>
        </w:rPr>
        <w:t>s</w:t>
      </w:r>
      <w:r w:rsidR="00422452">
        <w:rPr>
          <w:rFonts w:ascii="Times New Roman" w:hAnsi="Times New Roman"/>
          <w:sz w:val="24"/>
          <w:szCs w:val="24"/>
        </w:rPr>
        <w:t xml:space="preserve"> 9a and 9b for illustration of variation explained by pH or</w:t>
      </w:r>
      <w:r w:rsidR="002C1268" w:rsidRPr="007675F7">
        <w:rPr>
          <w:rFonts w:ascii="Times New Roman" w:hAnsi="Times New Roman"/>
          <w:sz w:val="24"/>
          <w:szCs w:val="24"/>
        </w:rPr>
        <w:t xml:space="preserve"> salinity</w:t>
      </w:r>
      <w:r w:rsidR="00422452">
        <w:rPr>
          <w:rFonts w:ascii="Times New Roman" w:hAnsi="Times New Roman"/>
          <w:sz w:val="24"/>
          <w:szCs w:val="24"/>
        </w:rPr>
        <w:t xml:space="preserve"> alone</w:t>
      </w:r>
      <w:r w:rsidR="002C1268" w:rsidRPr="007675F7">
        <w:rPr>
          <w:rFonts w:ascii="Times New Roman" w:hAnsi="Times New Roman"/>
          <w:sz w:val="24"/>
          <w:szCs w:val="24"/>
        </w:rPr>
        <w:t>).</w:t>
      </w:r>
    </w:p>
    <w:p w:rsidR="002C1268" w:rsidRPr="007675F7" w:rsidRDefault="002C1268" w:rsidP="002C1268">
      <w:pPr>
        <w:spacing w:after="0" w:line="480" w:lineRule="auto"/>
        <w:ind w:firstLine="720"/>
        <w:jc w:val="both"/>
        <w:rPr>
          <w:rFonts w:ascii="Times New Roman" w:hAnsi="Times New Roman"/>
          <w:sz w:val="24"/>
          <w:szCs w:val="24"/>
        </w:rPr>
      </w:pPr>
      <w:r w:rsidRPr="007675F7">
        <w:rPr>
          <w:rFonts w:ascii="Times New Roman" w:hAnsi="Times New Roman"/>
          <w:sz w:val="24"/>
          <w:szCs w:val="24"/>
        </w:rPr>
        <w:t>Similarly, the partitioning procedure indicated that the joint effect of pH</w:t>
      </w:r>
      <w:r w:rsidR="00422452">
        <w:rPr>
          <w:rFonts w:ascii="Times New Roman" w:hAnsi="Times New Roman"/>
          <w:sz w:val="24"/>
          <w:szCs w:val="24"/>
        </w:rPr>
        <w:t xml:space="preserve"> and temperature explained 17.5</w:t>
      </w:r>
      <w:r w:rsidRPr="007675F7">
        <w:rPr>
          <w:rFonts w:ascii="Times New Roman" w:hAnsi="Times New Roman"/>
          <w:sz w:val="24"/>
          <w:szCs w:val="24"/>
        </w:rPr>
        <w:t>% of the observed variability among samples (p =</w:t>
      </w:r>
      <w:r w:rsidR="00422452">
        <w:rPr>
          <w:rFonts w:ascii="Times New Roman" w:hAnsi="Times New Roman"/>
          <w:sz w:val="24"/>
          <w:szCs w:val="24"/>
        </w:rPr>
        <w:t xml:space="preserve"> </w:t>
      </w:r>
      <w:r w:rsidRPr="007675F7">
        <w:rPr>
          <w:rFonts w:ascii="Times New Roman" w:hAnsi="Times New Roman"/>
          <w:sz w:val="24"/>
          <w:szCs w:val="24"/>
        </w:rPr>
        <w:t>0.001; Fig. 10</w:t>
      </w:r>
      <w:r w:rsidR="00422452">
        <w:rPr>
          <w:rFonts w:ascii="Times New Roman" w:hAnsi="Times New Roman"/>
          <w:sz w:val="24"/>
          <w:szCs w:val="24"/>
        </w:rPr>
        <w:t>). The partial effects of pH or</w:t>
      </w:r>
      <w:r w:rsidRPr="007675F7">
        <w:rPr>
          <w:rFonts w:ascii="Times New Roman" w:hAnsi="Times New Roman"/>
          <w:sz w:val="24"/>
          <w:szCs w:val="24"/>
        </w:rPr>
        <w:t xml:space="preserve"> temperature </w:t>
      </w:r>
      <w:r w:rsidR="00422452">
        <w:rPr>
          <w:rFonts w:ascii="Times New Roman" w:hAnsi="Times New Roman"/>
          <w:sz w:val="24"/>
          <w:szCs w:val="24"/>
        </w:rPr>
        <w:t xml:space="preserve">alone </w:t>
      </w:r>
      <w:r w:rsidRPr="007675F7">
        <w:rPr>
          <w:rFonts w:ascii="Times New Roman" w:hAnsi="Times New Roman"/>
          <w:sz w:val="24"/>
          <w:szCs w:val="24"/>
        </w:rPr>
        <w:t>represented 8.1% (p = 0.001) and 1.6% (p &gt; 0.05) of the total variation, respecti</w:t>
      </w:r>
      <w:r w:rsidR="00422452">
        <w:rPr>
          <w:rFonts w:ascii="Times New Roman" w:hAnsi="Times New Roman"/>
          <w:sz w:val="24"/>
          <w:szCs w:val="24"/>
        </w:rPr>
        <w:t>vely (see Supplemental material,</w:t>
      </w:r>
      <w:r w:rsidRPr="007675F7">
        <w:rPr>
          <w:rFonts w:ascii="Times New Roman" w:hAnsi="Times New Roman"/>
          <w:sz w:val="24"/>
          <w:szCs w:val="24"/>
        </w:rPr>
        <w:t xml:space="preserve"> F</w:t>
      </w:r>
      <w:r w:rsidR="00422452">
        <w:rPr>
          <w:rFonts w:ascii="Times New Roman" w:hAnsi="Times New Roman"/>
          <w:sz w:val="24"/>
          <w:szCs w:val="24"/>
        </w:rPr>
        <w:t>ig</w:t>
      </w:r>
      <w:r w:rsidRPr="007675F7">
        <w:rPr>
          <w:rFonts w:ascii="Times New Roman" w:hAnsi="Times New Roman"/>
          <w:sz w:val="24"/>
          <w:szCs w:val="24"/>
        </w:rPr>
        <w:t>s 1</w:t>
      </w:r>
      <w:r w:rsidR="00422452">
        <w:rPr>
          <w:rFonts w:ascii="Times New Roman" w:hAnsi="Times New Roman"/>
          <w:sz w:val="24"/>
          <w:szCs w:val="24"/>
        </w:rPr>
        <w:t>0a and 10b for illustration of variations explained by pH or</w:t>
      </w:r>
      <w:r w:rsidRPr="007675F7">
        <w:rPr>
          <w:rFonts w:ascii="Times New Roman" w:hAnsi="Times New Roman"/>
          <w:sz w:val="24"/>
          <w:szCs w:val="24"/>
        </w:rPr>
        <w:t xml:space="preserve"> temperature</w:t>
      </w:r>
      <w:r w:rsidR="00422452">
        <w:rPr>
          <w:rFonts w:ascii="Times New Roman" w:hAnsi="Times New Roman"/>
          <w:sz w:val="24"/>
          <w:szCs w:val="24"/>
        </w:rPr>
        <w:t xml:space="preserve"> alone</w:t>
      </w:r>
      <w:r w:rsidRPr="007675F7">
        <w:rPr>
          <w:rFonts w:ascii="Times New Roman" w:hAnsi="Times New Roman"/>
          <w:sz w:val="24"/>
          <w:szCs w:val="24"/>
        </w:rPr>
        <w:t>).</w:t>
      </w:r>
    </w:p>
    <w:p w:rsidR="002C1268" w:rsidRPr="007675F7" w:rsidRDefault="00422452" w:rsidP="002C1268">
      <w:pPr>
        <w:spacing w:after="0" w:line="480" w:lineRule="auto"/>
        <w:jc w:val="both"/>
        <w:rPr>
          <w:rFonts w:ascii="Times New Roman" w:hAnsi="Times New Roman"/>
          <w:sz w:val="24"/>
          <w:szCs w:val="24"/>
        </w:rPr>
      </w:pPr>
      <w:r>
        <w:rPr>
          <w:rFonts w:ascii="Times New Roman" w:hAnsi="Times New Roman"/>
          <w:sz w:val="24"/>
          <w:szCs w:val="24"/>
        </w:rPr>
        <w:lastRenderedPageBreak/>
        <w:tab/>
        <w:t>Figures 11 and 12 illustrate</w:t>
      </w:r>
      <w:r w:rsidR="002C1268" w:rsidRPr="007675F7">
        <w:rPr>
          <w:rFonts w:ascii="Times New Roman" w:hAnsi="Times New Roman"/>
          <w:sz w:val="24"/>
          <w:szCs w:val="24"/>
        </w:rPr>
        <w:t xml:space="preserve"> the change in </w:t>
      </w:r>
      <w:r>
        <w:rPr>
          <w:rFonts w:ascii="Times New Roman" w:hAnsi="Times New Roman"/>
          <w:sz w:val="24"/>
          <w:szCs w:val="24"/>
        </w:rPr>
        <w:t>the number of phytoplankton taxa recorded in relation to pH, indicating a clear</w:t>
      </w:r>
      <w:r w:rsidR="002C1268" w:rsidRPr="007675F7">
        <w:rPr>
          <w:rFonts w:ascii="Times New Roman" w:hAnsi="Times New Roman"/>
          <w:sz w:val="24"/>
          <w:szCs w:val="24"/>
        </w:rPr>
        <w:t xml:space="preserve"> negative correlation </w:t>
      </w:r>
      <w:r>
        <w:rPr>
          <w:rFonts w:ascii="Times New Roman" w:hAnsi="Times New Roman"/>
          <w:sz w:val="24"/>
          <w:szCs w:val="24"/>
        </w:rPr>
        <w:t xml:space="preserve">with decreasing pH </w:t>
      </w:r>
      <w:r w:rsidR="002C1268" w:rsidRPr="007675F7">
        <w:rPr>
          <w:rFonts w:ascii="Times New Roman" w:hAnsi="Times New Roman"/>
          <w:sz w:val="24"/>
          <w:szCs w:val="24"/>
        </w:rPr>
        <w:t>(p = 0.001).</w:t>
      </w:r>
    </w:p>
    <w:p w:rsidR="005406E8" w:rsidRPr="007675F7" w:rsidRDefault="005406E8" w:rsidP="005406E8">
      <w:pPr>
        <w:rPr>
          <w:rFonts w:ascii="Times New Roman" w:hAnsi="Times New Roman"/>
          <w:b/>
          <w:sz w:val="24"/>
          <w:szCs w:val="24"/>
        </w:rPr>
      </w:pPr>
    </w:p>
    <w:p w:rsidR="00826A32" w:rsidRPr="00587D94" w:rsidRDefault="00826A32" w:rsidP="00826A32">
      <w:pPr>
        <w:spacing w:after="160" w:line="259" w:lineRule="auto"/>
        <w:rPr>
          <w:rFonts w:ascii="Times New Roman" w:hAnsi="Times New Roman"/>
          <w:b/>
          <w:sz w:val="24"/>
          <w:szCs w:val="24"/>
        </w:rPr>
      </w:pPr>
      <w:r w:rsidRPr="00587D94">
        <w:rPr>
          <w:rFonts w:ascii="Times New Roman" w:hAnsi="Times New Roman"/>
          <w:b/>
          <w:sz w:val="24"/>
          <w:szCs w:val="24"/>
        </w:rPr>
        <w:t>Discussion</w:t>
      </w:r>
    </w:p>
    <w:p w:rsidR="00826A32" w:rsidRPr="00587D94" w:rsidRDefault="00A61A3C" w:rsidP="00826A32">
      <w:pPr>
        <w:spacing w:after="160" w:line="480" w:lineRule="auto"/>
        <w:jc w:val="both"/>
        <w:rPr>
          <w:rFonts w:ascii="Times New Roman" w:hAnsi="Times New Roman"/>
          <w:sz w:val="24"/>
          <w:szCs w:val="24"/>
        </w:rPr>
      </w:pPr>
      <w:r>
        <w:rPr>
          <w:rFonts w:ascii="Times New Roman" w:hAnsi="Times New Roman"/>
          <w:sz w:val="24"/>
          <w:szCs w:val="24"/>
        </w:rPr>
        <w:t>A total of 22</w:t>
      </w:r>
      <w:r w:rsidR="00194AC1">
        <w:rPr>
          <w:rFonts w:ascii="Times New Roman" w:hAnsi="Times New Roman"/>
          <w:sz w:val="24"/>
          <w:szCs w:val="24"/>
        </w:rPr>
        <w:t xml:space="preserve"> genera of diatoms, seven</w:t>
      </w:r>
      <w:r w:rsidR="00826A32" w:rsidRPr="00587D94">
        <w:rPr>
          <w:rFonts w:ascii="Times New Roman" w:hAnsi="Times New Roman"/>
          <w:sz w:val="24"/>
          <w:szCs w:val="24"/>
        </w:rPr>
        <w:t xml:space="preserve"> o</w:t>
      </w:r>
      <w:r w:rsidR="00BE0B71">
        <w:rPr>
          <w:rFonts w:ascii="Times New Roman" w:hAnsi="Times New Roman"/>
          <w:sz w:val="24"/>
          <w:szCs w:val="24"/>
        </w:rPr>
        <w:t xml:space="preserve">f dinoflagellates and one </w:t>
      </w:r>
      <w:r w:rsidR="00826A32" w:rsidRPr="00587D94">
        <w:rPr>
          <w:rFonts w:ascii="Times New Roman" w:hAnsi="Times New Roman"/>
          <w:sz w:val="24"/>
          <w:szCs w:val="24"/>
        </w:rPr>
        <w:t xml:space="preserve">of ciliates were found in the course of the study. </w:t>
      </w:r>
      <w:r w:rsidR="001330A0">
        <w:rPr>
          <w:rFonts w:ascii="Times New Roman" w:hAnsi="Times New Roman"/>
          <w:sz w:val="24"/>
          <w:szCs w:val="24"/>
        </w:rPr>
        <w:t>T</w:t>
      </w:r>
      <w:r w:rsidR="00F22D9C">
        <w:rPr>
          <w:rFonts w:ascii="Times New Roman" w:hAnsi="Times New Roman"/>
          <w:sz w:val="24"/>
          <w:szCs w:val="24"/>
        </w:rPr>
        <w:t>he number of taxa found wa</w:t>
      </w:r>
      <w:r w:rsidR="00826A32" w:rsidRPr="00587D94">
        <w:rPr>
          <w:rFonts w:ascii="Times New Roman" w:hAnsi="Times New Roman"/>
          <w:sz w:val="24"/>
          <w:szCs w:val="24"/>
        </w:rPr>
        <w:t>s rela</w:t>
      </w:r>
      <w:r w:rsidR="00BE0B71">
        <w:rPr>
          <w:rFonts w:ascii="Times New Roman" w:hAnsi="Times New Roman"/>
          <w:sz w:val="24"/>
          <w:szCs w:val="24"/>
        </w:rPr>
        <w:t>tively low compared with some other</w:t>
      </w:r>
      <w:r w:rsidR="00826A32" w:rsidRPr="00587D94">
        <w:rPr>
          <w:rFonts w:ascii="Times New Roman" w:hAnsi="Times New Roman"/>
          <w:sz w:val="24"/>
          <w:szCs w:val="24"/>
        </w:rPr>
        <w:t xml:space="preserve"> studies conducted in tropical regions (e.g.</w:t>
      </w:r>
      <w:r w:rsidR="00222A99">
        <w:rPr>
          <w:rFonts w:ascii="Times New Roman" w:hAnsi="Times New Roman"/>
          <w:sz w:val="24"/>
          <w:szCs w:val="24"/>
        </w:rPr>
        <w:t xml:space="preserve"> Angsupanich</w:t>
      </w:r>
      <w:r w:rsidR="00826A32" w:rsidRPr="0028190C">
        <w:rPr>
          <w:rFonts w:ascii="Times New Roman" w:hAnsi="Times New Roman"/>
          <w:sz w:val="24"/>
          <w:szCs w:val="24"/>
        </w:rPr>
        <w:t xml:space="preserve"> and Rakkheaw</w:t>
      </w:r>
      <w:r w:rsidR="00222A99">
        <w:rPr>
          <w:rFonts w:ascii="Times New Roman" w:hAnsi="Times New Roman"/>
          <w:sz w:val="24"/>
          <w:szCs w:val="24"/>
        </w:rPr>
        <w:t>, 1997;</w:t>
      </w:r>
      <w:r w:rsidR="00826A32" w:rsidRPr="00587D94">
        <w:rPr>
          <w:rFonts w:ascii="Times New Roman" w:hAnsi="Times New Roman"/>
          <w:sz w:val="24"/>
          <w:szCs w:val="24"/>
        </w:rPr>
        <w:t xml:space="preserve"> </w:t>
      </w:r>
      <w:r w:rsidR="00826A32">
        <w:rPr>
          <w:rFonts w:ascii="Times New Roman" w:hAnsi="Times New Roman"/>
          <w:sz w:val="24"/>
          <w:szCs w:val="24"/>
        </w:rPr>
        <w:t>Su et al.</w:t>
      </w:r>
      <w:r w:rsidR="00222A99">
        <w:rPr>
          <w:rFonts w:ascii="Times New Roman" w:hAnsi="Times New Roman"/>
          <w:sz w:val="24"/>
          <w:szCs w:val="24"/>
        </w:rPr>
        <w:t>, 2004;</w:t>
      </w:r>
      <w:r w:rsidR="00826A32">
        <w:rPr>
          <w:rFonts w:ascii="Times New Roman" w:hAnsi="Times New Roman"/>
          <w:sz w:val="24"/>
          <w:szCs w:val="24"/>
        </w:rPr>
        <w:t xml:space="preserve"> Lueangthuwapranit et al.</w:t>
      </w:r>
      <w:r w:rsidR="00222A99">
        <w:rPr>
          <w:rFonts w:ascii="Times New Roman" w:hAnsi="Times New Roman"/>
          <w:sz w:val="24"/>
          <w:szCs w:val="24"/>
        </w:rPr>
        <w:t>,</w:t>
      </w:r>
      <w:r w:rsidR="00826A32">
        <w:rPr>
          <w:rFonts w:ascii="Times New Roman" w:hAnsi="Times New Roman"/>
          <w:sz w:val="24"/>
          <w:szCs w:val="24"/>
        </w:rPr>
        <w:t xml:space="preserve"> 2011</w:t>
      </w:r>
      <w:r w:rsidR="00826A32" w:rsidRPr="00587D94">
        <w:rPr>
          <w:rFonts w:ascii="Times New Roman" w:hAnsi="Times New Roman"/>
          <w:sz w:val="24"/>
          <w:szCs w:val="24"/>
        </w:rPr>
        <w:t>).</w:t>
      </w:r>
    </w:p>
    <w:p w:rsidR="00826A32" w:rsidRPr="00587D94" w:rsidRDefault="00BE0B71" w:rsidP="00826A32">
      <w:pPr>
        <w:spacing w:after="160" w:line="480" w:lineRule="auto"/>
        <w:ind w:firstLine="720"/>
        <w:jc w:val="both"/>
        <w:rPr>
          <w:rFonts w:ascii="Times New Roman" w:hAnsi="Times New Roman"/>
          <w:sz w:val="24"/>
          <w:szCs w:val="24"/>
        </w:rPr>
      </w:pPr>
      <w:r>
        <w:rPr>
          <w:rFonts w:ascii="Times New Roman" w:hAnsi="Times New Roman"/>
          <w:sz w:val="24"/>
          <w:szCs w:val="24"/>
        </w:rPr>
        <w:t>The phytoplankton communities present</w:t>
      </w:r>
      <w:r w:rsidR="00826A32" w:rsidRPr="00587D94">
        <w:rPr>
          <w:rFonts w:ascii="Times New Roman" w:hAnsi="Times New Roman"/>
          <w:sz w:val="24"/>
          <w:szCs w:val="24"/>
        </w:rPr>
        <w:t xml:space="preserve"> at </w:t>
      </w:r>
      <w:r>
        <w:rPr>
          <w:rFonts w:ascii="Times New Roman" w:hAnsi="Times New Roman"/>
          <w:sz w:val="24"/>
          <w:szCs w:val="24"/>
        </w:rPr>
        <w:t>the four sampling</w:t>
      </w:r>
      <w:r w:rsidR="00826A32" w:rsidRPr="00587D94">
        <w:rPr>
          <w:rFonts w:ascii="Times New Roman" w:hAnsi="Times New Roman"/>
          <w:sz w:val="24"/>
          <w:szCs w:val="24"/>
        </w:rPr>
        <w:t xml:space="preserve"> stations differed significantly in </w:t>
      </w:r>
      <w:r>
        <w:rPr>
          <w:rFonts w:ascii="Times New Roman" w:hAnsi="Times New Roman"/>
          <w:sz w:val="24"/>
          <w:szCs w:val="24"/>
        </w:rPr>
        <w:t>terms of both algal abundance</w:t>
      </w:r>
      <w:r w:rsidR="00826A32" w:rsidRPr="00587D94">
        <w:rPr>
          <w:rFonts w:ascii="Times New Roman" w:hAnsi="Times New Roman"/>
          <w:sz w:val="24"/>
          <w:szCs w:val="24"/>
        </w:rPr>
        <w:t xml:space="preserve"> and taxa comp</w:t>
      </w:r>
      <w:r>
        <w:rPr>
          <w:rFonts w:ascii="Times New Roman" w:hAnsi="Times New Roman"/>
          <w:sz w:val="24"/>
          <w:szCs w:val="24"/>
        </w:rPr>
        <w:t>osition. T</w:t>
      </w:r>
      <w:r w:rsidR="00826A32" w:rsidRPr="00587D94">
        <w:rPr>
          <w:rFonts w:ascii="Times New Roman" w:hAnsi="Times New Roman"/>
          <w:sz w:val="24"/>
          <w:szCs w:val="24"/>
        </w:rPr>
        <w:t xml:space="preserve">hese differences were not caused by presence or absence of strictly stenohaline </w:t>
      </w:r>
      <w:r>
        <w:rPr>
          <w:rFonts w:ascii="Times New Roman" w:hAnsi="Times New Roman"/>
          <w:sz w:val="24"/>
          <w:szCs w:val="24"/>
        </w:rPr>
        <w:t>taxa, but rather by the</w:t>
      </w:r>
      <w:r w:rsidR="00826A32" w:rsidRPr="00587D94">
        <w:rPr>
          <w:rFonts w:ascii="Times New Roman" w:hAnsi="Times New Roman"/>
          <w:sz w:val="24"/>
          <w:szCs w:val="24"/>
        </w:rPr>
        <w:t xml:space="preserve"> dominance of </w:t>
      </w:r>
      <w:r>
        <w:rPr>
          <w:rFonts w:ascii="Times New Roman" w:hAnsi="Times New Roman"/>
          <w:sz w:val="24"/>
          <w:szCs w:val="24"/>
        </w:rPr>
        <w:t xml:space="preserve">the </w:t>
      </w:r>
      <w:r w:rsidR="007C055E">
        <w:rPr>
          <w:rFonts w:ascii="Times New Roman" w:hAnsi="Times New Roman"/>
          <w:sz w:val="24"/>
          <w:szCs w:val="24"/>
        </w:rPr>
        <w:t>main common taxa</w:t>
      </w:r>
      <w:r w:rsidR="00826A32" w:rsidRPr="00587D94">
        <w:rPr>
          <w:rFonts w:ascii="Times New Roman" w:hAnsi="Times New Roman"/>
          <w:sz w:val="24"/>
          <w:szCs w:val="24"/>
        </w:rPr>
        <w:t xml:space="preserve"> changing along the pH and salinity gradients. The most abundant fractions were constituted by diatoms and </w:t>
      </w:r>
      <w:r w:rsidR="007C055E">
        <w:rPr>
          <w:rFonts w:ascii="Times New Roman" w:hAnsi="Times New Roman"/>
          <w:sz w:val="24"/>
          <w:szCs w:val="24"/>
        </w:rPr>
        <w:t>dinoflagellates. As noted in several studies</w:t>
      </w:r>
      <w:r w:rsidR="00826A32" w:rsidRPr="00587D94">
        <w:rPr>
          <w:rFonts w:ascii="Times New Roman" w:hAnsi="Times New Roman"/>
          <w:sz w:val="24"/>
          <w:szCs w:val="24"/>
        </w:rPr>
        <w:t xml:space="preserve"> (Jacobsen and Andersen</w:t>
      </w:r>
      <w:r w:rsidR="00222A99">
        <w:rPr>
          <w:rFonts w:ascii="Times New Roman" w:hAnsi="Times New Roman"/>
          <w:sz w:val="24"/>
          <w:szCs w:val="24"/>
        </w:rPr>
        <w:t>, 1994;</w:t>
      </w:r>
      <w:r w:rsidR="00826A32" w:rsidRPr="00587D94">
        <w:rPr>
          <w:rFonts w:ascii="Times New Roman" w:hAnsi="Times New Roman"/>
          <w:sz w:val="24"/>
          <w:szCs w:val="24"/>
        </w:rPr>
        <w:t xml:space="preserve"> Muylaert and Sabbe</w:t>
      </w:r>
      <w:r w:rsidR="00222A99">
        <w:rPr>
          <w:rFonts w:ascii="Times New Roman" w:hAnsi="Times New Roman"/>
          <w:sz w:val="24"/>
          <w:szCs w:val="24"/>
        </w:rPr>
        <w:t>, 1999;</w:t>
      </w:r>
      <w:r w:rsidR="00826A32" w:rsidRPr="00587D94">
        <w:rPr>
          <w:rFonts w:ascii="Times New Roman" w:hAnsi="Times New Roman"/>
          <w:sz w:val="24"/>
          <w:szCs w:val="24"/>
        </w:rPr>
        <w:t xml:space="preserve"> Loverde-Oliveira et al.</w:t>
      </w:r>
      <w:r w:rsidR="00222A99">
        <w:rPr>
          <w:rFonts w:ascii="Times New Roman" w:hAnsi="Times New Roman"/>
          <w:sz w:val="24"/>
          <w:szCs w:val="24"/>
        </w:rPr>
        <w:t>,</w:t>
      </w:r>
      <w:r w:rsidR="007C055E">
        <w:rPr>
          <w:rFonts w:ascii="Times New Roman" w:hAnsi="Times New Roman"/>
          <w:sz w:val="24"/>
          <w:szCs w:val="24"/>
        </w:rPr>
        <w:t xml:space="preserve"> 2009), many of</w:t>
      </w:r>
      <w:r w:rsidR="00826A32" w:rsidRPr="00587D94">
        <w:rPr>
          <w:rFonts w:ascii="Times New Roman" w:hAnsi="Times New Roman"/>
          <w:sz w:val="24"/>
          <w:szCs w:val="24"/>
        </w:rPr>
        <w:t xml:space="preserve"> dinoflagellate species may have mixo- or heterotrophic nutrition, which favours their survival in highly turbid</w:t>
      </w:r>
      <w:r w:rsidR="007C055E">
        <w:rPr>
          <w:rFonts w:ascii="Times New Roman" w:hAnsi="Times New Roman"/>
          <w:sz w:val="24"/>
          <w:szCs w:val="24"/>
        </w:rPr>
        <w:t xml:space="preserve"> conditions. Furthermore, it has been</w:t>
      </w:r>
      <w:r w:rsidR="00826A32" w:rsidRPr="00587D94">
        <w:rPr>
          <w:rFonts w:ascii="Times New Roman" w:hAnsi="Times New Roman"/>
          <w:sz w:val="24"/>
          <w:szCs w:val="24"/>
        </w:rPr>
        <w:t xml:space="preserve"> suggested that</w:t>
      </w:r>
      <w:r w:rsidR="007C055E">
        <w:rPr>
          <w:rFonts w:ascii="Times New Roman" w:hAnsi="Times New Roman"/>
          <w:sz w:val="24"/>
          <w:szCs w:val="24"/>
        </w:rPr>
        <w:t xml:space="preserve"> a</w:t>
      </w:r>
      <w:r w:rsidR="00826A32" w:rsidRPr="00587D94">
        <w:rPr>
          <w:rFonts w:ascii="Times New Roman" w:hAnsi="Times New Roman"/>
          <w:sz w:val="24"/>
          <w:szCs w:val="24"/>
        </w:rPr>
        <w:t xml:space="preserve"> higher carbon:chlorophyll ratio in dinoflagellates compared with diatoms may be responsible for their faster growth in conditions of lower pH and elevated CO</w:t>
      </w:r>
      <w:r w:rsidR="00826A32" w:rsidRPr="00587D94">
        <w:rPr>
          <w:rFonts w:ascii="Times New Roman" w:hAnsi="Times New Roman"/>
          <w:sz w:val="24"/>
          <w:szCs w:val="24"/>
          <w:vertAlign w:val="subscript"/>
        </w:rPr>
        <w:t>2</w:t>
      </w:r>
      <w:r w:rsidR="00826A32" w:rsidRPr="00587D94">
        <w:rPr>
          <w:rFonts w:ascii="Times New Roman" w:hAnsi="Times New Roman"/>
          <w:sz w:val="24"/>
          <w:szCs w:val="24"/>
        </w:rPr>
        <w:t xml:space="preserve"> concentrations (Tortell et al.</w:t>
      </w:r>
      <w:r w:rsidR="00222A99">
        <w:rPr>
          <w:rFonts w:ascii="Times New Roman" w:hAnsi="Times New Roman"/>
          <w:sz w:val="24"/>
          <w:szCs w:val="24"/>
        </w:rPr>
        <w:t>, 2008;</w:t>
      </w:r>
      <w:r w:rsidR="00826A32" w:rsidRPr="00587D94">
        <w:rPr>
          <w:rFonts w:ascii="Times New Roman" w:hAnsi="Times New Roman"/>
          <w:sz w:val="24"/>
          <w:szCs w:val="24"/>
        </w:rPr>
        <w:t xml:space="preserve"> Low-Décarie et al.</w:t>
      </w:r>
      <w:r w:rsidR="00222A99">
        <w:rPr>
          <w:rFonts w:ascii="Times New Roman" w:hAnsi="Times New Roman"/>
          <w:sz w:val="24"/>
          <w:szCs w:val="24"/>
        </w:rPr>
        <w:t>,</w:t>
      </w:r>
      <w:r w:rsidR="00826A32" w:rsidRPr="00587D94">
        <w:rPr>
          <w:rFonts w:ascii="Times New Roman" w:hAnsi="Times New Roman"/>
          <w:sz w:val="24"/>
          <w:szCs w:val="24"/>
        </w:rPr>
        <w:t xml:space="preserve"> 2</w:t>
      </w:r>
      <w:r w:rsidR="007C055E">
        <w:rPr>
          <w:rFonts w:ascii="Times New Roman" w:hAnsi="Times New Roman"/>
          <w:sz w:val="24"/>
          <w:szCs w:val="24"/>
        </w:rPr>
        <w:t>011). Many diatom species are known</w:t>
      </w:r>
      <w:r w:rsidR="00826A32" w:rsidRPr="00587D94">
        <w:rPr>
          <w:rFonts w:ascii="Times New Roman" w:hAnsi="Times New Roman"/>
          <w:sz w:val="24"/>
          <w:szCs w:val="24"/>
        </w:rPr>
        <w:t xml:space="preserve"> t</w:t>
      </w:r>
      <w:r w:rsidR="007C055E">
        <w:rPr>
          <w:rFonts w:ascii="Times New Roman" w:hAnsi="Times New Roman"/>
          <w:sz w:val="24"/>
          <w:szCs w:val="24"/>
        </w:rPr>
        <w:t>o be relatively resistant to a</w:t>
      </w:r>
      <w:r w:rsidR="00826A32" w:rsidRPr="00587D94">
        <w:rPr>
          <w:rFonts w:ascii="Times New Roman" w:hAnsi="Times New Roman"/>
          <w:sz w:val="24"/>
          <w:szCs w:val="24"/>
        </w:rPr>
        <w:t xml:space="preserve"> moderate decrease in water pH (up to 0.3 pH </w:t>
      </w:r>
      <w:r w:rsidR="007C055E">
        <w:rPr>
          <w:rFonts w:ascii="Times New Roman" w:hAnsi="Times New Roman"/>
          <w:sz w:val="24"/>
          <w:szCs w:val="24"/>
        </w:rPr>
        <w:t>units), but their numbers reduce</w:t>
      </w:r>
      <w:r w:rsidR="00826A32" w:rsidRPr="00587D94">
        <w:rPr>
          <w:rFonts w:ascii="Times New Roman" w:hAnsi="Times New Roman"/>
          <w:sz w:val="24"/>
          <w:szCs w:val="24"/>
        </w:rPr>
        <w:t xml:space="preserve"> drastically with a</w:t>
      </w:r>
      <w:r w:rsidR="007C055E">
        <w:rPr>
          <w:rFonts w:ascii="Times New Roman" w:hAnsi="Times New Roman"/>
          <w:sz w:val="24"/>
          <w:szCs w:val="24"/>
        </w:rPr>
        <w:t>ny</w:t>
      </w:r>
      <w:r w:rsidR="00826A32" w:rsidRPr="00587D94">
        <w:rPr>
          <w:rFonts w:ascii="Times New Roman" w:hAnsi="Times New Roman"/>
          <w:sz w:val="24"/>
          <w:szCs w:val="24"/>
        </w:rPr>
        <w:t xml:space="preserve"> </w:t>
      </w:r>
      <w:r w:rsidR="00222A99">
        <w:rPr>
          <w:rFonts w:ascii="Times New Roman" w:hAnsi="Times New Roman"/>
          <w:sz w:val="24"/>
          <w:szCs w:val="24"/>
        </w:rPr>
        <w:t>further decrease of pH (Geelen and</w:t>
      </w:r>
      <w:r w:rsidR="00826A32" w:rsidRPr="00587D94">
        <w:rPr>
          <w:rFonts w:ascii="Times New Roman" w:hAnsi="Times New Roman"/>
          <w:sz w:val="24"/>
          <w:szCs w:val="24"/>
        </w:rPr>
        <w:t xml:space="preserve"> Leuven</w:t>
      </w:r>
      <w:r w:rsidR="00222A99">
        <w:rPr>
          <w:rFonts w:ascii="Times New Roman" w:hAnsi="Times New Roman"/>
          <w:sz w:val="24"/>
          <w:szCs w:val="24"/>
        </w:rPr>
        <w:t>,</w:t>
      </w:r>
      <w:r w:rsidR="00826A32" w:rsidRPr="00587D94">
        <w:rPr>
          <w:rFonts w:ascii="Times New Roman" w:hAnsi="Times New Roman"/>
          <w:sz w:val="24"/>
          <w:szCs w:val="24"/>
        </w:rPr>
        <w:t xml:space="preserve"> 1986, and references therein; Majewska, personal observations). </w:t>
      </w:r>
      <w:r w:rsidR="007C055E">
        <w:rPr>
          <w:rFonts w:ascii="Times New Roman" w:hAnsi="Times New Roman"/>
          <w:sz w:val="24"/>
          <w:szCs w:val="24"/>
        </w:rPr>
        <w:t xml:space="preserve">Also, species within some </w:t>
      </w:r>
      <w:r w:rsidR="00826A32" w:rsidRPr="00587D94">
        <w:rPr>
          <w:rFonts w:ascii="Times New Roman" w:hAnsi="Times New Roman"/>
          <w:sz w:val="24"/>
          <w:szCs w:val="24"/>
        </w:rPr>
        <w:t xml:space="preserve">diatom genera (e.g. </w:t>
      </w:r>
      <w:r w:rsidR="00826A32" w:rsidRPr="00587D94">
        <w:rPr>
          <w:rFonts w:ascii="Times New Roman" w:hAnsi="Times New Roman"/>
          <w:i/>
          <w:sz w:val="24"/>
          <w:szCs w:val="24"/>
        </w:rPr>
        <w:t>Cyclotella</w:t>
      </w:r>
      <w:r w:rsidR="00826A32" w:rsidRPr="00587D94">
        <w:rPr>
          <w:rFonts w:ascii="Times New Roman" w:hAnsi="Times New Roman"/>
          <w:sz w:val="24"/>
          <w:szCs w:val="24"/>
        </w:rPr>
        <w:t xml:space="preserve">) are known to have </w:t>
      </w:r>
      <w:r w:rsidR="00445CA6">
        <w:rPr>
          <w:rFonts w:ascii="Times New Roman" w:hAnsi="Times New Roman"/>
          <w:sz w:val="24"/>
          <w:szCs w:val="24"/>
        </w:rPr>
        <w:t>clear</w:t>
      </w:r>
      <w:r w:rsidR="00445CA6" w:rsidRPr="00587D94">
        <w:rPr>
          <w:rFonts w:ascii="Times New Roman" w:hAnsi="Times New Roman"/>
          <w:sz w:val="24"/>
          <w:szCs w:val="24"/>
        </w:rPr>
        <w:t xml:space="preserve"> </w:t>
      </w:r>
      <w:r w:rsidR="00826A32" w:rsidRPr="00587D94">
        <w:rPr>
          <w:rFonts w:ascii="Times New Roman" w:hAnsi="Times New Roman"/>
          <w:sz w:val="24"/>
          <w:szCs w:val="24"/>
        </w:rPr>
        <w:t xml:space="preserve">heterotrophic capabilities, which enable them to survive </w:t>
      </w:r>
      <w:r w:rsidR="00222A99">
        <w:rPr>
          <w:rFonts w:ascii="Times New Roman" w:hAnsi="Times New Roman"/>
          <w:sz w:val="24"/>
          <w:szCs w:val="24"/>
        </w:rPr>
        <w:t>in low-light conditions (Lylis and</w:t>
      </w:r>
      <w:r w:rsidR="00826A32" w:rsidRPr="00587D94">
        <w:rPr>
          <w:rFonts w:ascii="Times New Roman" w:hAnsi="Times New Roman"/>
          <w:sz w:val="24"/>
          <w:szCs w:val="24"/>
        </w:rPr>
        <w:t xml:space="preserve"> Trainer</w:t>
      </w:r>
      <w:r w:rsidR="00222A99">
        <w:rPr>
          <w:rFonts w:ascii="Times New Roman" w:hAnsi="Times New Roman"/>
          <w:sz w:val="24"/>
          <w:szCs w:val="24"/>
        </w:rPr>
        <w:t>,</w:t>
      </w:r>
      <w:r w:rsidR="00826A32" w:rsidRPr="00587D94">
        <w:rPr>
          <w:rFonts w:ascii="Times New Roman" w:hAnsi="Times New Roman"/>
          <w:sz w:val="24"/>
          <w:szCs w:val="24"/>
        </w:rPr>
        <w:t xml:space="preserve"> 1973).</w:t>
      </w:r>
    </w:p>
    <w:p w:rsidR="00826A32" w:rsidRPr="00587D94" w:rsidRDefault="00826A32" w:rsidP="00826A32">
      <w:pPr>
        <w:spacing w:after="160" w:line="480" w:lineRule="auto"/>
        <w:ind w:firstLine="720"/>
        <w:jc w:val="both"/>
        <w:rPr>
          <w:rFonts w:ascii="Times New Roman" w:hAnsi="Times New Roman"/>
          <w:sz w:val="24"/>
          <w:szCs w:val="24"/>
        </w:rPr>
      </w:pPr>
      <w:r w:rsidRPr="00587D94">
        <w:rPr>
          <w:rFonts w:ascii="Times New Roman" w:hAnsi="Times New Roman"/>
          <w:sz w:val="24"/>
          <w:szCs w:val="24"/>
        </w:rPr>
        <w:lastRenderedPageBreak/>
        <w:t>Differences in community composition as well as the relationship between phytoplankton and measured environmental variables were assessed using various statistical analyses. A comparison of several models indicated that the investigated communities were strongly influenced by</w:t>
      </w:r>
      <w:r w:rsidR="007C055E">
        <w:rPr>
          <w:rFonts w:ascii="Times New Roman" w:hAnsi="Times New Roman"/>
          <w:sz w:val="24"/>
          <w:szCs w:val="24"/>
        </w:rPr>
        <w:t xml:space="preserve"> the effect of season (explaining</w:t>
      </w:r>
      <w:r w:rsidRPr="00587D94">
        <w:rPr>
          <w:rFonts w:ascii="Times New Roman" w:hAnsi="Times New Roman"/>
          <w:sz w:val="24"/>
          <w:szCs w:val="24"/>
        </w:rPr>
        <w:t xml:space="preserve"> ca. 30% of the total variance in phytoplankton compositional data) and by the set of factors specifically related to </w:t>
      </w:r>
      <w:r w:rsidR="007C055E">
        <w:rPr>
          <w:rFonts w:ascii="Times New Roman" w:hAnsi="Times New Roman"/>
          <w:sz w:val="24"/>
          <w:szCs w:val="24"/>
        </w:rPr>
        <w:t>each sampling station (ca. 20</w:t>
      </w:r>
      <w:r w:rsidRPr="00587D94">
        <w:rPr>
          <w:rFonts w:ascii="Times New Roman" w:hAnsi="Times New Roman"/>
          <w:sz w:val="24"/>
          <w:szCs w:val="24"/>
        </w:rPr>
        <w:t>% of the total variance).</w:t>
      </w:r>
    </w:p>
    <w:p w:rsidR="00826A32" w:rsidRPr="00587D94" w:rsidRDefault="00826A32" w:rsidP="00826A32">
      <w:pPr>
        <w:spacing w:after="160" w:line="480" w:lineRule="auto"/>
        <w:jc w:val="both"/>
        <w:rPr>
          <w:rFonts w:ascii="Times New Roman" w:hAnsi="Times New Roman"/>
          <w:sz w:val="24"/>
          <w:szCs w:val="24"/>
        </w:rPr>
      </w:pPr>
    </w:p>
    <w:p w:rsidR="00826A32" w:rsidRPr="00587D94" w:rsidRDefault="00826A32" w:rsidP="00826A32">
      <w:pPr>
        <w:spacing w:after="160" w:line="480" w:lineRule="auto"/>
        <w:jc w:val="both"/>
        <w:rPr>
          <w:rFonts w:ascii="Times New Roman" w:hAnsi="Times New Roman"/>
          <w:i/>
          <w:sz w:val="24"/>
          <w:szCs w:val="24"/>
        </w:rPr>
      </w:pPr>
      <w:r w:rsidRPr="00587D94">
        <w:rPr>
          <w:rFonts w:ascii="Times New Roman" w:hAnsi="Times New Roman"/>
          <w:i/>
          <w:sz w:val="24"/>
          <w:szCs w:val="24"/>
        </w:rPr>
        <w:t>pH influence</w:t>
      </w:r>
    </w:p>
    <w:p w:rsidR="00826A32" w:rsidRPr="00587D94" w:rsidRDefault="007C055E" w:rsidP="00826A32">
      <w:pPr>
        <w:spacing w:after="160" w:line="480" w:lineRule="auto"/>
        <w:jc w:val="both"/>
        <w:rPr>
          <w:rFonts w:ascii="Times New Roman" w:hAnsi="Times New Roman"/>
          <w:sz w:val="24"/>
          <w:szCs w:val="24"/>
        </w:rPr>
      </w:pPr>
      <w:r>
        <w:rPr>
          <w:rFonts w:ascii="Times New Roman" w:hAnsi="Times New Roman"/>
          <w:sz w:val="24"/>
          <w:szCs w:val="24"/>
        </w:rPr>
        <w:t>A</w:t>
      </w:r>
      <w:r w:rsidR="00826A32" w:rsidRPr="00587D94">
        <w:rPr>
          <w:rFonts w:ascii="Times New Roman" w:hAnsi="Times New Roman"/>
          <w:sz w:val="24"/>
          <w:szCs w:val="24"/>
        </w:rPr>
        <w:t xml:space="preserve">mongst the four environmental variables whose effect was assessed (pH, salinity, temperature, dissolved oxygen), pH appeared to have the </w:t>
      </w:r>
      <w:r>
        <w:rPr>
          <w:rFonts w:ascii="Times New Roman" w:hAnsi="Times New Roman"/>
          <w:sz w:val="24"/>
          <w:szCs w:val="24"/>
        </w:rPr>
        <w:t>strongest</w:t>
      </w:r>
      <w:r w:rsidR="00826A32" w:rsidRPr="00587D94">
        <w:rPr>
          <w:rFonts w:ascii="Times New Roman" w:hAnsi="Times New Roman"/>
          <w:sz w:val="24"/>
          <w:szCs w:val="24"/>
        </w:rPr>
        <w:t xml:space="preserve"> influence on phytoplankton assemblages. Although pH is strongly </w:t>
      </w:r>
      <w:r w:rsidR="00222A99">
        <w:rPr>
          <w:rFonts w:ascii="Times New Roman" w:hAnsi="Times New Roman"/>
          <w:sz w:val="24"/>
          <w:szCs w:val="24"/>
        </w:rPr>
        <w:t>correlated with salinity (Zhou and</w:t>
      </w:r>
      <w:r w:rsidR="00826A32" w:rsidRPr="00587D94">
        <w:rPr>
          <w:rFonts w:ascii="Times New Roman" w:hAnsi="Times New Roman"/>
          <w:sz w:val="24"/>
          <w:szCs w:val="24"/>
        </w:rPr>
        <w:t xml:space="preserve"> Rowland</w:t>
      </w:r>
      <w:r w:rsidR="00222A99">
        <w:rPr>
          <w:rFonts w:ascii="Times New Roman" w:hAnsi="Times New Roman"/>
          <w:sz w:val="24"/>
          <w:szCs w:val="24"/>
        </w:rPr>
        <w:t>,</w:t>
      </w:r>
      <w:r w:rsidR="00826A32" w:rsidRPr="00587D94">
        <w:rPr>
          <w:rFonts w:ascii="Times New Roman" w:hAnsi="Times New Roman"/>
          <w:sz w:val="24"/>
          <w:szCs w:val="24"/>
        </w:rPr>
        <w:t xml:space="preserve"> 1997</w:t>
      </w:r>
      <w:r w:rsidR="00222A99">
        <w:rPr>
          <w:rFonts w:ascii="Times New Roman" w:hAnsi="Times New Roman"/>
          <w:sz w:val="24"/>
          <w:szCs w:val="24"/>
        </w:rPr>
        <w:t>;</w:t>
      </w:r>
      <w:r w:rsidR="00826A32">
        <w:rPr>
          <w:rFonts w:ascii="Times New Roman" w:hAnsi="Times New Roman"/>
          <w:sz w:val="24"/>
          <w:szCs w:val="24"/>
        </w:rPr>
        <w:t xml:space="preserve"> Hansen</w:t>
      </w:r>
      <w:r w:rsidR="00222A99">
        <w:rPr>
          <w:rFonts w:ascii="Times New Roman" w:hAnsi="Times New Roman"/>
          <w:sz w:val="24"/>
          <w:szCs w:val="24"/>
        </w:rPr>
        <w:t>,</w:t>
      </w:r>
      <w:r w:rsidR="00826A32">
        <w:rPr>
          <w:rFonts w:ascii="Times New Roman" w:hAnsi="Times New Roman"/>
          <w:sz w:val="24"/>
          <w:szCs w:val="24"/>
        </w:rPr>
        <w:t xml:space="preserve"> 2002</w:t>
      </w:r>
      <w:r w:rsidR="00826A32" w:rsidRPr="00587D94">
        <w:rPr>
          <w:rFonts w:ascii="Times New Roman" w:hAnsi="Times New Roman"/>
          <w:sz w:val="24"/>
          <w:szCs w:val="24"/>
        </w:rPr>
        <w:t xml:space="preserve">), in </w:t>
      </w:r>
      <w:r>
        <w:rPr>
          <w:rFonts w:ascii="Times New Roman" w:hAnsi="Times New Roman"/>
          <w:sz w:val="24"/>
          <w:szCs w:val="24"/>
        </w:rPr>
        <w:t>many cases its</w:t>
      </w:r>
      <w:r w:rsidR="00826A32" w:rsidRPr="00587D94">
        <w:rPr>
          <w:rFonts w:ascii="Times New Roman" w:hAnsi="Times New Roman"/>
          <w:sz w:val="24"/>
          <w:szCs w:val="24"/>
        </w:rPr>
        <w:t xml:space="preserve"> effect </w:t>
      </w:r>
      <w:r w:rsidR="00B845DB">
        <w:rPr>
          <w:rFonts w:ascii="Times New Roman" w:hAnsi="Times New Roman"/>
          <w:sz w:val="24"/>
          <w:szCs w:val="24"/>
        </w:rPr>
        <w:t xml:space="preserve">when considered alone was opposite to that </w:t>
      </w:r>
      <w:r w:rsidR="00826A32" w:rsidRPr="00587D94">
        <w:rPr>
          <w:rFonts w:ascii="Times New Roman" w:hAnsi="Times New Roman"/>
          <w:sz w:val="24"/>
          <w:szCs w:val="24"/>
        </w:rPr>
        <w:t>of salinity, i.e. taxa associated with lower salinity levels appeared to prefer higher pH conditions, and vice versa, when the shared effect of pH and salinity was excluded from the model. A</w:t>
      </w:r>
      <w:r w:rsidR="00B845DB">
        <w:rPr>
          <w:rFonts w:ascii="Times New Roman" w:hAnsi="Times New Roman"/>
          <w:sz w:val="24"/>
          <w:szCs w:val="24"/>
        </w:rPr>
        <w:t xml:space="preserve"> large</w:t>
      </w:r>
      <w:r w:rsidR="00826A32" w:rsidRPr="00587D94">
        <w:rPr>
          <w:rFonts w:ascii="Times New Roman" w:hAnsi="Times New Roman"/>
          <w:sz w:val="24"/>
          <w:szCs w:val="24"/>
        </w:rPr>
        <w:t xml:space="preserve"> majority of the taxa had their local optima in stations characterized by relatively high pH values</w:t>
      </w:r>
      <w:r w:rsidR="00B845DB">
        <w:rPr>
          <w:rFonts w:ascii="Times New Roman" w:hAnsi="Times New Roman"/>
          <w:sz w:val="24"/>
          <w:szCs w:val="24"/>
        </w:rPr>
        <w:t>, while</w:t>
      </w:r>
      <w:r w:rsidR="00826A32" w:rsidRPr="00587D94">
        <w:rPr>
          <w:rFonts w:ascii="Times New Roman" w:hAnsi="Times New Roman"/>
          <w:sz w:val="24"/>
          <w:szCs w:val="24"/>
        </w:rPr>
        <w:t xml:space="preserve"> the GAM plot confirmed the negative correlation of pH and the number of t</w:t>
      </w:r>
      <w:r w:rsidR="00B845DB">
        <w:rPr>
          <w:rFonts w:ascii="Times New Roman" w:hAnsi="Times New Roman"/>
          <w:sz w:val="24"/>
          <w:szCs w:val="24"/>
        </w:rPr>
        <w:t>axa found in the samples. Other s</w:t>
      </w:r>
      <w:r w:rsidR="00826A32" w:rsidRPr="00587D94">
        <w:rPr>
          <w:rFonts w:ascii="Times New Roman" w:hAnsi="Times New Roman"/>
          <w:sz w:val="24"/>
          <w:szCs w:val="24"/>
        </w:rPr>
        <w:t>tudies on tropical estu</w:t>
      </w:r>
      <w:r w:rsidR="00B845DB">
        <w:rPr>
          <w:rFonts w:ascii="Times New Roman" w:hAnsi="Times New Roman"/>
          <w:sz w:val="24"/>
          <w:szCs w:val="24"/>
        </w:rPr>
        <w:t>arial phytoplankton</w:t>
      </w:r>
      <w:r w:rsidR="00826A32" w:rsidRPr="00587D94">
        <w:rPr>
          <w:rFonts w:ascii="Times New Roman" w:hAnsi="Times New Roman"/>
          <w:sz w:val="24"/>
          <w:szCs w:val="24"/>
        </w:rPr>
        <w:t xml:space="preserve"> </w:t>
      </w:r>
      <w:r w:rsidR="00B845DB">
        <w:rPr>
          <w:rFonts w:ascii="Times New Roman" w:hAnsi="Times New Roman"/>
          <w:sz w:val="24"/>
          <w:szCs w:val="24"/>
        </w:rPr>
        <w:t>(Madhu et al., 2007;</w:t>
      </w:r>
      <w:r w:rsidR="00826A32" w:rsidRPr="00587D94">
        <w:rPr>
          <w:rFonts w:ascii="Times New Roman" w:hAnsi="Times New Roman"/>
          <w:sz w:val="24"/>
          <w:szCs w:val="24"/>
        </w:rPr>
        <w:t xml:space="preserve"> Krume et al.</w:t>
      </w:r>
      <w:r w:rsidR="00B845DB">
        <w:rPr>
          <w:rFonts w:ascii="Times New Roman" w:hAnsi="Times New Roman"/>
          <w:sz w:val="24"/>
          <w:szCs w:val="24"/>
        </w:rPr>
        <w:t xml:space="preserve">, </w:t>
      </w:r>
      <w:r w:rsidR="00826A32" w:rsidRPr="00587D94">
        <w:rPr>
          <w:rFonts w:ascii="Times New Roman" w:hAnsi="Times New Roman"/>
          <w:sz w:val="24"/>
          <w:szCs w:val="24"/>
        </w:rPr>
        <w:t xml:space="preserve">2012) </w:t>
      </w:r>
      <w:r w:rsidR="00B845DB">
        <w:rPr>
          <w:rFonts w:ascii="Times New Roman" w:hAnsi="Times New Roman"/>
          <w:sz w:val="24"/>
          <w:szCs w:val="24"/>
        </w:rPr>
        <w:t xml:space="preserve">have </w:t>
      </w:r>
      <w:r w:rsidR="00826A32" w:rsidRPr="00587D94">
        <w:rPr>
          <w:rFonts w:ascii="Times New Roman" w:hAnsi="Times New Roman"/>
          <w:sz w:val="24"/>
          <w:szCs w:val="24"/>
        </w:rPr>
        <w:t>report</w:t>
      </w:r>
      <w:r w:rsidR="00B845DB">
        <w:rPr>
          <w:rFonts w:ascii="Times New Roman" w:hAnsi="Times New Roman"/>
          <w:sz w:val="24"/>
          <w:szCs w:val="24"/>
        </w:rPr>
        <w:t xml:space="preserve">ed </w:t>
      </w:r>
      <w:r w:rsidR="00826A32" w:rsidRPr="00587D94">
        <w:rPr>
          <w:rFonts w:ascii="Times New Roman" w:hAnsi="Times New Roman"/>
          <w:sz w:val="24"/>
          <w:szCs w:val="24"/>
        </w:rPr>
        <w:t>similar trend</w:t>
      </w:r>
      <w:r w:rsidR="00B845DB">
        <w:rPr>
          <w:rFonts w:ascii="Times New Roman" w:hAnsi="Times New Roman"/>
          <w:sz w:val="24"/>
          <w:szCs w:val="24"/>
        </w:rPr>
        <w:t>s</w:t>
      </w:r>
      <w:r w:rsidR="00826A32" w:rsidRPr="00587D94">
        <w:rPr>
          <w:rFonts w:ascii="Times New Roman" w:hAnsi="Times New Roman"/>
          <w:sz w:val="24"/>
          <w:szCs w:val="24"/>
        </w:rPr>
        <w:t>.</w:t>
      </w:r>
    </w:p>
    <w:p w:rsidR="00826A32" w:rsidRPr="00587D94" w:rsidRDefault="00826A32" w:rsidP="00826A32">
      <w:pPr>
        <w:spacing w:after="160" w:line="480" w:lineRule="auto"/>
        <w:jc w:val="both"/>
        <w:rPr>
          <w:rFonts w:ascii="Times New Roman" w:hAnsi="Times New Roman"/>
          <w:sz w:val="24"/>
          <w:szCs w:val="24"/>
        </w:rPr>
      </w:pPr>
    </w:p>
    <w:p w:rsidR="00B845DB" w:rsidRDefault="00826A32" w:rsidP="00826A32">
      <w:pPr>
        <w:spacing w:after="160" w:line="480" w:lineRule="auto"/>
        <w:jc w:val="both"/>
        <w:rPr>
          <w:rFonts w:ascii="Times New Roman" w:hAnsi="Times New Roman"/>
          <w:i/>
          <w:sz w:val="24"/>
          <w:szCs w:val="24"/>
        </w:rPr>
      </w:pPr>
      <w:r w:rsidRPr="00587D94">
        <w:rPr>
          <w:rFonts w:ascii="Times New Roman" w:hAnsi="Times New Roman"/>
          <w:i/>
          <w:sz w:val="24"/>
          <w:szCs w:val="24"/>
        </w:rPr>
        <w:t>Sampling site influence</w:t>
      </w:r>
    </w:p>
    <w:p w:rsidR="00826A32" w:rsidRPr="00B845DB" w:rsidRDefault="00B845DB" w:rsidP="00826A32">
      <w:pPr>
        <w:spacing w:after="160" w:line="480" w:lineRule="auto"/>
        <w:jc w:val="both"/>
        <w:rPr>
          <w:rFonts w:ascii="Times New Roman" w:hAnsi="Times New Roman"/>
          <w:i/>
          <w:sz w:val="24"/>
          <w:szCs w:val="24"/>
        </w:rPr>
      </w:pPr>
      <w:r>
        <w:rPr>
          <w:rFonts w:ascii="Times New Roman" w:hAnsi="Times New Roman"/>
          <w:sz w:val="24"/>
          <w:szCs w:val="24"/>
        </w:rPr>
        <w:t>M</w:t>
      </w:r>
      <w:r w:rsidR="00826A32" w:rsidRPr="00587D94">
        <w:rPr>
          <w:rFonts w:ascii="Times New Roman" w:hAnsi="Times New Roman"/>
          <w:sz w:val="24"/>
          <w:szCs w:val="24"/>
        </w:rPr>
        <w:t>inim</w:t>
      </w:r>
      <w:r w:rsidR="00445CA6">
        <w:rPr>
          <w:rFonts w:ascii="Times New Roman" w:hAnsi="Times New Roman"/>
          <w:sz w:val="24"/>
          <w:szCs w:val="24"/>
        </w:rPr>
        <w:t>a</w:t>
      </w:r>
      <w:r w:rsidR="00826A32" w:rsidRPr="00587D94">
        <w:rPr>
          <w:rFonts w:ascii="Times New Roman" w:hAnsi="Times New Roman"/>
          <w:sz w:val="24"/>
          <w:szCs w:val="24"/>
        </w:rPr>
        <w:t xml:space="preserve"> in phytoplan</w:t>
      </w:r>
      <w:r>
        <w:rPr>
          <w:rFonts w:ascii="Times New Roman" w:hAnsi="Times New Roman"/>
          <w:sz w:val="24"/>
          <w:szCs w:val="24"/>
        </w:rPr>
        <w:t>kton diversity and abundance were</w:t>
      </w:r>
      <w:r w:rsidR="00826A32" w:rsidRPr="00587D94">
        <w:rPr>
          <w:rFonts w:ascii="Times New Roman" w:hAnsi="Times New Roman"/>
          <w:sz w:val="24"/>
          <w:szCs w:val="24"/>
        </w:rPr>
        <w:t xml:space="preserve"> typical for the most landward station</w:t>
      </w:r>
      <w:r>
        <w:rPr>
          <w:rFonts w:ascii="Times New Roman" w:hAnsi="Times New Roman"/>
          <w:sz w:val="24"/>
          <w:szCs w:val="24"/>
        </w:rPr>
        <w:t>,</w:t>
      </w:r>
      <w:r w:rsidR="00826A32" w:rsidRPr="00587D94">
        <w:rPr>
          <w:rFonts w:ascii="Times New Roman" w:hAnsi="Times New Roman"/>
          <w:sz w:val="24"/>
          <w:szCs w:val="24"/>
        </w:rPr>
        <w:t xml:space="preserve"> S4, indicating the least favourable conditions for microalgal growth. Although most of the genera </w:t>
      </w:r>
      <w:r w:rsidR="00826A32" w:rsidRPr="00587D94">
        <w:rPr>
          <w:rFonts w:ascii="Times New Roman" w:hAnsi="Times New Roman"/>
          <w:sz w:val="24"/>
          <w:szCs w:val="24"/>
        </w:rPr>
        <w:lastRenderedPageBreak/>
        <w:t>could be found in different seasons and in various numbers at all</w:t>
      </w:r>
      <w:r>
        <w:rPr>
          <w:rFonts w:ascii="Times New Roman" w:hAnsi="Times New Roman"/>
          <w:sz w:val="24"/>
          <w:szCs w:val="24"/>
        </w:rPr>
        <w:t xml:space="preserve"> four</w:t>
      </w:r>
      <w:r w:rsidR="00826A32" w:rsidRPr="00587D94">
        <w:rPr>
          <w:rFonts w:ascii="Times New Roman" w:hAnsi="Times New Roman"/>
          <w:sz w:val="24"/>
          <w:szCs w:val="24"/>
        </w:rPr>
        <w:t xml:space="preserve"> stations, genera such as </w:t>
      </w:r>
      <w:r w:rsidR="00826A32" w:rsidRPr="00587D94">
        <w:rPr>
          <w:rFonts w:ascii="Times New Roman" w:hAnsi="Times New Roman"/>
          <w:i/>
          <w:sz w:val="24"/>
          <w:szCs w:val="24"/>
        </w:rPr>
        <w:t>Corethron</w:t>
      </w:r>
      <w:r w:rsidR="00826A32" w:rsidRPr="00587D94">
        <w:rPr>
          <w:rFonts w:ascii="Times New Roman" w:hAnsi="Times New Roman"/>
          <w:sz w:val="24"/>
          <w:szCs w:val="24"/>
        </w:rPr>
        <w:t xml:space="preserve">, </w:t>
      </w:r>
      <w:r w:rsidR="00826A32" w:rsidRPr="00587D94">
        <w:rPr>
          <w:rFonts w:ascii="Times New Roman" w:hAnsi="Times New Roman"/>
          <w:i/>
          <w:sz w:val="24"/>
          <w:szCs w:val="24"/>
        </w:rPr>
        <w:t>Cyclotella</w:t>
      </w:r>
      <w:r w:rsidR="00826A32" w:rsidRPr="00587D94">
        <w:rPr>
          <w:rFonts w:ascii="Times New Roman" w:hAnsi="Times New Roman"/>
          <w:sz w:val="24"/>
          <w:szCs w:val="24"/>
        </w:rPr>
        <w:t xml:space="preserve">, </w:t>
      </w:r>
      <w:r w:rsidR="00826A32" w:rsidRPr="00587D94">
        <w:rPr>
          <w:rFonts w:ascii="Times New Roman" w:hAnsi="Times New Roman"/>
          <w:i/>
          <w:sz w:val="24"/>
          <w:szCs w:val="24"/>
        </w:rPr>
        <w:t>Guinardia,</w:t>
      </w:r>
      <w:r w:rsidR="00826A32" w:rsidRPr="00587D94">
        <w:rPr>
          <w:rFonts w:ascii="Times New Roman" w:hAnsi="Times New Roman"/>
          <w:sz w:val="24"/>
          <w:szCs w:val="24"/>
        </w:rPr>
        <w:t xml:space="preserve"> and </w:t>
      </w:r>
      <w:r w:rsidR="00826A32" w:rsidRPr="00587D94">
        <w:rPr>
          <w:rFonts w:ascii="Times New Roman" w:hAnsi="Times New Roman"/>
          <w:i/>
          <w:sz w:val="24"/>
          <w:szCs w:val="24"/>
        </w:rPr>
        <w:t>Triceratium</w:t>
      </w:r>
      <w:r w:rsidR="00826A32" w:rsidRPr="00587D94">
        <w:rPr>
          <w:rFonts w:ascii="Times New Roman" w:hAnsi="Times New Roman"/>
          <w:sz w:val="24"/>
          <w:szCs w:val="24"/>
        </w:rPr>
        <w:t xml:space="preserve"> were never present in samples from S4. A combination of extreme turbidity, </w:t>
      </w:r>
      <w:r>
        <w:rPr>
          <w:rFonts w:ascii="Times New Roman" w:hAnsi="Times New Roman"/>
          <w:sz w:val="24"/>
          <w:szCs w:val="24"/>
        </w:rPr>
        <w:t>resulting</w:t>
      </w:r>
      <w:r w:rsidR="00826A32" w:rsidRPr="00587D94">
        <w:rPr>
          <w:rFonts w:ascii="Times New Roman" w:hAnsi="Times New Roman"/>
          <w:sz w:val="24"/>
          <w:szCs w:val="24"/>
        </w:rPr>
        <w:t xml:space="preserve"> in sever</w:t>
      </w:r>
      <w:r>
        <w:rPr>
          <w:rFonts w:ascii="Times New Roman" w:hAnsi="Times New Roman"/>
          <w:sz w:val="24"/>
          <w:szCs w:val="24"/>
        </w:rPr>
        <w:t>e</w:t>
      </w:r>
      <w:r w:rsidR="00826A32" w:rsidRPr="00587D94">
        <w:rPr>
          <w:rFonts w:ascii="Times New Roman" w:hAnsi="Times New Roman"/>
          <w:sz w:val="24"/>
          <w:szCs w:val="24"/>
        </w:rPr>
        <w:t xml:space="preserve"> light limitation, distinctly lower salinity,</w:t>
      </w:r>
      <w:r w:rsidR="005E01B9">
        <w:rPr>
          <w:rFonts w:ascii="Times New Roman" w:hAnsi="Times New Roman"/>
          <w:sz w:val="24"/>
          <w:szCs w:val="24"/>
        </w:rPr>
        <w:t xml:space="preserve"> pH, and DO values in the</w:t>
      </w:r>
      <w:r w:rsidR="00695B32">
        <w:rPr>
          <w:rFonts w:ascii="Times New Roman" w:hAnsi="Times New Roman"/>
          <w:sz w:val="24"/>
          <w:szCs w:val="24"/>
        </w:rPr>
        <w:t xml:space="preserve"> proximity</w:t>
      </w:r>
      <w:r w:rsidR="00826A32" w:rsidRPr="00587D94">
        <w:rPr>
          <w:rFonts w:ascii="Times New Roman" w:hAnsi="Times New Roman"/>
          <w:sz w:val="24"/>
          <w:szCs w:val="24"/>
        </w:rPr>
        <w:t xml:space="preserve"> of large urban areas (e.g. Kiulap, Gadong, water villages along the estuary) </w:t>
      </w:r>
      <w:r w:rsidR="00695B32">
        <w:rPr>
          <w:rFonts w:ascii="Times New Roman" w:hAnsi="Times New Roman"/>
          <w:sz w:val="24"/>
          <w:szCs w:val="24"/>
        </w:rPr>
        <w:t xml:space="preserve">could have </w:t>
      </w:r>
      <w:r w:rsidR="00826A32" w:rsidRPr="00587D94">
        <w:rPr>
          <w:rFonts w:ascii="Times New Roman" w:hAnsi="Times New Roman"/>
          <w:sz w:val="24"/>
          <w:szCs w:val="24"/>
        </w:rPr>
        <w:t xml:space="preserve">affected local phytoplankton markedly </w:t>
      </w:r>
      <w:r w:rsidR="00695B32">
        <w:rPr>
          <w:rFonts w:ascii="Times New Roman" w:hAnsi="Times New Roman"/>
          <w:sz w:val="24"/>
          <w:szCs w:val="24"/>
        </w:rPr>
        <w:t>more than</w:t>
      </w:r>
      <w:r w:rsidR="00445CA6">
        <w:rPr>
          <w:rFonts w:ascii="Times New Roman" w:hAnsi="Times New Roman"/>
          <w:sz w:val="24"/>
          <w:szCs w:val="24"/>
        </w:rPr>
        <w:t xml:space="preserve"> at</w:t>
      </w:r>
      <w:r w:rsidR="00826A32" w:rsidRPr="00587D94">
        <w:rPr>
          <w:rFonts w:ascii="Times New Roman" w:hAnsi="Times New Roman"/>
          <w:sz w:val="24"/>
          <w:szCs w:val="24"/>
        </w:rPr>
        <w:t xml:space="preserve"> the more seaward </w:t>
      </w:r>
      <w:r w:rsidR="00445CA6">
        <w:rPr>
          <w:rFonts w:ascii="Times New Roman" w:hAnsi="Times New Roman"/>
          <w:sz w:val="24"/>
          <w:szCs w:val="24"/>
        </w:rPr>
        <w:t>locations</w:t>
      </w:r>
      <w:r w:rsidR="00826A32" w:rsidRPr="00587D94">
        <w:rPr>
          <w:rFonts w:ascii="Times New Roman" w:hAnsi="Times New Roman"/>
          <w:sz w:val="24"/>
          <w:szCs w:val="24"/>
        </w:rPr>
        <w:t>. A relatively high contribution of typically benthic taxa (</w:t>
      </w:r>
      <w:r w:rsidR="00826A32" w:rsidRPr="00587D94">
        <w:rPr>
          <w:rFonts w:ascii="Times New Roman" w:hAnsi="Times New Roman"/>
          <w:i/>
          <w:sz w:val="24"/>
          <w:szCs w:val="24"/>
        </w:rPr>
        <w:t>Achnanthes</w:t>
      </w:r>
      <w:r w:rsidR="00826A32" w:rsidRPr="00587D94">
        <w:rPr>
          <w:rFonts w:ascii="Times New Roman" w:hAnsi="Times New Roman"/>
          <w:sz w:val="24"/>
          <w:szCs w:val="24"/>
        </w:rPr>
        <w:t xml:space="preserve"> spp., </w:t>
      </w:r>
      <w:r w:rsidR="00826A32" w:rsidRPr="00587D94">
        <w:rPr>
          <w:rFonts w:ascii="Times New Roman" w:hAnsi="Times New Roman"/>
          <w:i/>
          <w:sz w:val="24"/>
          <w:szCs w:val="24"/>
        </w:rPr>
        <w:t>Navicula</w:t>
      </w:r>
      <w:r w:rsidR="00826A32" w:rsidRPr="00587D94">
        <w:rPr>
          <w:rFonts w:ascii="Times New Roman" w:hAnsi="Times New Roman"/>
          <w:sz w:val="24"/>
          <w:szCs w:val="24"/>
        </w:rPr>
        <w:t xml:space="preserve"> spp.) to the total number of phytoplankton algae found in S4 samples indicated a significant exchange with the benthic communities and a high level of physical disturbance (turbidity, river runoff) that, on the other hand, might </w:t>
      </w:r>
      <w:r w:rsidR="00695B32">
        <w:rPr>
          <w:rFonts w:ascii="Times New Roman" w:hAnsi="Times New Roman"/>
          <w:sz w:val="24"/>
          <w:szCs w:val="24"/>
        </w:rPr>
        <w:t>also have limited the development of</w:t>
      </w:r>
      <w:r w:rsidR="00826A32" w:rsidRPr="00587D94">
        <w:rPr>
          <w:rFonts w:ascii="Times New Roman" w:hAnsi="Times New Roman"/>
          <w:sz w:val="24"/>
          <w:szCs w:val="24"/>
        </w:rPr>
        <w:t xml:space="preserve"> dense phytoplankton assemblages (Muylaert and Sabbe</w:t>
      </w:r>
      <w:r w:rsidR="00222A99">
        <w:rPr>
          <w:rFonts w:ascii="Times New Roman" w:hAnsi="Times New Roman"/>
          <w:sz w:val="24"/>
          <w:szCs w:val="24"/>
        </w:rPr>
        <w:t>,</w:t>
      </w:r>
      <w:r w:rsidR="00826A32" w:rsidRPr="00587D94">
        <w:rPr>
          <w:rFonts w:ascii="Times New Roman" w:hAnsi="Times New Roman"/>
          <w:sz w:val="24"/>
          <w:szCs w:val="24"/>
        </w:rPr>
        <w:t xml:space="preserve"> 1999</w:t>
      </w:r>
      <w:r w:rsidR="00222A99">
        <w:rPr>
          <w:rFonts w:ascii="Times New Roman" w:hAnsi="Times New Roman"/>
          <w:sz w:val="24"/>
          <w:szCs w:val="24"/>
        </w:rPr>
        <w:t>;</w:t>
      </w:r>
      <w:r w:rsidR="00826A32">
        <w:rPr>
          <w:rFonts w:ascii="Times New Roman" w:hAnsi="Times New Roman"/>
          <w:sz w:val="24"/>
          <w:szCs w:val="24"/>
        </w:rPr>
        <w:t xml:space="preserve"> Adesalu</w:t>
      </w:r>
      <w:r w:rsidR="00222A99">
        <w:rPr>
          <w:rFonts w:ascii="Times New Roman" w:hAnsi="Times New Roman"/>
          <w:sz w:val="24"/>
          <w:szCs w:val="24"/>
        </w:rPr>
        <w:t>,</w:t>
      </w:r>
      <w:r w:rsidR="00826A32">
        <w:rPr>
          <w:rFonts w:ascii="Times New Roman" w:hAnsi="Times New Roman"/>
          <w:sz w:val="24"/>
          <w:szCs w:val="24"/>
        </w:rPr>
        <w:t xml:space="preserve"> 2010</w:t>
      </w:r>
      <w:r w:rsidR="00222A99">
        <w:rPr>
          <w:rFonts w:ascii="Times New Roman" w:hAnsi="Times New Roman"/>
          <w:sz w:val="24"/>
          <w:szCs w:val="24"/>
        </w:rPr>
        <w:t xml:space="preserve">; </w:t>
      </w:r>
      <w:r w:rsidR="00826A32">
        <w:rPr>
          <w:rFonts w:ascii="Times New Roman" w:hAnsi="Times New Roman"/>
          <w:sz w:val="24"/>
          <w:szCs w:val="24"/>
        </w:rPr>
        <w:t>Palleyi et al.</w:t>
      </w:r>
      <w:r w:rsidR="00222A99">
        <w:rPr>
          <w:rFonts w:ascii="Times New Roman" w:hAnsi="Times New Roman"/>
          <w:sz w:val="24"/>
          <w:szCs w:val="24"/>
        </w:rPr>
        <w:t>,</w:t>
      </w:r>
      <w:r w:rsidR="00826A32">
        <w:rPr>
          <w:rFonts w:ascii="Times New Roman" w:hAnsi="Times New Roman"/>
          <w:sz w:val="24"/>
          <w:szCs w:val="24"/>
        </w:rPr>
        <w:t xml:space="preserve"> 2008</w:t>
      </w:r>
      <w:r w:rsidR="00826A32" w:rsidRPr="00587D94">
        <w:rPr>
          <w:rFonts w:ascii="Times New Roman" w:hAnsi="Times New Roman"/>
          <w:sz w:val="24"/>
          <w:szCs w:val="24"/>
        </w:rPr>
        <w:t>).</w:t>
      </w:r>
    </w:p>
    <w:p w:rsidR="00826A32" w:rsidRPr="00587D94" w:rsidRDefault="00826A32" w:rsidP="00826A32">
      <w:pPr>
        <w:spacing w:after="160" w:line="480" w:lineRule="auto"/>
        <w:jc w:val="both"/>
        <w:rPr>
          <w:rFonts w:ascii="Times New Roman" w:hAnsi="Times New Roman"/>
          <w:sz w:val="24"/>
          <w:szCs w:val="24"/>
        </w:rPr>
      </w:pPr>
    </w:p>
    <w:p w:rsidR="00826A32" w:rsidRPr="00587D94" w:rsidRDefault="00826A32" w:rsidP="00826A32">
      <w:pPr>
        <w:spacing w:after="160" w:line="480" w:lineRule="auto"/>
        <w:jc w:val="both"/>
        <w:rPr>
          <w:rFonts w:ascii="Times New Roman" w:hAnsi="Times New Roman"/>
          <w:i/>
          <w:sz w:val="24"/>
          <w:szCs w:val="24"/>
        </w:rPr>
      </w:pPr>
      <w:r w:rsidRPr="00587D94">
        <w:rPr>
          <w:rFonts w:ascii="Times New Roman" w:hAnsi="Times New Roman"/>
          <w:i/>
          <w:sz w:val="24"/>
          <w:szCs w:val="24"/>
        </w:rPr>
        <w:t>Seasonality</w:t>
      </w:r>
    </w:p>
    <w:p w:rsidR="00024039" w:rsidRDefault="00445CA6" w:rsidP="005F4E3F">
      <w:pPr>
        <w:spacing w:after="160" w:line="480" w:lineRule="auto"/>
        <w:ind w:firstLine="720"/>
        <w:jc w:val="both"/>
        <w:rPr>
          <w:rFonts w:ascii="Times New Roman" w:hAnsi="Times New Roman"/>
          <w:sz w:val="24"/>
          <w:szCs w:val="24"/>
        </w:rPr>
      </w:pPr>
      <w:r>
        <w:rPr>
          <w:rFonts w:ascii="Times New Roman" w:hAnsi="Times New Roman"/>
          <w:sz w:val="24"/>
          <w:szCs w:val="24"/>
        </w:rPr>
        <w:t>S</w:t>
      </w:r>
      <w:r w:rsidR="00826A32" w:rsidRPr="00587D94">
        <w:rPr>
          <w:rFonts w:ascii="Times New Roman" w:hAnsi="Times New Roman"/>
          <w:sz w:val="24"/>
          <w:szCs w:val="24"/>
        </w:rPr>
        <w:t xml:space="preserve">ampling season proved to have </w:t>
      </w:r>
      <w:r w:rsidR="00695B32">
        <w:rPr>
          <w:rFonts w:ascii="Times New Roman" w:hAnsi="Times New Roman"/>
          <w:sz w:val="24"/>
          <w:szCs w:val="24"/>
        </w:rPr>
        <w:t xml:space="preserve">a pronounced effect on </w:t>
      </w:r>
      <w:r w:rsidR="005E01B9">
        <w:rPr>
          <w:rFonts w:ascii="Times New Roman" w:hAnsi="Times New Roman"/>
          <w:sz w:val="24"/>
          <w:szCs w:val="24"/>
        </w:rPr>
        <w:t xml:space="preserve">the </w:t>
      </w:r>
      <w:r w:rsidR="00695B32">
        <w:rPr>
          <w:rFonts w:ascii="Times New Roman" w:hAnsi="Times New Roman"/>
          <w:sz w:val="24"/>
          <w:szCs w:val="24"/>
        </w:rPr>
        <w:t>estuarine</w:t>
      </w:r>
      <w:r w:rsidR="00826A32" w:rsidRPr="00587D94">
        <w:rPr>
          <w:rFonts w:ascii="Times New Roman" w:hAnsi="Times New Roman"/>
          <w:sz w:val="24"/>
          <w:szCs w:val="24"/>
        </w:rPr>
        <w:t xml:space="preserve"> phytoplankton. The RDA models clearly indicated that the dry inter-monsoon period following NEM heavy rainfalls was the least suitable for the phytoplankt</w:t>
      </w:r>
      <w:r w:rsidR="00695B32">
        <w:rPr>
          <w:rFonts w:ascii="Times New Roman" w:hAnsi="Times New Roman"/>
          <w:sz w:val="24"/>
          <w:szCs w:val="24"/>
        </w:rPr>
        <w:t>on development. T</w:t>
      </w:r>
      <w:r w:rsidR="00826A32" w:rsidRPr="00587D94">
        <w:rPr>
          <w:rFonts w:ascii="Times New Roman" w:hAnsi="Times New Roman"/>
          <w:sz w:val="24"/>
          <w:szCs w:val="24"/>
        </w:rPr>
        <w:t xml:space="preserve">he two monsoon seasons </w:t>
      </w:r>
      <w:r w:rsidR="00695B32">
        <w:rPr>
          <w:rFonts w:ascii="Times New Roman" w:hAnsi="Times New Roman"/>
          <w:sz w:val="24"/>
          <w:szCs w:val="24"/>
        </w:rPr>
        <w:t xml:space="preserve">resulted in </w:t>
      </w:r>
      <w:r w:rsidR="00826A32" w:rsidRPr="00587D94">
        <w:rPr>
          <w:rFonts w:ascii="Times New Roman" w:hAnsi="Times New Roman"/>
          <w:sz w:val="24"/>
          <w:szCs w:val="24"/>
        </w:rPr>
        <w:t>changes in microalgal communities in qualitatively and quantitatively dist</w:t>
      </w:r>
      <w:r w:rsidR="00695B32">
        <w:rPr>
          <w:rFonts w:ascii="Times New Roman" w:hAnsi="Times New Roman"/>
          <w:sz w:val="24"/>
          <w:szCs w:val="24"/>
        </w:rPr>
        <w:t>inct ways. Generally, an</w:t>
      </w:r>
      <w:r w:rsidR="00826A32" w:rsidRPr="00587D94">
        <w:rPr>
          <w:rFonts w:ascii="Times New Roman" w:hAnsi="Times New Roman"/>
          <w:sz w:val="24"/>
          <w:szCs w:val="24"/>
        </w:rPr>
        <w:t xml:space="preserve"> increase in phytoplankton abundances was observed directly after the rainfall events. The highest abundances</w:t>
      </w:r>
      <w:r>
        <w:rPr>
          <w:rFonts w:ascii="Times New Roman" w:hAnsi="Times New Roman"/>
          <w:sz w:val="24"/>
          <w:szCs w:val="24"/>
        </w:rPr>
        <w:t xml:space="preserve"> </w:t>
      </w:r>
      <w:r w:rsidRPr="00587D94">
        <w:rPr>
          <w:rFonts w:ascii="Times New Roman" w:hAnsi="Times New Roman"/>
          <w:sz w:val="24"/>
          <w:szCs w:val="24"/>
        </w:rPr>
        <w:t>(up to 9107 cells ml</w:t>
      </w:r>
      <w:r w:rsidRPr="00587D94">
        <w:rPr>
          <w:rFonts w:ascii="Times New Roman" w:hAnsi="Times New Roman"/>
          <w:sz w:val="24"/>
          <w:szCs w:val="24"/>
          <w:vertAlign w:val="superscript"/>
        </w:rPr>
        <w:t>-1</w:t>
      </w:r>
      <w:r w:rsidRPr="00587D94">
        <w:rPr>
          <w:rFonts w:ascii="Times New Roman" w:hAnsi="Times New Roman"/>
          <w:sz w:val="24"/>
          <w:szCs w:val="24"/>
        </w:rPr>
        <w:t>)</w:t>
      </w:r>
      <w:r w:rsidR="00826A32" w:rsidRPr="00587D94">
        <w:rPr>
          <w:rFonts w:ascii="Times New Roman" w:hAnsi="Times New Roman"/>
          <w:sz w:val="24"/>
          <w:szCs w:val="24"/>
        </w:rPr>
        <w:t>, however, were associated with the SWM season and not with NEM when a series of the heaviest rainfalls occurred.</w:t>
      </w:r>
      <w:r w:rsidR="00695B32">
        <w:rPr>
          <w:rFonts w:ascii="Times New Roman" w:hAnsi="Times New Roman"/>
          <w:sz w:val="24"/>
          <w:szCs w:val="24"/>
        </w:rPr>
        <w:t xml:space="preserve"> W</w:t>
      </w:r>
      <w:r w:rsidR="00826A32" w:rsidRPr="00587D94">
        <w:rPr>
          <w:rFonts w:ascii="Times New Roman" w:hAnsi="Times New Roman"/>
          <w:sz w:val="24"/>
          <w:szCs w:val="24"/>
        </w:rPr>
        <w:t xml:space="preserve">et season and </w:t>
      </w:r>
      <w:r w:rsidR="00695B32">
        <w:rPr>
          <w:rFonts w:ascii="Times New Roman" w:hAnsi="Times New Roman"/>
          <w:sz w:val="24"/>
          <w:szCs w:val="24"/>
        </w:rPr>
        <w:t xml:space="preserve">other </w:t>
      </w:r>
      <w:r w:rsidR="00826A32" w:rsidRPr="00587D94">
        <w:rPr>
          <w:rFonts w:ascii="Times New Roman" w:hAnsi="Times New Roman"/>
          <w:sz w:val="24"/>
          <w:szCs w:val="24"/>
        </w:rPr>
        <w:t xml:space="preserve">rainfall events may promote phytoplankton blooms </w:t>
      </w:r>
      <w:r w:rsidR="00695B32">
        <w:rPr>
          <w:rFonts w:ascii="Times New Roman" w:hAnsi="Times New Roman"/>
          <w:sz w:val="24"/>
          <w:szCs w:val="24"/>
        </w:rPr>
        <w:t>through</w:t>
      </w:r>
      <w:r w:rsidR="00826A32" w:rsidRPr="00587D94">
        <w:rPr>
          <w:rFonts w:ascii="Times New Roman" w:hAnsi="Times New Roman"/>
          <w:sz w:val="24"/>
          <w:szCs w:val="24"/>
        </w:rPr>
        <w:t xml:space="preserve"> the leaching of biogenic substances from the adjacent land and the large influx of riverine water highly enriched in organic matter and nutrients</w:t>
      </w:r>
      <w:r w:rsidR="00826A32">
        <w:rPr>
          <w:rFonts w:ascii="Times New Roman" w:hAnsi="Times New Roman"/>
          <w:sz w:val="24"/>
          <w:szCs w:val="24"/>
        </w:rPr>
        <w:t xml:space="preserve"> (Jackson et al.</w:t>
      </w:r>
      <w:r w:rsidR="00222A99">
        <w:rPr>
          <w:rFonts w:ascii="Times New Roman" w:hAnsi="Times New Roman"/>
          <w:sz w:val="24"/>
          <w:szCs w:val="24"/>
        </w:rPr>
        <w:t>, 1987;</w:t>
      </w:r>
      <w:r w:rsidR="00826A32">
        <w:rPr>
          <w:rFonts w:ascii="Times New Roman" w:hAnsi="Times New Roman"/>
          <w:sz w:val="24"/>
          <w:szCs w:val="24"/>
        </w:rPr>
        <w:t xml:space="preserve"> Mallin et al.</w:t>
      </w:r>
      <w:r w:rsidR="00222A99">
        <w:rPr>
          <w:rFonts w:ascii="Times New Roman" w:hAnsi="Times New Roman"/>
          <w:sz w:val="24"/>
          <w:szCs w:val="24"/>
        </w:rPr>
        <w:t>, 1993;</w:t>
      </w:r>
      <w:r w:rsidR="00826A32">
        <w:rPr>
          <w:rFonts w:ascii="Times New Roman" w:hAnsi="Times New Roman"/>
          <w:sz w:val="24"/>
          <w:szCs w:val="24"/>
        </w:rPr>
        <w:t xml:space="preserve"> Angsupanich</w:t>
      </w:r>
      <w:r w:rsidR="00826A32" w:rsidRPr="0028190C">
        <w:rPr>
          <w:rFonts w:ascii="Times New Roman" w:hAnsi="Times New Roman"/>
          <w:sz w:val="24"/>
          <w:szCs w:val="24"/>
        </w:rPr>
        <w:t xml:space="preserve"> and Rakkheaw</w:t>
      </w:r>
      <w:r w:rsidR="00222A99">
        <w:rPr>
          <w:rFonts w:ascii="Times New Roman" w:hAnsi="Times New Roman"/>
          <w:sz w:val="24"/>
          <w:szCs w:val="24"/>
        </w:rPr>
        <w:t>, 1997;</w:t>
      </w:r>
      <w:r w:rsidR="00826A32">
        <w:rPr>
          <w:rFonts w:ascii="Times New Roman" w:hAnsi="Times New Roman"/>
          <w:sz w:val="24"/>
          <w:szCs w:val="24"/>
        </w:rPr>
        <w:t xml:space="preserve"> Gameiro et al.</w:t>
      </w:r>
      <w:r w:rsidR="00222A99">
        <w:rPr>
          <w:rFonts w:ascii="Times New Roman" w:hAnsi="Times New Roman"/>
          <w:sz w:val="24"/>
          <w:szCs w:val="24"/>
        </w:rPr>
        <w:t>, 2004;</w:t>
      </w:r>
      <w:r w:rsidR="00826A32">
        <w:rPr>
          <w:rFonts w:ascii="Times New Roman" w:hAnsi="Times New Roman"/>
          <w:sz w:val="24"/>
          <w:szCs w:val="24"/>
        </w:rPr>
        <w:t xml:space="preserve"> </w:t>
      </w:r>
      <w:r w:rsidR="00826A32" w:rsidRPr="0028190C">
        <w:rPr>
          <w:rFonts w:ascii="Times New Roman" w:hAnsi="Times New Roman"/>
          <w:sz w:val="24"/>
          <w:szCs w:val="24"/>
        </w:rPr>
        <w:t>Lueangthuwapranit</w:t>
      </w:r>
      <w:r w:rsidR="00826A32">
        <w:rPr>
          <w:rFonts w:ascii="Times New Roman" w:hAnsi="Times New Roman"/>
          <w:sz w:val="24"/>
          <w:szCs w:val="24"/>
        </w:rPr>
        <w:t xml:space="preserve"> et al.</w:t>
      </w:r>
      <w:r w:rsidR="00222A99">
        <w:rPr>
          <w:rFonts w:ascii="Times New Roman" w:hAnsi="Times New Roman"/>
          <w:sz w:val="24"/>
          <w:szCs w:val="24"/>
        </w:rPr>
        <w:t>,</w:t>
      </w:r>
      <w:r w:rsidR="00826A32">
        <w:rPr>
          <w:rFonts w:ascii="Times New Roman" w:hAnsi="Times New Roman"/>
          <w:sz w:val="24"/>
          <w:szCs w:val="24"/>
        </w:rPr>
        <w:t xml:space="preserve"> 2011)</w:t>
      </w:r>
      <w:r w:rsidR="00826A32" w:rsidRPr="00587D94">
        <w:rPr>
          <w:rFonts w:ascii="Times New Roman" w:hAnsi="Times New Roman"/>
          <w:sz w:val="24"/>
          <w:szCs w:val="24"/>
        </w:rPr>
        <w:t xml:space="preserve">. In addition, algal growth is enhanced by lower tidal </w:t>
      </w:r>
      <w:r w:rsidR="00826A32" w:rsidRPr="00587D94">
        <w:rPr>
          <w:rFonts w:ascii="Times New Roman" w:hAnsi="Times New Roman"/>
          <w:sz w:val="24"/>
          <w:szCs w:val="24"/>
        </w:rPr>
        <w:lastRenderedPageBreak/>
        <w:t>variation associated with the monsoon seasons</w:t>
      </w:r>
      <w:r w:rsidR="00826A32">
        <w:rPr>
          <w:rFonts w:ascii="Times New Roman" w:hAnsi="Times New Roman"/>
          <w:sz w:val="24"/>
          <w:szCs w:val="24"/>
        </w:rPr>
        <w:t xml:space="preserve"> (Palleyi et al.</w:t>
      </w:r>
      <w:r w:rsidR="00222A99">
        <w:rPr>
          <w:rFonts w:ascii="Times New Roman" w:hAnsi="Times New Roman"/>
          <w:sz w:val="24"/>
          <w:szCs w:val="24"/>
        </w:rPr>
        <w:t>,</w:t>
      </w:r>
      <w:r w:rsidR="00826A32">
        <w:rPr>
          <w:rFonts w:ascii="Times New Roman" w:hAnsi="Times New Roman"/>
          <w:sz w:val="24"/>
          <w:szCs w:val="24"/>
        </w:rPr>
        <w:t xml:space="preserve"> 2008)</w:t>
      </w:r>
      <w:r w:rsidR="00695B32">
        <w:rPr>
          <w:rFonts w:ascii="Times New Roman" w:hAnsi="Times New Roman"/>
          <w:sz w:val="24"/>
          <w:szCs w:val="24"/>
        </w:rPr>
        <w:t>, with</w:t>
      </w:r>
      <w:r w:rsidR="00826A32" w:rsidRPr="00587D94">
        <w:rPr>
          <w:rFonts w:ascii="Times New Roman" w:hAnsi="Times New Roman"/>
          <w:sz w:val="24"/>
          <w:szCs w:val="24"/>
        </w:rPr>
        <w:t xml:space="preserve"> tides </w:t>
      </w:r>
      <w:r w:rsidR="00D74C3B">
        <w:rPr>
          <w:rFonts w:ascii="Times New Roman" w:hAnsi="Times New Roman"/>
          <w:sz w:val="24"/>
          <w:szCs w:val="24"/>
        </w:rPr>
        <w:t>being recognised as possibly one of the most important factors for</w:t>
      </w:r>
      <w:r w:rsidR="00826A32" w:rsidRPr="00587D94">
        <w:rPr>
          <w:rFonts w:ascii="Times New Roman" w:hAnsi="Times New Roman"/>
          <w:sz w:val="24"/>
          <w:szCs w:val="24"/>
        </w:rPr>
        <w:t xml:space="preserve"> local phytoplankton development (Sue et al.</w:t>
      </w:r>
      <w:r w:rsidR="00222A99">
        <w:rPr>
          <w:rFonts w:ascii="Times New Roman" w:hAnsi="Times New Roman"/>
          <w:sz w:val="24"/>
          <w:szCs w:val="24"/>
        </w:rPr>
        <w:t>, 2004;</w:t>
      </w:r>
      <w:r w:rsidR="00826A32" w:rsidRPr="00587D94">
        <w:rPr>
          <w:rFonts w:ascii="Times New Roman" w:hAnsi="Times New Roman"/>
          <w:sz w:val="24"/>
          <w:szCs w:val="24"/>
        </w:rPr>
        <w:t xml:space="preserve"> Lueangthuwapranit et al.</w:t>
      </w:r>
      <w:r w:rsidR="00222A99">
        <w:rPr>
          <w:rFonts w:ascii="Times New Roman" w:hAnsi="Times New Roman"/>
          <w:sz w:val="24"/>
          <w:szCs w:val="24"/>
        </w:rPr>
        <w:t>,</w:t>
      </w:r>
      <w:r w:rsidR="00826A32" w:rsidRPr="00587D94">
        <w:rPr>
          <w:rFonts w:ascii="Times New Roman" w:hAnsi="Times New Roman"/>
          <w:sz w:val="24"/>
          <w:szCs w:val="24"/>
        </w:rPr>
        <w:t xml:space="preserve"> 2011). In some cases, howe</w:t>
      </w:r>
      <w:r w:rsidR="00D74C3B">
        <w:rPr>
          <w:rFonts w:ascii="Times New Roman" w:hAnsi="Times New Roman"/>
          <w:sz w:val="24"/>
          <w:szCs w:val="24"/>
        </w:rPr>
        <w:t>ver, extremely intense rainfall events</w:t>
      </w:r>
      <w:r w:rsidR="00826A32" w:rsidRPr="00587D94">
        <w:rPr>
          <w:rFonts w:ascii="Times New Roman" w:hAnsi="Times New Roman"/>
          <w:sz w:val="24"/>
          <w:szCs w:val="24"/>
        </w:rPr>
        <w:t xml:space="preserve"> may negatively affect phytoplankton communities by increasing turbidity (Mallin et al.</w:t>
      </w:r>
      <w:r w:rsidR="00222A99">
        <w:rPr>
          <w:rFonts w:ascii="Times New Roman" w:hAnsi="Times New Roman"/>
          <w:sz w:val="24"/>
          <w:szCs w:val="24"/>
        </w:rPr>
        <w:t>,</w:t>
      </w:r>
      <w:r w:rsidR="00826A32" w:rsidRPr="00587D94">
        <w:rPr>
          <w:rFonts w:ascii="Times New Roman" w:hAnsi="Times New Roman"/>
          <w:sz w:val="24"/>
          <w:szCs w:val="24"/>
        </w:rPr>
        <w:t xml:space="preserve"> 1993) and by i</w:t>
      </w:r>
      <w:r w:rsidR="00D74C3B">
        <w:rPr>
          <w:rFonts w:ascii="Times New Roman" w:hAnsi="Times New Roman"/>
          <w:sz w:val="24"/>
          <w:szCs w:val="24"/>
        </w:rPr>
        <w:t>ntroducing into the aquatic systems an</w:t>
      </w:r>
      <w:r w:rsidR="00826A32" w:rsidRPr="00587D94">
        <w:rPr>
          <w:rFonts w:ascii="Times New Roman" w:hAnsi="Times New Roman"/>
          <w:sz w:val="24"/>
          <w:szCs w:val="24"/>
        </w:rPr>
        <w:t xml:space="preserve"> excessive amount of acid drainage water and heavy metals that are easily leached from the soil in the low pH environment</w:t>
      </w:r>
      <w:r w:rsidR="00222A99">
        <w:rPr>
          <w:rFonts w:ascii="Times New Roman" w:hAnsi="Times New Roman"/>
          <w:sz w:val="24"/>
          <w:szCs w:val="24"/>
        </w:rPr>
        <w:t xml:space="preserve"> (Russel and</w:t>
      </w:r>
      <w:r w:rsidR="00826A32">
        <w:rPr>
          <w:rFonts w:ascii="Times New Roman" w:hAnsi="Times New Roman"/>
          <w:sz w:val="24"/>
          <w:szCs w:val="24"/>
        </w:rPr>
        <w:t xml:space="preserve"> Helmke</w:t>
      </w:r>
      <w:r w:rsidR="00222A99">
        <w:rPr>
          <w:rFonts w:ascii="Times New Roman" w:hAnsi="Times New Roman"/>
          <w:sz w:val="24"/>
          <w:szCs w:val="24"/>
        </w:rPr>
        <w:t>, 2002;</w:t>
      </w:r>
      <w:r w:rsidR="00826A32">
        <w:rPr>
          <w:rFonts w:ascii="Times New Roman" w:hAnsi="Times New Roman"/>
          <w:sz w:val="24"/>
          <w:szCs w:val="24"/>
        </w:rPr>
        <w:t xml:space="preserve"> Macdonald et al.</w:t>
      </w:r>
      <w:r w:rsidR="00222A99">
        <w:rPr>
          <w:rFonts w:ascii="Times New Roman" w:hAnsi="Times New Roman"/>
          <w:sz w:val="24"/>
          <w:szCs w:val="24"/>
        </w:rPr>
        <w:t>, 2007;</w:t>
      </w:r>
      <w:r w:rsidR="00826A32">
        <w:rPr>
          <w:rFonts w:ascii="Times New Roman" w:hAnsi="Times New Roman"/>
          <w:sz w:val="24"/>
          <w:szCs w:val="24"/>
        </w:rPr>
        <w:t xml:space="preserve"> Green </w:t>
      </w:r>
      <w:r w:rsidR="00222A99">
        <w:rPr>
          <w:rFonts w:ascii="Times New Roman" w:hAnsi="Times New Roman"/>
          <w:sz w:val="24"/>
          <w:szCs w:val="24"/>
        </w:rPr>
        <w:t>and</w:t>
      </w:r>
      <w:r w:rsidR="00826A32">
        <w:rPr>
          <w:rFonts w:ascii="Times New Roman" w:hAnsi="Times New Roman"/>
          <w:sz w:val="24"/>
          <w:szCs w:val="24"/>
        </w:rPr>
        <w:t xml:space="preserve"> Barnes</w:t>
      </w:r>
      <w:r w:rsidR="00222A99">
        <w:rPr>
          <w:rFonts w:ascii="Times New Roman" w:hAnsi="Times New Roman"/>
          <w:sz w:val="24"/>
          <w:szCs w:val="24"/>
        </w:rPr>
        <w:t>,</w:t>
      </w:r>
      <w:r w:rsidR="00826A32">
        <w:rPr>
          <w:rFonts w:ascii="Times New Roman" w:hAnsi="Times New Roman"/>
          <w:sz w:val="24"/>
          <w:szCs w:val="24"/>
        </w:rPr>
        <w:t xml:space="preserve"> 2010)</w:t>
      </w:r>
      <w:r w:rsidR="00826A32" w:rsidRPr="00587D94">
        <w:rPr>
          <w:rFonts w:ascii="Times New Roman" w:hAnsi="Times New Roman"/>
          <w:sz w:val="24"/>
          <w:szCs w:val="24"/>
        </w:rPr>
        <w:t xml:space="preserve">. </w:t>
      </w:r>
      <w:r w:rsidR="00024039">
        <w:rPr>
          <w:rFonts w:ascii="Times New Roman" w:hAnsi="Times New Roman"/>
          <w:sz w:val="24"/>
          <w:szCs w:val="24"/>
        </w:rPr>
        <w:t>S</w:t>
      </w:r>
      <w:r w:rsidR="00826A32" w:rsidRPr="00587D94">
        <w:rPr>
          <w:rFonts w:ascii="Times New Roman" w:hAnsi="Times New Roman"/>
          <w:sz w:val="24"/>
          <w:szCs w:val="24"/>
        </w:rPr>
        <w:t>tr</w:t>
      </w:r>
      <w:r w:rsidR="00D74C3B">
        <w:rPr>
          <w:rFonts w:ascii="Times New Roman" w:hAnsi="Times New Roman"/>
          <w:sz w:val="24"/>
          <w:szCs w:val="24"/>
        </w:rPr>
        <w:t xml:space="preserve">ongly </w:t>
      </w:r>
      <w:r w:rsidR="00024039">
        <w:rPr>
          <w:rFonts w:ascii="Times New Roman" w:hAnsi="Times New Roman"/>
          <w:sz w:val="24"/>
          <w:szCs w:val="24"/>
        </w:rPr>
        <w:t xml:space="preserve">geologically originated </w:t>
      </w:r>
      <w:r w:rsidR="00A42876">
        <w:rPr>
          <w:rFonts w:ascii="Times New Roman" w:hAnsi="Times New Roman"/>
          <w:sz w:val="24"/>
          <w:szCs w:val="24"/>
        </w:rPr>
        <w:t>ASS</w:t>
      </w:r>
      <w:r w:rsidR="00D74C3B">
        <w:rPr>
          <w:rFonts w:ascii="Times New Roman" w:hAnsi="Times New Roman"/>
          <w:sz w:val="24"/>
          <w:szCs w:val="24"/>
        </w:rPr>
        <w:t xml:space="preserve"> </w:t>
      </w:r>
      <w:r w:rsidR="00024039">
        <w:rPr>
          <w:rFonts w:ascii="Times New Roman" w:hAnsi="Times New Roman"/>
          <w:sz w:val="24"/>
          <w:szCs w:val="24"/>
        </w:rPr>
        <w:t xml:space="preserve">are found in the </w:t>
      </w:r>
      <w:r w:rsidR="00826A32" w:rsidRPr="00587D94">
        <w:rPr>
          <w:rFonts w:ascii="Times New Roman" w:hAnsi="Times New Roman"/>
          <w:sz w:val="24"/>
          <w:szCs w:val="24"/>
        </w:rPr>
        <w:t xml:space="preserve">vicinity of </w:t>
      </w:r>
      <w:r>
        <w:rPr>
          <w:rFonts w:ascii="Times New Roman" w:hAnsi="Times New Roman"/>
          <w:sz w:val="24"/>
          <w:szCs w:val="24"/>
        </w:rPr>
        <w:t xml:space="preserve">the </w:t>
      </w:r>
      <w:r w:rsidR="005E01B9">
        <w:rPr>
          <w:rFonts w:ascii="Times New Roman" w:hAnsi="Times New Roman"/>
          <w:sz w:val="24"/>
          <w:szCs w:val="24"/>
        </w:rPr>
        <w:t>Sungai</w:t>
      </w:r>
      <w:r w:rsidR="00D74C3B">
        <w:rPr>
          <w:rFonts w:ascii="Times New Roman" w:hAnsi="Times New Roman"/>
          <w:sz w:val="24"/>
          <w:szCs w:val="24"/>
        </w:rPr>
        <w:t xml:space="preserve"> </w:t>
      </w:r>
      <w:r w:rsidR="00222A99">
        <w:rPr>
          <w:rFonts w:ascii="Times New Roman" w:hAnsi="Times New Roman"/>
          <w:sz w:val="24"/>
          <w:szCs w:val="24"/>
        </w:rPr>
        <w:t>Brunei estuary (Grealish and</w:t>
      </w:r>
      <w:r w:rsidR="00826A32" w:rsidRPr="00587D94">
        <w:rPr>
          <w:rFonts w:ascii="Times New Roman" w:hAnsi="Times New Roman"/>
          <w:sz w:val="24"/>
          <w:szCs w:val="24"/>
        </w:rPr>
        <w:t xml:space="preserve"> Fitzpatrick</w:t>
      </w:r>
      <w:r w:rsidR="00222A99">
        <w:rPr>
          <w:rFonts w:ascii="Times New Roman" w:hAnsi="Times New Roman"/>
          <w:sz w:val="24"/>
          <w:szCs w:val="24"/>
        </w:rPr>
        <w:t>, 2013;</w:t>
      </w:r>
      <w:r w:rsidR="00826A32" w:rsidRPr="00587D94">
        <w:rPr>
          <w:rFonts w:ascii="Times New Roman" w:hAnsi="Times New Roman"/>
          <w:sz w:val="24"/>
          <w:szCs w:val="24"/>
        </w:rPr>
        <w:t xml:space="preserve"> Bolhuis et al.</w:t>
      </w:r>
      <w:r w:rsidR="00222A99">
        <w:rPr>
          <w:rFonts w:ascii="Times New Roman" w:hAnsi="Times New Roman"/>
          <w:sz w:val="24"/>
          <w:szCs w:val="24"/>
        </w:rPr>
        <w:t>,</w:t>
      </w:r>
      <w:r w:rsidR="00826A32" w:rsidRPr="00587D94">
        <w:rPr>
          <w:rFonts w:ascii="Times New Roman" w:hAnsi="Times New Roman"/>
          <w:sz w:val="24"/>
          <w:szCs w:val="24"/>
        </w:rPr>
        <w:t xml:space="preserve"> 2014) and the risk </w:t>
      </w:r>
      <w:r w:rsidR="00024039">
        <w:rPr>
          <w:rFonts w:ascii="Times New Roman" w:hAnsi="Times New Roman"/>
          <w:sz w:val="24"/>
          <w:szCs w:val="24"/>
        </w:rPr>
        <w:t xml:space="preserve">of these becoming increasingly damaging to the environment </w:t>
      </w:r>
      <w:r w:rsidR="00D74C3B">
        <w:rPr>
          <w:rFonts w:ascii="Times New Roman" w:hAnsi="Times New Roman"/>
          <w:sz w:val="24"/>
          <w:szCs w:val="24"/>
        </w:rPr>
        <w:t>depends greatly on</w:t>
      </w:r>
      <w:r w:rsidR="00826A32" w:rsidRPr="00587D94">
        <w:rPr>
          <w:rFonts w:ascii="Times New Roman" w:hAnsi="Times New Roman"/>
          <w:sz w:val="24"/>
          <w:szCs w:val="24"/>
        </w:rPr>
        <w:t xml:space="preserve"> local management</w:t>
      </w:r>
      <w:r w:rsidR="00024039">
        <w:rPr>
          <w:rFonts w:ascii="Times New Roman" w:hAnsi="Times New Roman"/>
          <w:sz w:val="24"/>
          <w:szCs w:val="24"/>
        </w:rPr>
        <w:t xml:space="preserve"> and land</w:t>
      </w:r>
      <w:r>
        <w:rPr>
          <w:rFonts w:ascii="Times New Roman" w:hAnsi="Times New Roman"/>
          <w:sz w:val="24"/>
          <w:szCs w:val="24"/>
        </w:rPr>
        <w:t xml:space="preserve"> use practices</w:t>
      </w:r>
      <w:r w:rsidR="00826A32" w:rsidRPr="00587D94">
        <w:rPr>
          <w:rFonts w:ascii="Times New Roman" w:hAnsi="Times New Roman"/>
          <w:sz w:val="24"/>
          <w:szCs w:val="24"/>
        </w:rPr>
        <w:t>. Appropriate management practices are not always well unde</w:t>
      </w:r>
      <w:r w:rsidR="00D74C3B">
        <w:rPr>
          <w:rFonts w:ascii="Times New Roman" w:hAnsi="Times New Roman"/>
          <w:sz w:val="24"/>
          <w:szCs w:val="24"/>
        </w:rPr>
        <w:t>rstood and it is highly probable</w:t>
      </w:r>
      <w:r w:rsidR="00826A32" w:rsidRPr="00587D94">
        <w:rPr>
          <w:rFonts w:ascii="Times New Roman" w:hAnsi="Times New Roman"/>
          <w:sz w:val="24"/>
          <w:szCs w:val="24"/>
        </w:rPr>
        <w:t xml:space="preserve"> that intense leaching during the wet seasons causes a </w:t>
      </w:r>
      <w:r w:rsidR="00D74C3B">
        <w:rPr>
          <w:rFonts w:ascii="Times New Roman" w:hAnsi="Times New Roman"/>
          <w:sz w:val="24"/>
          <w:szCs w:val="24"/>
        </w:rPr>
        <w:t>serious threat to</w:t>
      </w:r>
      <w:r w:rsidR="00826A32" w:rsidRPr="00587D94">
        <w:rPr>
          <w:rFonts w:ascii="Times New Roman" w:hAnsi="Times New Roman"/>
          <w:sz w:val="24"/>
          <w:szCs w:val="24"/>
        </w:rPr>
        <w:t xml:space="preserve"> water quali</w:t>
      </w:r>
      <w:r w:rsidR="00222A99">
        <w:rPr>
          <w:rFonts w:ascii="Times New Roman" w:hAnsi="Times New Roman"/>
          <w:sz w:val="24"/>
          <w:szCs w:val="24"/>
        </w:rPr>
        <w:t>ty and aquatic life (e.g. Dent and</w:t>
      </w:r>
      <w:r w:rsidR="00826A32" w:rsidRPr="00587D94">
        <w:rPr>
          <w:rFonts w:ascii="Times New Roman" w:hAnsi="Times New Roman"/>
          <w:sz w:val="24"/>
          <w:szCs w:val="24"/>
        </w:rPr>
        <w:t xml:space="preserve"> Pons</w:t>
      </w:r>
      <w:r w:rsidR="00222A99">
        <w:rPr>
          <w:rFonts w:ascii="Times New Roman" w:hAnsi="Times New Roman"/>
          <w:sz w:val="24"/>
          <w:szCs w:val="24"/>
        </w:rPr>
        <w:t>, 1995;</w:t>
      </w:r>
      <w:r w:rsidR="00826A32" w:rsidRPr="00587D94">
        <w:rPr>
          <w:rFonts w:ascii="Times New Roman" w:hAnsi="Times New Roman"/>
          <w:sz w:val="24"/>
          <w:szCs w:val="24"/>
        </w:rPr>
        <w:t xml:space="preserve"> Sammut et al.</w:t>
      </w:r>
      <w:r w:rsidR="00222A99">
        <w:rPr>
          <w:rFonts w:ascii="Times New Roman" w:hAnsi="Times New Roman"/>
          <w:sz w:val="24"/>
          <w:szCs w:val="24"/>
        </w:rPr>
        <w:t>,</w:t>
      </w:r>
      <w:r w:rsidR="00D74C3B">
        <w:rPr>
          <w:rFonts w:ascii="Times New Roman" w:hAnsi="Times New Roman"/>
          <w:sz w:val="24"/>
          <w:szCs w:val="24"/>
        </w:rPr>
        <w:t xml:space="preserve"> 1995). </w:t>
      </w:r>
      <w:r w:rsidR="00826A32" w:rsidRPr="00587D94">
        <w:rPr>
          <w:rFonts w:ascii="Times New Roman" w:hAnsi="Times New Roman"/>
          <w:sz w:val="24"/>
          <w:szCs w:val="24"/>
        </w:rPr>
        <w:t xml:space="preserve">Adam et al. (2011) </w:t>
      </w:r>
      <w:r w:rsidR="00D74C3B">
        <w:rPr>
          <w:rFonts w:ascii="Times New Roman" w:hAnsi="Times New Roman"/>
          <w:sz w:val="24"/>
          <w:szCs w:val="24"/>
        </w:rPr>
        <w:t>working in eastern Malaysia and</w:t>
      </w:r>
      <w:r w:rsidR="00826A32" w:rsidRPr="00587D94">
        <w:rPr>
          <w:rFonts w:ascii="Times New Roman" w:hAnsi="Times New Roman"/>
          <w:sz w:val="24"/>
          <w:szCs w:val="24"/>
        </w:rPr>
        <w:t xml:space="preserve"> Tan et al. (2006) in </w:t>
      </w:r>
      <w:r w:rsidR="00D74C3B">
        <w:rPr>
          <w:rFonts w:ascii="Times New Roman" w:hAnsi="Times New Roman"/>
          <w:sz w:val="24"/>
          <w:szCs w:val="24"/>
        </w:rPr>
        <w:t xml:space="preserve">the </w:t>
      </w:r>
      <w:r w:rsidR="00826A32" w:rsidRPr="00587D94">
        <w:rPr>
          <w:rFonts w:ascii="Times New Roman" w:hAnsi="Times New Roman"/>
          <w:sz w:val="24"/>
          <w:szCs w:val="24"/>
        </w:rPr>
        <w:t xml:space="preserve">eastern Malacca Straits reported that intense phytoplankton blooms were observed mainly during </w:t>
      </w:r>
      <w:r w:rsidR="00F90433">
        <w:rPr>
          <w:rFonts w:ascii="Times New Roman" w:hAnsi="Times New Roman"/>
          <w:sz w:val="24"/>
          <w:szCs w:val="24"/>
        </w:rPr>
        <w:t xml:space="preserve">the </w:t>
      </w:r>
      <w:r w:rsidR="00826A32" w:rsidRPr="00587D94">
        <w:rPr>
          <w:rFonts w:ascii="Times New Roman" w:hAnsi="Times New Roman"/>
          <w:sz w:val="24"/>
          <w:szCs w:val="24"/>
        </w:rPr>
        <w:t>NEM. The monsoon influence was asso</w:t>
      </w:r>
      <w:r w:rsidR="00F90433">
        <w:rPr>
          <w:rFonts w:ascii="Times New Roman" w:hAnsi="Times New Roman"/>
          <w:sz w:val="24"/>
          <w:szCs w:val="24"/>
        </w:rPr>
        <w:t>ciated with strong north-east winds responsible for</w:t>
      </w:r>
      <w:r w:rsidR="00826A32" w:rsidRPr="00587D94">
        <w:rPr>
          <w:rFonts w:ascii="Times New Roman" w:hAnsi="Times New Roman"/>
          <w:sz w:val="24"/>
          <w:szCs w:val="24"/>
        </w:rPr>
        <w:t xml:space="preserve"> extensive mixing of </w:t>
      </w:r>
      <w:r w:rsidR="00F90433">
        <w:rPr>
          <w:rFonts w:ascii="Times New Roman" w:hAnsi="Times New Roman"/>
          <w:sz w:val="24"/>
          <w:szCs w:val="24"/>
        </w:rPr>
        <w:t xml:space="preserve">the </w:t>
      </w:r>
      <w:r w:rsidR="00826A32" w:rsidRPr="00587D94">
        <w:rPr>
          <w:rFonts w:ascii="Times New Roman" w:hAnsi="Times New Roman"/>
          <w:sz w:val="24"/>
          <w:szCs w:val="24"/>
        </w:rPr>
        <w:t>water column. These studies, however, were focused on marine habitats</w:t>
      </w:r>
      <w:r w:rsidR="00F90433">
        <w:rPr>
          <w:rFonts w:ascii="Times New Roman" w:hAnsi="Times New Roman"/>
          <w:sz w:val="24"/>
          <w:szCs w:val="24"/>
        </w:rPr>
        <w:t xml:space="preserve"> that are only minimally</w:t>
      </w:r>
      <w:r w:rsidR="00826A32" w:rsidRPr="00587D94">
        <w:rPr>
          <w:rFonts w:ascii="Times New Roman" w:hAnsi="Times New Roman"/>
          <w:sz w:val="24"/>
          <w:szCs w:val="24"/>
        </w:rPr>
        <w:t xml:space="preserve"> inf</w:t>
      </w:r>
      <w:r w:rsidR="00F90433">
        <w:rPr>
          <w:rFonts w:ascii="Times New Roman" w:hAnsi="Times New Roman"/>
          <w:sz w:val="24"/>
          <w:szCs w:val="24"/>
        </w:rPr>
        <w:t>luenced by freshwater and it is unclear how applicable their findings are to the estuarine environment.</w:t>
      </w:r>
    </w:p>
    <w:p w:rsidR="00826A32" w:rsidRPr="00587D94" w:rsidRDefault="00F90433" w:rsidP="005F4E3F">
      <w:pPr>
        <w:spacing w:after="160" w:line="480" w:lineRule="auto"/>
        <w:ind w:firstLine="720"/>
        <w:jc w:val="both"/>
        <w:rPr>
          <w:rFonts w:ascii="Times New Roman" w:hAnsi="Times New Roman"/>
          <w:sz w:val="24"/>
          <w:szCs w:val="24"/>
        </w:rPr>
      </w:pPr>
      <w:r>
        <w:rPr>
          <w:rFonts w:ascii="Times New Roman" w:hAnsi="Times New Roman"/>
          <w:sz w:val="24"/>
          <w:szCs w:val="24"/>
        </w:rPr>
        <w:t>S</w:t>
      </w:r>
      <w:r w:rsidR="00826A32" w:rsidRPr="00587D94">
        <w:rPr>
          <w:rFonts w:ascii="Times New Roman" w:hAnsi="Times New Roman"/>
          <w:sz w:val="24"/>
          <w:szCs w:val="24"/>
        </w:rPr>
        <w:t>ampling season, site</w:t>
      </w:r>
      <w:r>
        <w:rPr>
          <w:rFonts w:ascii="Times New Roman" w:hAnsi="Times New Roman"/>
          <w:sz w:val="24"/>
          <w:szCs w:val="24"/>
        </w:rPr>
        <w:t>, and water pH explained ca. 60</w:t>
      </w:r>
      <w:r w:rsidR="00826A32" w:rsidRPr="00587D94">
        <w:rPr>
          <w:rFonts w:ascii="Times New Roman" w:hAnsi="Times New Roman"/>
          <w:sz w:val="24"/>
          <w:szCs w:val="24"/>
        </w:rPr>
        <w:t>% of the observed variation in the phytoplankton data</w:t>
      </w:r>
      <w:r>
        <w:rPr>
          <w:rFonts w:ascii="Times New Roman" w:hAnsi="Times New Roman"/>
          <w:sz w:val="24"/>
          <w:szCs w:val="24"/>
        </w:rPr>
        <w:t xml:space="preserve"> obtained. However</w:t>
      </w:r>
      <w:r w:rsidR="00826A32" w:rsidRPr="00587D94">
        <w:rPr>
          <w:rFonts w:ascii="Times New Roman" w:hAnsi="Times New Roman"/>
          <w:sz w:val="24"/>
          <w:szCs w:val="24"/>
        </w:rPr>
        <w:t xml:space="preserve">, we </w:t>
      </w:r>
      <w:r>
        <w:rPr>
          <w:rFonts w:ascii="Times New Roman" w:hAnsi="Times New Roman"/>
          <w:sz w:val="24"/>
          <w:szCs w:val="24"/>
        </w:rPr>
        <w:t>recognise</w:t>
      </w:r>
      <w:r w:rsidR="00826A32" w:rsidRPr="00587D94">
        <w:rPr>
          <w:rFonts w:ascii="Times New Roman" w:hAnsi="Times New Roman"/>
          <w:sz w:val="24"/>
          <w:szCs w:val="24"/>
        </w:rPr>
        <w:t xml:space="preserve"> that variables not included in the</w:t>
      </w:r>
      <w:r>
        <w:rPr>
          <w:rFonts w:ascii="Times New Roman" w:hAnsi="Times New Roman"/>
          <w:sz w:val="24"/>
          <w:szCs w:val="24"/>
        </w:rPr>
        <w:t>se</w:t>
      </w:r>
      <w:r w:rsidR="00826A32" w:rsidRPr="00587D94">
        <w:rPr>
          <w:rFonts w:ascii="Times New Roman" w:hAnsi="Times New Roman"/>
          <w:sz w:val="24"/>
          <w:szCs w:val="24"/>
        </w:rPr>
        <w:t xml:space="preserve"> analyses might also </w:t>
      </w:r>
      <w:r w:rsidR="00FF1C07">
        <w:rPr>
          <w:rFonts w:ascii="Times New Roman" w:hAnsi="Times New Roman"/>
          <w:sz w:val="24"/>
          <w:szCs w:val="24"/>
        </w:rPr>
        <w:t xml:space="preserve">significantly </w:t>
      </w:r>
      <w:r w:rsidR="00826A32" w:rsidRPr="00587D94">
        <w:rPr>
          <w:rFonts w:ascii="Times New Roman" w:hAnsi="Times New Roman"/>
          <w:sz w:val="24"/>
          <w:szCs w:val="24"/>
        </w:rPr>
        <w:t xml:space="preserve">affect the communities. This may be inferred from the low eigenvalue of the second axis of </w:t>
      </w:r>
      <w:r>
        <w:rPr>
          <w:rFonts w:ascii="Times New Roman" w:hAnsi="Times New Roman"/>
          <w:sz w:val="24"/>
          <w:szCs w:val="24"/>
        </w:rPr>
        <w:t xml:space="preserve">the </w:t>
      </w:r>
      <w:r w:rsidR="00826A32" w:rsidRPr="00587D94">
        <w:rPr>
          <w:rFonts w:ascii="Times New Roman" w:hAnsi="Times New Roman"/>
          <w:sz w:val="24"/>
          <w:szCs w:val="24"/>
        </w:rPr>
        <w:t>RDA, which was weakly correlated with the selected environmental variables. For instance, high nutrient concentrations often found in the upper part of the estuary</w:t>
      </w:r>
      <w:r w:rsidR="00FF1C07">
        <w:rPr>
          <w:rFonts w:ascii="Times New Roman" w:hAnsi="Times New Roman"/>
          <w:sz w:val="24"/>
          <w:szCs w:val="24"/>
        </w:rPr>
        <w:t xml:space="preserve"> </w:t>
      </w:r>
      <w:r w:rsidR="00FF1C07" w:rsidRPr="00587D94">
        <w:rPr>
          <w:rFonts w:ascii="Times New Roman" w:hAnsi="Times New Roman"/>
          <w:sz w:val="24"/>
          <w:szCs w:val="24"/>
        </w:rPr>
        <w:lastRenderedPageBreak/>
        <w:t>(</w:t>
      </w:r>
      <w:r w:rsidR="00FF1C07" w:rsidRPr="008B69F3">
        <w:rPr>
          <w:rFonts w:ascii="Times New Roman" w:hAnsi="Times New Roman"/>
          <w:sz w:val="24"/>
          <w:szCs w:val="24"/>
        </w:rPr>
        <w:t>Pintu Malin - Sungai Kedayang</w:t>
      </w:r>
      <w:r w:rsidR="00FF1C07" w:rsidRPr="00587D94">
        <w:rPr>
          <w:rFonts w:ascii="Times New Roman" w:hAnsi="Times New Roman"/>
          <w:sz w:val="24"/>
          <w:szCs w:val="24"/>
        </w:rPr>
        <w:t xml:space="preserve">), might </w:t>
      </w:r>
      <w:r w:rsidR="00FF1C07">
        <w:rPr>
          <w:rFonts w:ascii="Times New Roman" w:hAnsi="Times New Roman"/>
          <w:sz w:val="24"/>
          <w:szCs w:val="24"/>
        </w:rPr>
        <w:t>counter</w:t>
      </w:r>
      <w:r w:rsidR="00FF1C07" w:rsidRPr="00587D94">
        <w:rPr>
          <w:rFonts w:ascii="Times New Roman" w:hAnsi="Times New Roman"/>
          <w:sz w:val="24"/>
          <w:szCs w:val="24"/>
        </w:rPr>
        <w:t xml:space="preserve"> the negative effect of low pH (Jalal et al.</w:t>
      </w:r>
      <w:r w:rsidR="00FF1C07">
        <w:rPr>
          <w:rFonts w:ascii="Times New Roman" w:hAnsi="Times New Roman"/>
          <w:sz w:val="24"/>
          <w:szCs w:val="24"/>
        </w:rPr>
        <w:t>,</w:t>
      </w:r>
      <w:r w:rsidR="00FF1C07" w:rsidRPr="00587D94">
        <w:rPr>
          <w:rFonts w:ascii="Times New Roman" w:hAnsi="Times New Roman"/>
          <w:sz w:val="24"/>
          <w:szCs w:val="24"/>
        </w:rPr>
        <w:t xml:space="preserve"> 2011). </w:t>
      </w:r>
      <w:r w:rsidR="00826A32" w:rsidRPr="00587D94">
        <w:rPr>
          <w:rFonts w:ascii="Times New Roman" w:hAnsi="Times New Roman"/>
          <w:sz w:val="24"/>
          <w:szCs w:val="24"/>
        </w:rPr>
        <w:t xml:space="preserve"> </w:t>
      </w:r>
      <w:r w:rsidR="003A0CD4">
        <w:rPr>
          <w:rFonts w:ascii="Times New Roman" w:hAnsi="Times New Roman"/>
          <w:sz w:val="24"/>
          <w:szCs w:val="24"/>
        </w:rPr>
        <w:t xml:space="preserve">In this region, </w:t>
      </w:r>
      <w:r w:rsidR="00FF1C07">
        <w:rPr>
          <w:rFonts w:ascii="Times New Roman" w:hAnsi="Times New Roman"/>
          <w:sz w:val="24"/>
          <w:szCs w:val="24"/>
        </w:rPr>
        <w:t xml:space="preserve">nutrient levels </w:t>
      </w:r>
      <w:r w:rsidR="00445CA6">
        <w:rPr>
          <w:rFonts w:ascii="Times New Roman" w:hAnsi="Times New Roman"/>
          <w:sz w:val="24"/>
          <w:szCs w:val="24"/>
        </w:rPr>
        <w:t xml:space="preserve">are likelyto </w:t>
      </w:r>
      <w:r w:rsidR="003A0CD4">
        <w:rPr>
          <w:rFonts w:ascii="Times New Roman" w:hAnsi="Times New Roman"/>
          <w:sz w:val="24"/>
          <w:szCs w:val="24"/>
        </w:rPr>
        <w:t>be e</w:t>
      </w:r>
      <w:r w:rsidR="00FF1C07">
        <w:rPr>
          <w:rFonts w:ascii="Times New Roman" w:hAnsi="Times New Roman"/>
          <w:sz w:val="24"/>
          <w:szCs w:val="24"/>
        </w:rPr>
        <w:t xml:space="preserve">levated through sewage treatment activities at </w:t>
      </w:r>
      <w:r w:rsidR="00FF1C07" w:rsidRPr="008B69F3">
        <w:rPr>
          <w:rFonts w:ascii="Times New Roman" w:hAnsi="Times New Roman"/>
          <w:sz w:val="24"/>
          <w:szCs w:val="24"/>
        </w:rPr>
        <w:t>Pintu Malim</w:t>
      </w:r>
      <w:r w:rsidR="00FF1C07">
        <w:rPr>
          <w:rFonts w:ascii="Times New Roman" w:hAnsi="Times New Roman"/>
          <w:sz w:val="24"/>
          <w:szCs w:val="24"/>
        </w:rPr>
        <w:t>, release of organic material</w:t>
      </w:r>
      <w:r w:rsidR="003A0CD4">
        <w:rPr>
          <w:rFonts w:ascii="Times New Roman" w:hAnsi="Times New Roman"/>
          <w:sz w:val="24"/>
          <w:szCs w:val="24"/>
        </w:rPr>
        <w:t>s</w:t>
      </w:r>
      <w:r w:rsidR="00FF1C07">
        <w:rPr>
          <w:rFonts w:ascii="Times New Roman" w:hAnsi="Times New Roman"/>
          <w:sz w:val="24"/>
          <w:szCs w:val="24"/>
        </w:rPr>
        <w:t xml:space="preserve"> from Kampong Ayer, small-scale </w:t>
      </w:r>
      <w:r>
        <w:rPr>
          <w:rFonts w:ascii="Times New Roman" w:hAnsi="Times New Roman"/>
          <w:sz w:val="24"/>
          <w:szCs w:val="24"/>
        </w:rPr>
        <w:t>aquaculture facilities</w:t>
      </w:r>
      <w:r w:rsidR="00FF1C07">
        <w:rPr>
          <w:rFonts w:ascii="Times New Roman" w:hAnsi="Times New Roman"/>
          <w:sz w:val="24"/>
          <w:szCs w:val="24"/>
        </w:rPr>
        <w:t>,</w:t>
      </w:r>
      <w:r w:rsidR="00826A32" w:rsidRPr="00587D94">
        <w:rPr>
          <w:rFonts w:ascii="Times New Roman" w:hAnsi="Times New Roman"/>
          <w:sz w:val="24"/>
          <w:szCs w:val="24"/>
        </w:rPr>
        <w:t xml:space="preserve"> and </w:t>
      </w:r>
      <w:r w:rsidR="00FF1C07">
        <w:rPr>
          <w:rFonts w:ascii="Times New Roman" w:hAnsi="Times New Roman"/>
          <w:sz w:val="24"/>
          <w:szCs w:val="24"/>
        </w:rPr>
        <w:t xml:space="preserve">the effect of </w:t>
      </w:r>
      <w:r w:rsidR="00FF1C07" w:rsidRPr="008B69F3">
        <w:rPr>
          <w:rFonts w:ascii="Times New Roman" w:hAnsi="Times New Roman"/>
          <w:sz w:val="24"/>
          <w:szCs w:val="24"/>
        </w:rPr>
        <w:t>Sungai Kedayang</w:t>
      </w:r>
      <w:r w:rsidR="003A0CD4">
        <w:rPr>
          <w:rFonts w:ascii="Times New Roman" w:hAnsi="Times New Roman"/>
          <w:sz w:val="24"/>
          <w:szCs w:val="24"/>
        </w:rPr>
        <w:t xml:space="preserve"> inflow, </w:t>
      </w:r>
      <w:r w:rsidR="00FF1C07">
        <w:rPr>
          <w:rFonts w:ascii="Times New Roman" w:hAnsi="Times New Roman"/>
          <w:sz w:val="24"/>
          <w:szCs w:val="24"/>
        </w:rPr>
        <w:t xml:space="preserve">which carries water from </w:t>
      </w:r>
      <w:r w:rsidR="003A0CD4">
        <w:rPr>
          <w:rFonts w:ascii="Times New Roman" w:hAnsi="Times New Roman"/>
          <w:sz w:val="24"/>
          <w:szCs w:val="24"/>
        </w:rPr>
        <w:t>a</w:t>
      </w:r>
      <w:r w:rsidR="00FF1C07">
        <w:rPr>
          <w:rFonts w:ascii="Times New Roman" w:hAnsi="Times New Roman"/>
          <w:sz w:val="24"/>
          <w:szCs w:val="24"/>
        </w:rPr>
        <w:t xml:space="preserve"> </w:t>
      </w:r>
      <w:r w:rsidR="003A0CD4">
        <w:rPr>
          <w:rFonts w:ascii="Times New Roman" w:hAnsi="Times New Roman"/>
          <w:sz w:val="24"/>
          <w:szCs w:val="24"/>
        </w:rPr>
        <w:t xml:space="preserve">vast </w:t>
      </w:r>
      <w:r w:rsidR="00826A32" w:rsidRPr="00587D94">
        <w:rPr>
          <w:rFonts w:ascii="Times New Roman" w:hAnsi="Times New Roman"/>
          <w:sz w:val="24"/>
          <w:szCs w:val="24"/>
        </w:rPr>
        <w:t>urbanized area</w:t>
      </w:r>
      <w:r w:rsidR="003A0CD4">
        <w:rPr>
          <w:rFonts w:ascii="Times New Roman" w:hAnsi="Times New Roman"/>
          <w:sz w:val="24"/>
          <w:szCs w:val="24"/>
        </w:rPr>
        <w:t xml:space="preserve">. </w:t>
      </w:r>
      <w:r w:rsidR="00826A32" w:rsidRPr="00587D94">
        <w:rPr>
          <w:rFonts w:ascii="Times New Roman" w:hAnsi="Times New Roman"/>
          <w:sz w:val="24"/>
          <w:szCs w:val="24"/>
        </w:rPr>
        <w:t>Amongst oth</w:t>
      </w:r>
      <w:r>
        <w:rPr>
          <w:rFonts w:ascii="Times New Roman" w:hAnsi="Times New Roman"/>
          <w:sz w:val="24"/>
          <w:szCs w:val="24"/>
        </w:rPr>
        <w:t>er potentially important influences</w:t>
      </w:r>
      <w:r w:rsidR="00826A32" w:rsidRPr="00587D94">
        <w:rPr>
          <w:rFonts w:ascii="Times New Roman" w:hAnsi="Times New Roman"/>
          <w:sz w:val="24"/>
          <w:szCs w:val="24"/>
        </w:rPr>
        <w:t xml:space="preserve">, grazing and other biological factors (e.g. parasitism) </w:t>
      </w:r>
      <w:r>
        <w:rPr>
          <w:rFonts w:ascii="Times New Roman" w:hAnsi="Times New Roman"/>
          <w:sz w:val="24"/>
          <w:szCs w:val="24"/>
        </w:rPr>
        <w:t xml:space="preserve">have been suggested to play an important </w:t>
      </w:r>
      <w:r w:rsidR="00826A32" w:rsidRPr="00587D94">
        <w:rPr>
          <w:rFonts w:ascii="Times New Roman" w:hAnsi="Times New Roman"/>
          <w:sz w:val="24"/>
          <w:szCs w:val="24"/>
        </w:rPr>
        <w:t>role in phytoplankton dynamics (Canter and Lund</w:t>
      </w:r>
      <w:r w:rsidR="00222A99">
        <w:rPr>
          <w:rFonts w:ascii="Times New Roman" w:hAnsi="Times New Roman"/>
          <w:sz w:val="24"/>
          <w:szCs w:val="24"/>
        </w:rPr>
        <w:t>, 1953;</w:t>
      </w:r>
      <w:r w:rsidR="00826A32" w:rsidRPr="00587D94">
        <w:rPr>
          <w:rFonts w:ascii="Times New Roman" w:hAnsi="Times New Roman"/>
          <w:sz w:val="24"/>
          <w:szCs w:val="24"/>
        </w:rPr>
        <w:t xml:space="preserve"> Muylaert and Sabbe</w:t>
      </w:r>
      <w:r w:rsidR="00222A99">
        <w:rPr>
          <w:rFonts w:ascii="Times New Roman" w:hAnsi="Times New Roman"/>
          <w:sz w:val="24"/>
          <w:szCs w:val="24"/>
        </w:rPr>
        <w:t>,</w:t>
      </w:r>
      <w:r w:rsidR="00826A32" w:rsidRPr="00587D94">
        <w:rPr>
          <w:rFonts w:ascii="Times New Roman" w:hAnsi="Times New Roman"/>
          <w:sz w:val="24"/>
          <w:szCs w:val="24"/>
        </w:rPr>
        <w:t xml:space="preserve"> 1999).</w:t>
      </w:r>
    </w:p>
    <w:p w:rsidR="00826A32" w:rsidRDefault="00826A32" w:rsidP="00826A32">
      <w:pPr>
        <w:spacing w:after="160" w:line="480" w:lineRule="auto"/>
        <w:jc w:val="both"/>
        <w:rPr>
          <w:rFonts w:ascii="Times New Roman" w:hAnsi="Times New Roman"/>
          <w:sz w:val="24"/>
          <w:szCs w:val="24"/>
        </w:rPr>
      </w:pPr>
      <w:r w:rsidRPr="00587D94">
        <w:rPr>
          <w:rFonts w:ascii="Times New Roman" w:hAnsi="Times New Roman"/>
          <w:sz w:val="24"/>
          <w:szCs w:val="24"/>
        </w:rPr>
        <w:tab/>
      </w:r>
      <w:r w:rsidR="003A0CD4" w:rsidRPr="008B69F3">
        <w:rPr>
          <w:rFonts w:ascii="Times New Roman" w:hAnsi="Times New Roman"/>
          <w:sz w:val="24"/>
          <w:szCs w:val="24"/>
        </w:rPr>
        <w:t xml:space="preserve">Although </w:t>
      </w:r>
      <w:r w:rsidR="00D52A58" w:rsidRPr="008B69F3">
        <w:rPr>
          <w:rFonts w:ascii="Times New Roman" w:hAnsi="Times New Roman"/>
          <w:sz w:val="24"/>
          <w:szCs w:val="24"/>
        </w:rPr>
        <w:t xml:space="preserve">the </w:t>
      </w:r>
      <w:r w:rsidR="003A0CD4" w:rsidRPr="008B69F3">
        <w:rPr>
          <w:rFonts w:ascii="Times New Roman" w:hAnsi="Times New Roman"/>
          <w:sz w:val="24"/>
          <w:szCs w:val="24"/>
        </w:rPr>
        <w:t xml:space="preserve">acute temporal variability in acidification </w:t>
      </w:r>
      <w:r w:rsidR="00D52A58" w:rsidRPr="008B69F3">
        <w:rPr>
          <w:rFonts w:ascii="Times New Roman" w:hAnsi="Times New Roman"/>
          <w:sz w:val="24"/>
          <w:szCs w:val="24"/>
        </w:rPr>
        <w:t xml:space="preserve">that </w:t>
      </w:r>
      <w:r w:rsidR="003A0CD4" w:rsidRPr="008B69F3">
        <w:rPr>
          <w:rFonts w:ascii="Times New Roman" w:hAnsi="Times New Roman"/>
          <w:sz w:val="24"/>
          <w:szCs w:val="24"/>
        </w:rPr>
        <w:t>coincide</w:t>
      </w:r>
      <w:r w:rsidR="002F36A7" w:rsidRPr="008B69F3">
        <w:rPr>
          <w:rFonts w:ascii="Times New Roman" w:hAnsi="Times New Roman"/>
          <w:sz w:val="24"/>
          <w:szCs w:val="24"/>
        </w:rPr>
        <w:t>s</w:t>
      </w:r>
      <w:r w:rsidR="003A0CD4" w:rsidRPr="008B69F3">
        <w:rPr>
          <w:rFonts w:ascii="Times New Roman" w:hAnsi="Times New Roman"/>
          <w:sz w:val="24"/>
          <w:szCs w:val="24"/>
        </w:rPr>
        <w:t xml:space="preserve"> with seasonal</w:t>
      </w:r>
      <w:r w:rsidR="00D52A58" w:rsidRPr="008B69F3">
        <w:rPr>
          <w:rFonts w:ascii="Times New Roman" w:hAnsi="Times New Roman"/>
          <w:sz w:val="24"/>
          <w:szCs w:val="24"/>
        </w:rPr>
        <w:t xml:space="preserve"> flooding </w:t>
      </w:r>
      <w:r w:rsidR="002F36A7" w:rsidRPr="008B69F3">
        <w:rPr>
          <w:rFonts w:ascii="Times New Roman" w:hAnsi="Times New Roman"/>
          <w:sz w:val="24"/>
          <w:szCs w:val="24"/>
        </w:rPr>
        <w:t>is</w:t>
      </w:r>
      <w:r w:rsidR="00D52A58" w:rsidRPr="008B69F3">
        <w:rPr>
          <w:rFonts w:ascii="Times New Roman" w:hAnsi="Times New Roman"/>
          <w:sz w:val="24"/>
          <w:szCs w:val="24"/>
        </w:rPr>
        <w:t xml:space="preserve"> assumed to relate largely to </w:t>
      </w:r>
      <w:r w:rsidR="003A0CD4" w:rsidRPr="008B69F3">
        <w:rPr>
          <w:rFonts w:ascii="Times New Roman" w:hAnsi="Times New Roman"/>
          <w:sz w:val="24"/>
          <w:szCs w:val="24"/>
        </w:rPr>
        <w:t xml:space="preserve">ASS inflows, </w:t>
      </w:r>
      <w:r w:rsidR="00D52A58" w:rsidRPr="00056409">
        <w:rPr>
          <w:rFonts w:ascii="Times New Roman" w:hAnsi="Times New Roman"/>
          <w:sz w:val="24"/>
          <w:szCs w:val="24"/>
        </w:rPr>
        <w:t xml:space="preserve">finer temporal scale </w:t>
      </w:r>
      <w:r w:rsidR="003A0CD4" w:rsidRPr="00056409">
        <w:rPr>
          <w:rFonts w:ascii="Times New Roman" w:hAnsi="Times New Roman"/>
          <w:sz w:val="24"/>
          <w:szCs w:val="24"/>
        </w:rPr>
        <w:t xml:space="preserve">tidal </w:t>
      </w:r>
      <w:r w:rsidR="00D52A58" w:rsidRPr="00056409">
        <w:rPr>
          <w:rFonts w:ascii="Times New Roman" w:hAnsi="Times New Roman"/>
          <w:sz w:val="24"/>
          <w:szCs w:val="24"/>
        </w:rPr>
        <w:t>f</w:t>
      </w:r>
      <w:r w:rsidR="003A0CD4" w:rsidRPr="00056409">
        <w:rPr>
          <w:rFonts w:ascii="Times New Roman" w:hAnsi="Times New Roman"/>
          <w:sz w:val="24"/>
          <w:szCs w:val="24"/>
        </w:rPr>
        <w:t xml:space="preserve">luctuations </w:t>
      </w:r>
      <w:r w:rsidR="00D52A58" w:rsidRPr="00056409">
        <w:rPr>
          <w:rFonts w:ascii="Times New Roman" w:hAnsi="Times New Roman"/>
          <w:sz w:val="24"/>
          <w:szCs w:val="24"/>
        </w:rPr>
        <w:t xml:space="preserve">in pH </w:t>
      </w:r>
      <w:r w:rsidR="00077F99" w:rsidRPr="00056409">
        <w:rPr>
          <w:rFonts w:ascii="Times New Roman" w:hAnsi="Times New Roman"/>
          <w:sz w:val="24"/>
          <w:szCs w:val="24"/>
        </w:rPr>
        <w:t xml:space="preserve">during inter-monsoons </w:t>
      </w:r>
      <w:r w:rsidR="006B238F" w:rsidRPr="00056409">
        <w:rPr>
          <w:rFonts w:ascii="Times New Roman" w:hAnsi="Times New Roman"/>
          <w:sz w:val="24"/>
          <w:szCs w:val="24"/>
        </w:rPr>
        <w:t xml:space="preserve">are </w:t>
      </w:r>
      <w:r w:rsidR="00D52A58" w:rsidRPr="00056409">
        <w:rPr>
          <w:rFonts w:ascii="Times New Roman" w:hAnsi="Times New Roman"/>
          <w:sz w:val="24"/>
          <w:szCs w:val="24"/>
        </w:rPr>
        <w:t xml:space="preserve">more likely </w:t>
      </w:r>
      <w:r w:rsidR="002F36A7" w:rsidRPr="00056409">
        <w:rPr>
          <w:rFonts w:ascii="Times New Roman" w:hAnsi="Times New Roman"/>
          <w:sz w:val="24"/>
          <w:szCs w:val="24"/>
        </w:rPr>
        <w:t xml:space="preserve">to </w:t>
      </w:r>
      <w:r w:rsidR="00D52A58" w:rsidRPr="00056409">
        <w:rPr>
          <w:rFonts w:ascii="Times New Roman" w:hAnsi="Times New Roman"/>
          <w:sz w:val="24"/>
          <w:szCs w:val="24"/>
        </w:rPr>
        <w:t>associate with the combination</w:t>
      </w:r>
      <w:r w:rsidR="00D52A58" w:rsidRPr="008B69F3">
        <w:rPr>
          <w:rFonts w:ascii="Times New Roman" w:hAnsi="Times New Roman"/>
          <w:sz w:val="24"/>
          <w:szCs w:val="24"/>
        </w:rPr>
        <w:t xml:space="preserve"> of a </w:t>
      </w:r>
      <w:r w:rsidR="00077F99" w:rsidRPr="008B69F3">
        <w:rPr>
          <w:rFonts w:ascii="Times New Roman" w:hAnsi="Times New Roman"/>
          <w:sz w:val="24"/>
          <w:szCs w:val="24"/>
        </w:rPr>
        <w:t>lowered buffering capacity,</w:t>
      </w:r>
      <w:r w:rsidR="00077F99">
        <w:rPr>
          <w:rFonts w:ascii="Times New Roman" w:hAnsi="Times New Roman"/>
          <w:sz w:val="24"/>
          <w:szCs w:val="24"/>
        </w:rPr>
        <w:t xml:space="preserve"> microbial decomposition, </w:t>
      </w:r>
      <w:r w:rsidR="00D52A58">
        <w:rPr>
          <w:rFonts w:ascii="Times New Roman" w:hAnsi="Times New Roman"/>
          <w:sz w:val="24"/>
          <w:szCs w:val="24"/>
        </w:rPr>
        <w:t xml:space="preserve">and </w:t>
      </w:r>
      <w:r w:rsidR="00077F99">
        <w:rPr>
          <w:rFonts w:ascii="Times New Roman" w:hAnsi="Times New Roman"/>
          <w:sz w:val="24"/>
          <w:szCs w:val="24"/>
        </w:rPr>
        <w:t>pCO</w:t>
      </w:r>
      <w:r w:rsidR="00A85A51" w:rsidRPr="00A85A51">
        <w:rPr>
          <w:rFonts w:ascii="Times New Roman" w:hAnsi="Times New Roman"/>
          <w:sz w:val="24"/>
          <w:szCs w:val="24"/>
          <w:vertAlign w:val="subscript"/>
        </w:rPr>
        <w:t>2</w:t>
      </w:r>
      <w:r w:rsidR="00077F99">
        <w:rPr>
          <w:rFonts w:ascii="Times New Roman" w:hAnsi="Times New Roman"/>
          <w:sz w:val="24"/>
          <w:szCs w:val="24"/>
        </w:rPr>
        <w:t xml:space="preserve"> </w:t>
      </w:r>
      <w:r w:rsidR="00D52A58">
        <w:rPr>
          <w:rFonts w:ascii="Times New Roman" w:hAnsi="Times New Roman"/>
          <w:sz w:val="24"/>
          <w:szCs w:val="24"/>
        </w:rPr>
        <w:t xml:space="preserve">saturation </w:t>
      </w:r>
      <w:r w:rsidR="00077F99">
        <w:rPr>
          <w:rFonts w:ascii="Times New Roman" w:hAnsi="Times New Roman"/>
          <w:sz w:val="24"/>
          <w:szCs w:val="24"/>
        </w:rPr>
        <w:t xml:space="preserve">in the upper </w:t>
      </w:r>
      <w:r w:rsidR="00D52A58">
        <w:rPr>
          <w:rFonts w:ascii="Times New Roman" w:hAnsi="Times New Roman"/>
          <w:sz w:val="24"/>
          <w:szCs w:val="24"/>
        </w:rPr>
        <w:t xml:space="preserve">estuarine </w:t>
      </w:r>
      <w:r w:rsidR="00077F99">
        <w:rPr>
          <w:rFonts w:ascii="Times New Roman" w:hAnsi="Times New Roman"/>
          <w:sz w:val="24"/>
          <w:szCs w:val="24"/>
        </w:rPr>
        <w:t>reaches (</w:t>
      </w:r>
      <w:r w:rsidR="00D52A58">
        <w:rPr>
          <w:rFonts w:ascii="Times New Roman" w:hAnsi="Times New Roman"/>
          <w:sz w:val="24"/>
          <w:szCs w:val="24"/>
        </w:rPr>
        <w:t xml:space="preserve">Bolhuis et al. 2014; Hossain et al. 2014; </w:t>
      </w:r>
      <w:r w:rsidR="00077F99">
        <w:rPr>
          <w:rFonts w:ascii="Times New Roman" w:hAnsi="Times New Roman"/>
          <w:sz w:val="24"/>
          <w:szCs w:val="24"/>
        </w:rPr>
        <w:t>Proum unpublished). As many of the processes involved in this complex acidification are natural</w:t>
      </w:r>
      <w:r w:rsidR="00D52A58">
        <w:rPr>
          <w:rFonts w:ascii="Times New Roman" w:hAnsi="Times New Roman"/>
          <w:sz w:val="24"/>
          <w:szCs w:val="24"/>
        </w:rPr>
        <w:t>,</w:t>
      </w:r>
      <w:r w:rsidR="00077F99">
        <w:rPr>
          <w:rFonts w:ascii="Times New Roman" w:hAnsi="Times New Roman"/>
          <w:sz w:val="24"/>
          <w:szCs w:val="24"/>
        </w:rPr>
        <w:t xml:space="preserve"> with potentially acidic-generating geological </w:t>
      </w:r>
      <w:r w:rsidR="00D52A58">
        <w:rPr>
          <w:rFonts w:ascii="Times New Roman" w:hAnsi="Times New Roman"/>
          <w:sz w:val="24"/>
          <w:szCs w:val="24"/>
        </w:rPr>
        <w:t xml:space="preserve">formations </w:t>
      </w:r>
      <w:r w:rsidR="00077F99">
        <w:rPr>
          <w:rFonts w:ascii="Times New Roman" w:hAnsi="Times New Roman"/>
          <w:sz w:val="24"/>
          <w:szCs w:val="24"/>
        </w:rPr>
        <w:t xml:space="preserve">and biological communities (mangroves) probably dating back to the mid-Miocene, </w:t>
      </w:r>
      <w:r w:rsidRPr="009B020B">
        <w:rPr>
          <w:rFonts w:ascii="Times New Roman" w:hAnsi="Times New Roman"/>
          <w:sz w:val="24"/>
          <w:szCs w:val="24"/>
        </w:rPr>
        <w:t xml:space="preserve">we assume that the phytoplankton taxa living in the Brunei estuary </w:t>
      </w:r>
      <w:r w:rsidR="00D52A58">
        <w:rPr>
          <w:rFonts w:ascii="Times New Roman" w:hAnsi="Times New Roman"/>
          <w:sz w:val="24"/>
          <w:szCs w:val="24"/>
        </w:rPr>
        <w:t>are well adapted t</w:t>
      </w:r>
      <w:r w:rsidR="00077F99">
        <w:rPr>
          <w:rFonts w:ascii="Times New Roman" w:hAnsi="Times New Roman"/>
          <w:sz w:val="24"/>
          <w:szCs w:val="24"/>
        </w:rPr>
        <w:t xml:space="preserve">o </w:t>
      </w:r>
      <w:r w:rsidRPr="009B020B">
        <w:rPr>
          <w:rFonts w:ascii="Times New Roman" w:hAnsi="Times New Roman"/>
          <w:sz w:val="24"/>
          <w:szCs w:val="24"/>
        </w:rPr>
        <w:t xml:space="preserve">thrive in </w:t>
      </w:r>
      <w:r w:rsidR="00077F99">
        <w:rPr>
          <w:rFonts w:ascii="Times New Roman" w:hAnsi="Times New Roman"/>
          <w:sz w:val="24"/>
          <w:szCs w:val="24"/>
        </w:rPr>
        <w:t xml:space="preserve">an </w:t>
      </w:r>
      <w:r w:rsidRPr="009B020B">
        <w:rPr>
          <w:rFonts w:ascii="Times New Roman" w:hAnsi="Times New Roman"/>
          <w:sz w:val="24"/>
          <w:szCs w:val="24"/>
        </w:rPr>
        <w:t>environment unsuitable for other planktonic species.</w:t>
      </w:r>
    </w:p>
    <w:p w:rsidR="00826A32" w:rsidRDefault="00826A32" w:rsidP="00826A32">
      <w:pPr>
        <w:spacing w:line="480" w:lineRule="auto"/>
        <w:ind w:firstLine="720"/>
        <w:jc w:val="both"/>
        <w:rPr>
          <w:rFonts w:ascii="Times New Roman" w:hAnsi="Times New Roman"/>
          <w:sz w:val="24"/>
          <w:szCs w:val="24"/>
        </w:rPr>
      </w:pPr>
      <w:r w:rsidRPr="00587D94">
        <w:rPr>
          <w:rFonts w:ascii="Times New Roman" w:hAnsi="Times New Roman"/>
          <w:sz w:val="24"/>
          <w:szCs w:val="24"/>
        </w:rPr>
        <w:t xml:space="preserve">Low-Décarie et al. (2011) </w:t>
      </w:r>
      <w:r w:rsidR="00760011">
        <w:rPr>
          <w:rFonts w:ascii="Times New Roman" w:hAnsi="Times New Roman"/>
          <w:sz w:val="24"/>
          <w:szCs w:val="24"/>
        </w:rPr>
        <w:t xml:space="preserve">considered that </w:t>
      </w:r>
      <w:r w:rsidRPr="00587D94">
        <w:rPr>
          <w:rFonts w:ascii="Times New Roman" w:hAnsi="Times New Roman"/>
          <w:sz w:val="24"/>
          <w:szCs w:val="24"/>
        </w:rPr>
        <w:t>changes in community dynamics in environments affected by elevated CO</w:t>
      </w:r>
      <w:r w:rsidRPr="00587D94">
        <w:rPr>
          <w:rFonts w:ascii="Times New Roman" w:hAnsi="Times New Roman"/>
          <w:sz w:val="24"/>
          <w:szCs w:val="24"/>
          <w:vertAlign w:val="subscript"/>
        </w:rPr>
        <w:t>2</w:t>
      </w:r>
      <w:r w:rsidRPr="00587D94">
        <w:rPr>
          <w:rFonts w:ascii="Times New Roman" w:hAnsi="Times New Roman"/>
          <w:sz w:val="24"/>
          <w:szCs w:val="24"/>
        </w:rPr>
        <w:t xml:space="preserve"> concentrations and water acidification are based mostly on physiological d</w:t>
      </w:r>
      <w:r w:rsidR="00760011">
        <w:rPr>
          <w:rFonts w:ascii="Times New Roman" w:hAnsi="Times New Roman"/>
          <w:sz w:val="24"/>
          <w:szCs w:val="24"/>
        </w:rPr>
        <w:t>ifferences between major taxa, while the</w:t>
      </w:r>
      <w:r w:rsidRPr="00587D94">
        <w:rPr>
          <w:rFonts w:ascii="Times New Roman" w:hAnsi="Times New Roman"/>
          <w:sz w:val="24"/>
          <w:szCs w:val="24"/>
        </w:rPr>
        <w:t xml:space="preserve"> response of species withi</w:t>
      </w:r>
      <w:r w:rsidR="00760011">
        <w:rPr>
          <w:rFonts w:ascii="Times New Roman" w:hAnsi="Times New Roman"/>
          <w:sz w:val="24"/>
          <w:szCs w:val="24"/>
        </w:rPr>
        <w:t>n each taxon is less distinct.</w:t>
      </w:r>
      <w:r w:rsidRPr="00587D94">
        <w:rPr>
          <w:rFonts w:ascii="Times New Roman" w:hAnsi="Times New Roman"/>
          <w:sz w:val="24"/>
          <w:szCs w:val="24"/>
        </w:rPr>
        <w:t xml:space="preserve"> If so, </w:t>
      </w:r>
      <w:r w:rsidR="00760011">
        <w:rPr>
          <w:rFonts w:ascii="Times New Roman" w:hAnsi="Times New Roman"/>
          <w:sz w:val="24"/>
          <w:szCs w:val="24"/>
        </w:rPr>
        <w:t>this suggests that large</w:t>
      </w:r>
      <w:r w:rsidRPr="00587D94">
        <w:rPr>
          <w:rFonts w:ascii="Times New Roman" w:hAnsi="Times New Roman"/>
          <w:sz w:val="24"/>
          <w:szCs w:val="24"/>
        </w:rPr>
        <w:t xml:space="preserve"> shifts in community compositio</w:t>
      </w:r>
      <w:r w:rsidR="00760011">
        <w:rPr>
          <w:rFonts w:ascii="Times New Roman" w:hAnsi="Times New Roman"/>
          <w:sz w:val="24"/>
          <w:szCs w:val="24"/>
        </w:rPr>
        <w:t>n may be predicted to a certain extent</w:t>
      </w:r>
      <w:r w:rsidRPr="00587D94">
        <w:rPr>
          <w:rFonts w:ascii="Times New Roman" w:hAnsi="Times New Roman"/>
          <w:sz w:val="24"/>
          <w:szCs w:val="24"/>
        </w:rPr>
        <w:t xml:space="preserve"> without a detailed knowledge of individual species</w:t>
      </w:r>
      <w:r w:rsidR="00760011">
        <w:rPr>
          <w:rFonts w:ascii="Times New Roman" w:hAnsi="Times New Roman"/>
          <w:sz w:val="24"/>
          <w:szCs w:val="24"/>
        </w:rPr>
        <w:t>’</w:t>
      </w:r>
      <w:r w:rsidRPr="00587D94">
        <w:rPr>
          <w:rFonts w:ascii="Times New Roman" w:hAnsi="Times New Roman"/>
          <w:sz w:val="24"/>
          <w:szCs w:val="24"/>
        </w:rPr>
        <w:t xml:space="preserve"> ecological preferences. </w:t>
      </w:r>
      <w:r w:rsidR="00760011">
        <w:rPr>
          <w:rFonts w:ascii="Times New Roman" w:hAnsi="Times New Roman"/>
          <w:sz w:val="24"/>
          <w:szCs w:val="24"/>
        </w:rPr>
        <w:t xml:space="preserve">However, most studies underlying such conclusions have been conducted under </w:t>
      </w:r>
      <w:r w:rsidRPr="00587D94">
        <w:rPr>
          <w:rFonts w:ascii="Times New Roman" w:hAnsi="Times New Roman"/>
          <w:sz w:val="24"/>
          <w:szCs w:val="24"/>
        </w:rPr>
        <w:t xml:space="preserve">laboratory conditions, </w:t>
      </w:r>
      <w:r w:rsidR="00C13F94">
        <w:rPr>
          <w:rFonts w:ascii="Times New Roman" w:hAnsi="Times New Roman"/>
          <w:sz w:val="24"/>
          <w:szCs w:val="24"/>
        </w:rPr>
        <w:t xml:space="preserve">and </w:t>
      </w:r>
      <w:r w:rsidR="00760011">
        <w:rPr>
          <w:rFonts w:ascii="Times New Roman" w:hAnsi="Times New Roman"/>
          <w:sz w:val="24"/>
          <w:szCs w:val="24"/>
        </w:rPr>
        <w:t>examining</w:t>
      </w:r>
      <w:r w:rsidRPr="00587D94">
        <w:rPr>
          <w:rFonts w:ascii="Times New Roman" w:hAnsi="Times New Roman"/>
          <w:sz w:val="24"/>
          <w:szCs w:val="24"/>
        </w:rPr>
        <w:t xml:space="preserve"> a limited number of taxa (e.g. Richmond et al.</w:t>
      </w:r>
      <w:r w:rsidR="00222A99">
        <w:rPr>
          <w:rFonts w:ascii="Times New Roman" w:hAnsi="Times New Roman"/>
          <w:sz w:val="24"/>
          <w:szCs w:val="24"/>
        </w:rPr>
        <w:t>, 1982;</w:t>
      </w:r>
      <w:r w:rsidRPr="00587D94">
        <w:rPr>
          <w:rFonts w:ascii="Times New Roman" w:hAnsi="Times New Roman"/>
          <w:sz w:val="24"/>
          <w:szCs w:val="24"/>
        </w:rPr>
        <w:t xml:space="preserve"> Tortell</w:t>
      </w:r>
      <w:r w:rsidR="00222A99">
        <w:rPr>
          <w:rFonts w:ascii="Times New Roman" w:hAnsi="Times New Roman"/>
          <w:sz w:val="24"/>
          <w:szCs w:val="24"/>
        </w:rPr>
        <w:t>, 2000;</w:t>
      </w:r>
      <w:r w:rsidRPr="00587D94">
        <w:rPr>
          <w:rFonts w:ascii="Times New Roman" w:hAnsi="Times New Roman"/>
          <w:sz w:val="24"/>
          <w:szCs w:val="24"/>
        </w:rPr>
        <w:t xml:space="preserve"> </w:t>
      </w:r>
      <w:r w:rsidRPr="00587D94">
        <w:rPr>
          <w:rFonts w:ascii="Times New Roman" w:hAnsi="Times New Roman"/>
          <w:sz w:val="24"/>
          <w:szCs w:val="24"/>
        </w:rPr>
        <w:lastRenderedPageBreak/>
        <w:t>Low-Décarie et al.</w:t>
      </w:r>
      <w:r w:rsidR="00222A99">
        <w:rPr>
          <w:rFonts w:ascii="Times New Roman" w:hAnsi="Times New Roman"/>
          <w:sz w:val="24"/>
          <w:szCs w:val="24"/>
        </w:rPr>
        <w:t>,</w:t>
      </w:r>
      <w:r w:rsidRPr="00587D94">
        <w:rPr>
          <w:rFonts w:ascii="Times New Roman" w:hAnsi="Times New Roman"/>
          <w:sz w:val="24"/>
          <w:szCs w:val="24"/>
        </w:rPr>
        <w:t xml:space="preserve"> 2011). It is likely that </w:t>
      </w:r>
      <w:r w:rsidR="00C13F94">
        <w:rPr>
          <w:rFonts w:ascii="Times New Roman" w:hAnsi="Times New Roman"/>
          <w:sz w:val="24"/>
          <w:szCs w:val="24"/>
        </w:rPr>
        <w:t>individual</w:t>
      </w:r>
      <w:r w:rsidR="00C13F94" w:rsidRPr="00587D94">
        <w:rPr>
          <w:rFonts w:ascii="Times New Roman" w:hAnsi="Times New Roman"/>
          <w:sz w:val="24"/>
          <w:szCs w:val="24"/>
        </w:rPr>
        <w:t xml:space="preserve"> </w:t>
      </w:r>
      <w:r w:rsidRPr="00587D94">
        <w:rPr>
          <w:rFonts w:ascii="Times New Roman" w:hAnsi="Times New Roman"/>
          <w:sz w:val="24"/>
          <w:szCs w:val="24"/>
        </w:rPr>
        <w:t xml:space="preserve">elements of natural phytoplankton communities may behave differently under </w:t>
      </w:r>
      <w:r w:rsidR="00760011">
        <w:rPr>
          <w:rFonts w:ascii="Times New Roman" w:hAnsi="Times New Roman"/>
          <w:sz w:val="24"/>
          <w:szCs w:val="24"/>
        </w:rPr>
        <w:t>the influence of the combined effects of multiple</w:t>
      </w:r>
      <w:r w:rsidRPr="00587D94">
        <w:rPr>
          <w:rFonts w:ascii="Times New Roman" w:hAnsi="Times New Roman"/>
          <w:sz w:val="24"/>
          <w:szCs w:val="24"/>
        </w:rPr>
        <w:t xml:space="preserve"> environmental factors</w:t>
      </w:r>
      <w:r w:rsidR="00760011">
        <w:rPr>
          <w:rFonts w:ascii="Times New Roman" w:hAnsi="Times New Roman"/>
          <w:sz w:val="24"/>
          <w:szCs w:val="24"/>
        </w:rPr>
        <w:t>, and further studies on individual species’</w:t>
      </w:r>
      <w:r w:rsidRPr="00587D94">
        <w:rPr>
          <w:rFonts w:ascii="Times New Roman" w:hAnsi="Times New Roman"/>
          <w:sz w:val="24"/>
          <w:szCs w:val="24"/>
        </w:rPr>
        <w:t xml:space="preserve"> </w:t>
      </w:r>
      <w:r w:rsidR="00760011">
        <w:rPr>
          <w:rFonts w:ascii="Times New Roman" w:hAnsi="Times New Roman"/>
          <w:sz w:val="24"/>
          <w:szCs w:val="24"/>
        </w:rPr>
        <w:t>aut</w:t>
      </w:r>
      <w:r w:rsidRPr="00587D94">
        <w:rPr>
          <w:rFonts w:ascii="Times New Roman" w:hAnsi="Times New Roman"/>
          <w:sz w:val="24"/>
          <w:szCs w:val="24"/>
        </w:rPr>
        <w:t xml:space="preserve">ecology </w:t>
      </w:r>
      <w:r w:rsidR="00760011">
        <w:rPr>
          <w:rFonts w:ascii="Times New Roman" w:hAnsi="Times New Roman"/>
          <w:sz w:val="24"/>
          <w:szCs w:val="24"/>
        </w:rPr>
        <w:t xml:space="preserve">are required to </w:t>
      </w:r>
      <w:r w:rsidRPr="00587D94">
        <w:rPr>
          <w:rFonts w:ascii="Times New Roman" w:hAnsi="Times New Roman"/>
          <w:sz w:val="24"/>
          <w:szCs w:val="24"/>
        </w:rPr>
        <w:t>explain phytoplankton dynamics and assess the future changes within microalgal assemblages.</w:t>
      </w:r>
    </w:p>
    <w:p w:rsidR="00826A32" w:rsidRDefault="00483477" w:rsidP="005E01B9">
      <w:pPr>
        <w:spacing w:line="480" w:lineRule="auto"/>
        <w:ind w:firstLine="720"/>
        <w:jc w:val="both"/>
        <w:rPr>
          <w:rFonts w:ascii="Times New Roman" w:hAnsi="Times New Roman"/>
          <w:sz w:val="24"/>
          <w:szCs w:val="24"/>
        </w:rPr>
      </w:pPr>
      <w:r>
        <w:rPr>
          <w:rFonts w:ascii="Times New Roman" w:hAnsi="Times New Roman"/>
          <w:sz w:val="24"/>
          <w:szCs w:val="24"/>
        </w:rPr>
        <w:t>Estuaries are a very specific</w:t>
      </w:r>
      <w:r w:rsidR="00826A32">
        <w:rPr>
          <w:rFonts w:ascii="Times New Roman" w:hAnsi="Times New Roman"/>
          <w:sz w:val="24"/>
          <w:szCs w:val="24"/>
        </w:rPr>
        <w:t xml:space="preserve"> aquatic environment and the assessment</w:t>
      </w:r>
      <w:r>
        <w:rPr>
          <w:rFonts w:ascii="Times New Roman" w:hAnsi="Times New Roman"/>
          <w:sz w:val="24"/>
          <w:szCs w:val="24"/>
        </w:rPr>
        <w:t xml:space="preserve"> of their potential degradation requires</w:t>
      </w:r>
      <w:r w:rsidR="00826A32">
        <w:rPr>
          <w:rFonts w:ascii="Times New Roman" w:hAnsi="Times New Roman"/>
          <w:sz w:val="24"/>
          <w:szCs w:val="24"/>
        </w:rPr>
        <w:t xml:space="preserve"> care. Estuarine ecosystems are </w:t>
      </w:r>
      <w:r>
        <w:rPr>
          <w:rFonts w:ascii="Times New Roman" w:hAnsi="Times New Roman"/>
          <w:sz w:val="24"/>
          <w:szCs w:val="24"/>
        </w:rPr>
        <w:t>considered to be</w:t>
      </w:r>
      <w:r w:rsidR="00826A32">
        <w:rPr>
          <w:rFonts w:ascii="Times New Roman" w:hAnsi="Times New Roman"/>
          <w:sz w:val="24"/>
          <w:szCs w:val="24"/>
        </w:rPr>
        <w:t xml:space="preserve"> naturally stressed due the extremely high variability in parameters such as salinity, pH, temperature, nutrients, dissolved oxygen, sediment dynamics, current speed and direction</w:t>
      </w:r>
      <w:r w:rsidR="00C13F94">
        <w:rPr>
          <w:rFonts w:ascii="Times New Roman" w:hAnsi="Times New Roman"/>
          <w:sz w:val="24"/>
          <w:szCs w:val="24"/>
        </w:rPr>
        <w:t xml:space="preserve"> and</w:t>
      </w:r>
      <w:r w:rsidR="00826A32">
        <w:rPr>
          <w:rFonts w:ascii="Times New Roman" w:hAnsi="Times New Roman"/>
          <w:sz w:val="24"/>
          <w:szCs w:val="24"/>
        </w:rPr>
        <w:t xml:space="preserve"> light penetration. Nevertheless, </w:t>
      </w:r>
      <w:r>
        <w:rPr>
          <w:rFonts w:ascii="Times New Roman" w:hAnsi="Times New Roman"/>
          <w:sz w:val="24"/>
          <w:szCs w:val="24"/>
        </w:rPr>
        <w:t>while these may be</w:t>
      </w:r>
      <w:r w:rsidR="00826A32">
        <w:rPr>
          <w:rFonts w:ascii="Times New Roman" w:hAnsi="Times New Roman"/>
          <w:sz w:val="24"/>
          <w:szCs w:val="24"/>
        </w:rPr>
        <w:t xml:space="preserve"> stressful for strictly marine or freshwa</w:t>
      </w:r>
      <w:r>
        <w:rPr>
          <w:rFonts w:ascii="Times New Roman" w:hAnsi="Times New Roman"/>
          <w:sz w:val="24"/>
          <w:szCs w:val="24"/>
        </w:rPr>
        <w:t xml:space="preserve">ter organisms, for estuarine-adapted biota they represent the </w:t>
      </w:r>
      <w:r w:rsidR="00826A32">
        <w:rPr>
          <w:rFonts w:ascii="Times New Roman" w:hAnsi="Times New Roman"/>
          <w:sz w:val="24"/>
          <w:szCs w:val="24"/>
        </w:rPr>
        <w:t>norma</w:t>
      </w:r>
      <w:r>
        <w:rPr>
          <w:rFonts w:ascii="Times New Roman" w:hAnsi="Times New Roman"/>
          <w:sz w:val="24"/>
          <w:szCs w:val="24"/>
        </w:rPr>
        <w:t>l state</w:t>
      </w:r>
      <w:r w:rsidR="00826A32">
        <w:rPr>
          <w:rFonts w:ascii="Times New Roman" w:hAnsi="Times New Roman"/>
          <w:sz w:val="24"/>
          <w:szCs w:val="24"/>
        </w:rPr>
        <w:t>. In</w:t>
      </w:r>
      <w:r w:rsidR="00C13F94">
        <w:rPr>
          <w:rFonts w:ascii="Times New Roman" w:hAnsi="Times New Roman"/>
          <w:sz w:val="24"/>
          <w:szCs w:val="24"/>
        </w:rPr>
        <w:t>deed</w:t>
      </w:r>
      <w:r w:rsidR="00826A32">
        <w:rPr>
          <w:rFonts w:ascii="Times New Roman" w:hAnsi="Times New Roman"/>
          <w:sz w:val="24"/>
          <w:szCs w:val="24"/>
        </w:rPr>
        <w:t>, the main characteristics of this natural stress often bear a close resemblance to those of the anthropogenic stressors. Because of that, in the case of estuaries, it is particularly difficult to detect the real effects of the anthropogenic perturbations and one should not rely exclusively on species diversity but rather on the system functional characteristics which are reflected much better by higher taxa composition (Wright</w:t>
      </w:r>
      <w:r w:rsidR="00222A99">
        <w:rPr>
          <w:rFonts w:ascii="Times New Roman" w:hAnsi="Times New Roman"/>
          <w:sz w:val="24"/>
          <w:szCs w:val="24"/>
        </w:rPr>
        <w:t>, 1982; Elliot and</w:t>
      </w:r>
      <w:r w:rsidR="00826A32">
        <w:rPr>
          <w:rFonts w:ascii="Times New Roman" w:hAnsi="Times New Roman"/>
          <w:sz w:val="24"/>
          <w:szCs w:val="24"/>
        </w:rPr>
        <w:t xml:space="preserve"> Quintino</w:t>
      </w:r>
      <w:r w:rsidR="00222A99">
        <w:rPr>
          <w:rFonts w:ascii="Times New Roman" w:hAnsi="Times New Roman"/>
          <w:sz w:val="24"/>
          <w:szCs w:val="24"/>
        </w:rPr>
        <w:t>,</w:t>
      </w:r>
      <w:r w:rsidR="00826A32">
        <w:rPr>
          <w:rFonts w:ascii="Times New Roman" w:hAnsi="Times New Roman"/>
          <w:sz w:val="24"/>
          <w:szCs w:val="24"/>
        </w:rPr>
        <w:t xml:space="preserve"> 2007).</w:t>
      </w:r>
      <w:r>
        <w:rPr>
          <w:rFonts w:ascii="Times New Roman" w:hAnsi="Times New Roman"/>
          <w:sz w:val="24"/>
          <w:szCs w:val="24"/>
        </w:rPr>
        <w:t xml:space="preserve"> </w:t>
      </w:r>
      <w:r w:rsidR="00C13F94" w:rsidRPr="00056409">
        <w:rPr>
          <w:rFonts w:ascii="Times New Roman" w:hAnsi="Times New Roman"/>
          <w:sz w:val="24"/>
          <w:szCs w:val="24"/>
        </w:rPr>
        <w:t>T</w:t>
      </w:r>
      <w:r w:rsidR="0068456E" w:rsidRPr="00056409">
        <w:rPr>
          <w:rFonts w:ascii="Times New Roman" w:hAnsi="Times New Roman"/>
          <w:sz w:val="24"/>
          <w:szCs w:val="24"/>
        </w:rPr>
        <w:t xml:space="preserve">he </w:t>
      </w:r>
      <w:r w:rsidR="00C13F94" w:rsidRPr="00056409">
        <w:rPr>
          <w:rFonts w:ascii="Times New Roman" w:hAnsi="Times New Roman"/>
          <w:sz w:val="24"/>
          <w:szCs w:val="24"/>
        </w:rPr>
        <w:t xml:space="preserve">similarities </w:t>
      </w:r>
      <w:r w:rsidR="0068456E" w:rsidRPr="00056409">
        <w:rPr>
          <w:rFonts w:ascii="Times New Roman" w:hAnsi="Times New Roman"/>
          <w:sz w:val="24"/>
          <w:szCs w:val="24"/>
        </w:rPr>
        <w:t xml:space="preserve">between highly variable natural stressors and </w:t>
      </w:r>
      <w:r w:rsidR="00C13F94" w:rsidRPr="00056409">
        <w:rPr>
          <w:rFonts w:ascii="Times New Roman" w:hAnsi="Times New Roman"/>
          <w:sz w:val="24"/>
          <w:szCs w:val="24"/>
        </w:rPr>
        <w:t>those under</w:t>
      </w:r>
      <w:r w:rsidR="0068456E" w:rsidRPr="00056409">
        <w:rPr>
          <w:rFonts w:ascii="Times New Roman" w:hAnsi="Times New Roman"/>
          <w:sz w:val="24"/>
          <w:szCs w:val="24"/>
        </w:rPr>
        <w:t xml:space="preserve"> anthropogenic </w:t>
      </w:r>
      <w:r w:rsidR="00C13F94" w:rsidRPr="00056409">
        <w:rPr>
          <w:rFonts w:ascii="Times New Roman" w:hAnsi="Times New Roman"/>
          <w:sz w:val="24"/>
          <w:szCs w:val="24"/>
        </w:rPr>
        <w:t>influence requires further clarification</w:t>
      </w:r>
      <w:r w:rsidR="0068456E" w:rsidRPr="00056409">
        <w:rPr>
          <w:rFonts w:ascii="Times New Roman" w:hAnsi="Times New Roman"/>
          <w:sz w:val="24"/>
          <w:szCs w:val="24"/>
        </w:rPr>
        <w:t>.</w:t>
      </w:r>
    </w:p>
    <w:p w:rsidR="00826A32" w:rsidRDefault="00826A32" w:rsidP="00194AC1">
      <w:pPr>
        <w:spacing w:after="160" w:line="480" w:lineRule="auto"/>
        <w:jc w:val="both"/>
        <w:rPr>
          <w:rFonts w:ascii="Times New Roman" w:hAnsi="Times New Roman"/>
          <w:sz w:val="24"/>
          <w:szCs w:val="24"/>
        </w:rPr>
      </w:pPr>
    </w:p>
    <w:p w:rsidR="00194AC1" w:rsidRDefault="00194AC1" w:rsidP="00194AC1">
      <w:pPr>
        <w:spacing w:after="160" w:line="480" w:lineRule="auto"/>
        <w:jc w:val="both"/>
        <w:rPr>
          <w:rFonts w:ascii="Times New Roman" w:hAnsi="Times New Roman"/>
          <w:b/>
          <w:sz w:val="24"/>
          <w:szCs w:val="24"/>
        </w:rPr>
      </w:pPr>
      <w:r w:rsidRPr="00194AC1">
        <w:rPr>
          <w:rFonts w:ascii="Times New Roman" w:hAnsi="Times New Roman"/>
          <w:b/>
          <w:sz w:val="24"/>
          <w:szCs w:val="24"/>
        </w:rPr>
        <w:t>Acknowledgements</w:t>
      </w:r>
    </w:p>
    <w:p w:rsidR="002C1268" w:rsidRDefault="0096355A" w:rsidP="00721D08">
      <w:pPr>
        <w:spacing w:after="0" w:line="480" w:lineRule="auto"/>
        <w:jc w:val="both"/>
        <w:rPr>
          <w:rFonts w:ascii="Times New Roman" w:hAnsi="Times New Roman"/>
          <w:sz w:val="24"/>
          <w:szCs w:val="24"/>
        </w:rPr>
      </w:pPr>
      <w:r w:rsidRPr="004A00C1">
        <w:rPr>
          <w:rFonts w:ascii="Times New Roman" w:hAnsi="Times New Roman"/>
          <w:sz w:val="24"/>
          <w:szCs w:val="24"/>
        </w:rPr>
        <w:t>A visit to Brunei by Mario De</w:t>
      </w:r>
      <w:r w:rsidR="00F52A7F">
        <w:rPr>
          <w:rFonts w:ascii="Times New Roman" w:hAnsi="Times New Roman"/>
          <w:sz w:val="24"/>
          <w:szCs w:val="24"/>
        </w:rPr>
        <w:t xml:space="preserve"> </w:t>
      </w:r>
      <w:r w:rsidRPr="004A00C1">
        <w:rPr>
          <w:rFonts w:ascii="Times New Roman" w:hAnsi="Times New Roman"/>
          <w:sz w:val="24"/>
          <w:szCs w:val="24"/>
        </w:rPr>
        <w:t>Stefano</w:t>
      </w:r>
      <w:r>
        <w:rPr>
          <w:rFonts w:ascii="Times New Roman" w:hAnsi="Times New Roman"/>
          <w:sz w:val="24"/>
          <w:szCs w:val="24"/>
        </w:rPr>
        <w:t>,</w:t>
      </w:r>
      <w:r w:rsidRPr="004A00C1">
        <w:rPr>
          <w:rFonts w:ascii="Times New Roman" w:hAnsi="Times New Roman"/>
          <w:sz w:val="24"/>
          <w:szCs w:val="24"/>
        </w:rPr>
        <w:t xml:space="preserve"> as well as fi</w:t>
      </w:r>
      <w:r>
        <w:rPr>
          <w:rFonts w:ascii="Times New Roman" w:hAnsi="Times New Roman"/>
          <w:sz w:val="24"/>
          <w:szCs w:val="24"/>
        </w:rPr>
        <w:t>e</w:t>
      </w:r>
      <w:r w:rsidRPr="004A00C1">
        <w:rPr>
          <w:rFonts w:ascii="Times New Roman" w:hAnsi="Times New Roman"/>
          <w:sz w:val="24"/>
          <w:szCs w:val="24"/>
        </w:rPr>
        <w:t>ld and laboratory work for this study</w:t>
      </w:r>
      <w:r>
        <w:rPr>
          <w:rFonts w:ascii="Times New Roman" w:hAnsi="Times New Roman"/>
          <w:sz w:val="24"/>
          <w:szCs w:val="24"/>
        </w:rPr>
        <w:t>, were funded through a Brunei Research Council grant to David J. Marshall (UBD/S&amp;T/16). Aimi Adam received a Graduate Research Scholarship (GRS) from the Universiti Brunei Darussalam.</w:t>
      </w:r>
      <w:r w:rsidR="00F52A7F">
        <w:rPr>
          <w:rFonts w:ascii="Times New Roman" w:hAnsi="Times New Roman"/>
          <w:sz w:val="24"/>
          <w:szCs w:val="24"/>
        </w:rPr>
        <w:t xml:space="preserve"> We thank our colleagues: Teddy Chua, Sorya Proum, and Lukasz Polanski for their technical </w:t>
      </w:r>
      <w:r w:rsidR="00F52A7F">
        <w:rPr>
          <w:rFonts w:ascii="Times New Roman" w:hAnsi="Times New Roman"/>
          <w:sz w:val="24"/>
          <w:szCs w:val="24"/>
        </w:rPr>
        <w:lastRenderedPageBreak/>
        <w:t>support.</w:t>
      </w:r>
      <w:r w:rsidR="00C13F94">
        <w:rPr>
          <w:rFonts w:ascii="Times New Roman" w:hAnsi="Times New Roman"/>
          <w:sz w:val="24"/>
          <w:szCs w:val="24"/>
        </w:rPr>
        <w:t xml:space="preserve"> Peter Convey is supported by NERC funding to the British Antarctic Survey’s core programme ‘Ecosystems’.</w:t>
      </w:r>
    </w:p>
    <w:p w:rsidR="00737931" w:rsidRDefault="00737931">
      <w:pPr>
        <w:rPr>
          <w:rFonts w:ascii="Times New Roman" w:hAnsi="Times New Roman"/>
          <w:sz w:val="24"/>
          <w:szCs w:val="24"/>
        </w:rPr>
      </w:pPr>
      <w:r>
        <w:rPr>
          <w:rFonts w:ascii="Times New Roman" w:hAnsi="Times New Roman"/>
          <w:sz w:val="24"/>
          <w:szCs w:val="24"/>
        </w:rPr>
        <w:br w:type="page"/>
      </w:r>
    </w:p>
    <w:p w:rsidR="00737931" w:rsidRPr="007675F7" w:rsidRDefault="00737931" w:rsidP="00737931">
      <w:pPr>
        <w:spacing w:after="160" w:line="259" w:lineRule="auto"/>
        <w:rPr>
          <w:rFonts w:ascii="Times New Roman" w:hAnsi="Times New Roman"/>
          <w:b/>
          <w:sz w:val="24"/>
          <w:szCs w:val="24"/>
        </w:rPr>
      </w:pPr>
      <w:r w:rsidRPr="007675F7">
        <w:rPr>
          <w:rFonts w:ascii="Times New Roman" w:hAnsi="Times New Roman"/>
          <w:b/>
          <w:sz w:val="24"/>
          <w:szCs w:val="24"/>
        </w:rPr>
        <w:lastRenderedPageBreak/>
        <w:t>Figure captions</w:t>
      </w:r>
    </w:p>
    <w:p w:rsidR="00737931" w:rsidRPr="007675F7" w:rsidRDefault="00737931" w:rsidP="00737931">
      <w:pPr>
        <w:spacing w:after="160" w:line="259" w:lineRule="auto"/>
        <w:rPr>
          <w:rFonts w:ascii="Times New Roman" w:hAnsi="Times New Roman"/>
          <w:b/>
          <w:sz w:val="24"/>
          <w:szCs w:val="24"/>
        </w:rPr>
      </w:pP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Fig.1</w:t>
      </w:r>
      <w:r w:rsidRPr="00587D94">
        <w:rPr>
          <w:rFonts w:ascii="Times New Roman" w:hAnsi="Times New Roman"/>
          <w:sz w:val="24"/>
          <w:szCs w:val="24"/>
        </w:rPr>
        <w:tab/>
        <w:t>Sampling stations along Brunei River estuary</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Fig.2</w:t>
      </w:r>
      <w:r w:rsidRPr="00587D94">
        <w:rPr>
          <w:rFonts w:ascii="Times New Roman" w:hAnsi="Times New Roman"/>
          <w:sz w:val="24"/>
          <w:szCs w:val="24"/>
        </w:rPr>
        <w:tab/>
      </w:r>
      <w:r w:rsidRPr="007675F7">
        <w:rPr>
          <w:rFonts w:ascii="Times New Roman" w:hAnsi="Times New Roman"/>
          <w:sz w:val="24"/>
          <w:szCs w:val="24"/>
        </w:rPr>
        <w:t>LM and SEM images</w:t>
      </w:r>
      <w:r w:rsidRPr="00587D94">
        <w:rPr>
          <w:rFonts w:ascii="Times New Roman" w:hAnsi="Times New Roman"/>
          <w:sz w:val="24"/>
          <w:szCs w:val="24"/>
        </w:rPr>
        <w:t xml:space="preserve"> of selected taxa found in Brunei River estuary; </w:t>
      </w:r>
      <w:r w:rsidRPr="00587D94">
        <w:rPr>
          <w:rFonts w:ascii="Times New Roman" w:hAnsi="Times New Roman"/>
          <w:i/>
          <w:sz w:val="24"/>
          <w:szCs w:val="24"/>
        </w:rPr>
        <w:t>Pseudonitzschia</w:t>
      </w:r>
      <w:r w:rsidRPr="00587D94">
        <w:rPr>
          <w:rFonts w:ascii="Times New Roman" w:hAnsi="Times New Roman"/>
          <w:sz w:val="24"/>
          <w:szCs w:val="24"/>
        </w:rPr>
        <w:t xml:space="preserve"> sp., </w:t>
      </w:r>
      <w:r w:rsidRPr="00587D94">
        <w:rPr>
          <w:rFonts w:ascii="Times New Roman" w:hAnsi="Times New Roman"/>
          <w:sz w:val="24"/>
          <w:szCs w:val="24"/>
        </w:rPr>
        <w:tab/>
      </w:r>
      <w:r w:rsidRPr="00587D94">
        <w:rPr>
          <w:rFonts w:ascii="Times New Roman" w:hAnsi="Times New Roman"/>
          <w:i/>
          <w:sz w:val="24"/>
          <w:szCs w:val="24"/>
        </w:rPr>
        <w:t>Pleurosigma</w:t>
      </w:r>
      <w:r w:rsidRPr="00587D94">
        <w:rPr>
          <w:rFonts w:ascii="Times New Roman" w:hAnsi="Times New Roman"/>
          <w:sz w:val="24"/>
          <w:szCs w:val="24"/>
        </w:rPr>
        <w:t xml:space="preserve"> sp., </w:t>
      </w:r>
      <w:r w:rsidRPr="00587D94">
        <w:rPr>
          <w:rFonts w:ascii="Times New Roman" w:hAnsi="Times New Roman"/>
          <w:i/>
          <w:sz w:val="24"/>
          <w:szCs w:val="24"/>
        </w:rPr>
        <w:t xml:space="preserve">Coscinodiscus </w:t>
      </w:r>
      <w:r w:rsidRPr="00587D94">
        <w:rPr>
          <w:rFonts w:ascii="Times New Roman" w:hAnsi="Times New Roman"/>
          <w:sz w:val="24"/>
          <w:szCs w:val="24"/>
        </w:rPr>
        <w:t xml:space="preserve">sp., </w:t>
      </w:r>
      <w:r w:rsidRPr="00587D94">
        <w:rPr>
          <w:rFonts w:ascii="Times New Roman" w:hAnsi="Times New Roman"/>
          <w:i/>
          <w:sz w:val="24"/>
          <w:szCs w:val="24"/>
        </w:rPr>
        <w:t>Bacteriatrum</w:t>
      </w:r>
      <w:r w:rsidRPr="00587D94">
        <w:rPr>
          <w:rFonts w:ascii="Times New Roman" w:hAnsi="Times New Roman"/>
          <w:sz w:val="24"/>
          <w:szCs w:val="24"/>
        </w:rPr>
        <w:t xml:space="preserve"> sp., </w:t>
      </w:r>
      <w:r w:rsidRPr="00587D94">
        <w:rPr>
          <w:rFonts w:ascii="Times New Roman" w:hAnsi="Times New Roman"/>
          <w:i/>
          <w:sz w:val="24"/>
          <w:szCs w:val="24"/>
        </w:rPr>
        <w:t>Ceratium furca</w:t>
      </w:r>
      <w:r w:rsidRPr="00587D94">
        <w:rPr>
          <w:rFonts w:ascii="Times New Roman" w:hAnsi="Times New Roman"/>
          <w:sz w:val="24"/>
          <w:szCs w:val="24"/>
        </w:rPr>
        <w:t xml:space="preserve">., </w:t>
      </w:r>
      <w:r w:rsidRPr="00587D94">
        <w:rPr>
          <w:rFonts w:ascii="Times New Roman" w:hAnsi="Times New Roman"/>
          <w:i/>
          <w:sz w:val="24"/>
          <w:szCs w:val="24"/>
        </w:rPr>
        <w:t>Dinophysis caudata</w:t>
      </w:r>
      <w:r w:rsidRPr="00587D94">
        <w:rPr>
          <w:rFonts w:ascii="Times New Roman" w:hAnsi="Times New Roman"/>
          <w:sz w:val="24"/>
          <w:szCs w:val="24"/>
        </w:rPr>
        <w:t xml:space="preserve">, </w:t>
      </w:r>
      <w:r w:rsidRPr="00587D94">
        <w:rPr>
          <w:rFonts w:ascii="Times New Roman" w:hAnsi="Times New Roman"/>
          <w:sz w:val="24"/>
          <w:szCs w:val="24"/>
        </w:rPr>
        <w:tab/>
      </w:r>
      <w:r w:rsidRPr="00587D94">
        <w:rPr>
          <w:rFonts w:ascii="Times New Roman" w:hAnsi="Times New Roman"/>
          <w:i/>
          <w:sz w:val="24"/>
          <w:szCs w:val="24"/>
        </w:rPr>
        <w:t xml:space="preserve">Protoperidinium </w:t>
      </w:r>
      <w:r w:rsidRPr="00587D94">
        <w:rPr>
          <w:rFonts w:ascii="Times New Roman" w:hAnsi="Times New Roman"/>
          <w:sz w:val="24"/>
          <w:szCs w:val="24"/>
        </w:rPr>
        <w:t>sp.,</w:t>
      </w:r>
      <w:r w:rsidRPr="007675F7">
        <w:rPr>
          <w:rFonts w:ascii="Times New Roman" w:hAnsi="Times New Roman"/>
          <w:sz w:val="24"/>
          <w:szCs w:val="24"/>
        </w:rPr>
        <w:t xml:space="preserve"> …</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Fig.3</w:t>
      </w:r>
      <w:r w:rsidRPr="00587D94">
        <w:rPr>
          <w:rFonts w:ascii="Times New Roman" w:hAnsi="Times New Roman"/>
          <w:sz w:val="24"/>
          <w:szCs w:val="24"/>
        </w:rPr>
        <w:tab/>
      </w:r>
      <w:r w:rsidRPr="007675F7">
        <w:rPr>
          <w:rFonts w:ascii="Times New Roman" w:hAnsi="Times New Roman"/>
          <w:sz w:val="24"/>
          <w:szCs w:val="24"/>
        </w:rPr>
        <w:t>Seasonal changes in</w:t>
      </w:r>
      <w:r w:rsidRPr="00587D94">
        <w:rPr>
          <w:rFonts w:ascii="Times New Roman" w:hAnsi="Times New Roman"/>
          <w:sz w:val="24"/>
          <w:szCs w:val="24"/>
        </w:rPr>
        <w:t xml:space="preserve"> phytoplankton density from August 2011 to June 2012</w:t>
      </w:r>
    </w:p>
    <w:p w:rsidR="00737931" w:rsidRPr="007675F7" w:rsidRDefault="00737931" w:rsidP="00737931">
      <w:pPr>
        <w:spacing w:after="0" w:line="480" w:lineRule="auto"/>
        <w:jc w:val="both"/>
        <w:rPr>
          <w:rFonts w:ascii="Times New Roman" w:hAnsi="Times New Roman"/>
          <w:sz w:val="24"/>
          <w:szCs w:val="24"/>
        </w:rPr>
      </w:pPr>
      <w:r w:rsidRPr="007675F7">
        <w:rPr>
          <w:rFonts w:ascii="Times New Roman" w:hAnsi="Times New Roman"/>
          <w:b/>
          <w:sz w:val="24"/>
          <w:szCs w:val="24"/>
        </w:rPr>
        <w:t>Fig.4</w:t>
      </w:r>
      <w:r w:rsidRPr="007675F7">
        <w:rPr>
          <w:rFonts w:ascii="Times New Roman" w:hAnsi="Times New Roman"/>
          <w:sz w:val="24"/>
          <w:szCs w:val="24"/>
        </w:rPr>
        <w:tab/>
        <w:t>Mean density of the dominant phytoplankton along Brunei River estuary (S1-S3: n=18; S4: n=17) *p&lt;0.05</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 xml:space="preserve">Fig. 5: </w:t>
      </w:r>
      <w:r w:rsidRPr="00587D94">
        <w:rPr>
          <w:rFonts w:ascii="Times New Roman" w:hAnsi="Times New Roman"/>
          <w:sz w:val="24"/>
          <w:szCs w:val="24"/>
        </w:rPr>
        <w:t xml:space="preserve">Quadplot diagram from RDA summarizing the differences in phytoplankton communities </w:t>
      </w:r>
      <w:r>
        <w:rPr>
          <w:rFonts w:ascii="Times New Roman" w:hAnsi="Times New Roman"/>
          <w:sz w:val="24"/>
          <w:szCs w:val="24"/>
        </w:rPr>
        <w:t>observed over the</w:t>
      </w:r>
      <w:r w:rsidRPr="00587D94">
        <w:rPr>
          <w:rFonts w:ascii="Times New Roman" w:hAnsi="Times New Roman"/>
          <w:sz w:val="24"/>
          <w:szCs w:val="24"/>
        </w:rPr>
        <w:t xml:space="preserve"> different sampling season</w:t>
      </w:r>
      <w:r>
        <w:rPr>
          <w:rFonts w:ascii="Times New Roman" w:hAnsi="Times New Roman"/>
          <w:sz w:val="24"/>
          <w:szCs w:val="24"/>
        </w:rPr>
        <w:t>s</w:t>
      </w:r>
      <w:r w:rsidRPr="00587D94">
        <w:rPr>
          <w:rFonts w:ascii="Times New Roman" w:hAnsi="Times New Roman"/>
          <w:sz w:val="24"/>
          <w:szCs w:val="24"/>
        </w:rPr>
        <w:t>. Score scaling is focused on phytoplankton taxa scores (standardized). Eigenvalues: 0.2871, 0.0073, 0.0066</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Empty arrows = environmental variables (supplementary)</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Solid arrows = phytoplankton taxa</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Solid triangles = sampling season: SWM = south-western monsoon, NEM = north-eastern monsoon, A = April (dry inter-monsoon period), O = October (dry inter-monsoon period)</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Individual symbols represent dummy variables corresponding to individual levels of a factor (seasons). The distance between the symbols approximates the average dissimilarity of phytoplankton composition between the four sample classes (different seasons) being compared as measured by their Euclidean distance. This approximation is not optimal, because the scaling of scores is not focused on the distances between samples.</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 xml:space="preserve">“PH” and “Salinity” arrows point in the direction of the steepest increase of environmental variable (suppl.) values. The angle between arrows indicates the correlation between the two variables. </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lastRenderedPageBreak/>
        <w:t xml:space="preserve">Phytoplankton taxa arrows point in the direction of the steepest increase of the values for corresponding alga. The angle between arrows indicates the correlation between the algae: the approximated correlation is positive when the angle is </w:t>
      </w:r>
      <w:r>
        <w:rPr>
          <w:rFonts w:ascii="Times New Roman" w:hAnsi="Times New Roman"/>
          <w:sz w:val="24"/>
          <w:szCs w:val="24"/>
        </w:rPr>
        <w:t>acute</w:t>
      </w:r>
      <w:r w:rsidRPr="00587D94">
        <w:rPr>
          <w:rFonts w:ascii="Times New Roman" w:hAnsi="Times New Roman"/>
          <w:sz w:val="24"/>
          <w:szCs w:val="24"/>
        </w:rPr>
        <w:t xml:space="preserve"> and negative when the angle is larger than 90 degrees. The length of the arrow is a measure of fit for the algal taxon (correlation of that alga with the ordination axes).</w:t>
      </w: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w:t>
      </w:r>
      <w:r w:rsidRPr="00587D94">
        <w:rPr>
          <w:rFonts w:ascii="Times New Roman" w:hAnsi="Times New Roman"/>
          <w:sz w:val="24"/>
          <w:szCs w:val="24"/>
        </w:rPr>
        <w:t xml:space="preserve"> </w:t>
      </w:r>
      <w:r w:rsidRPr="00587D94">
        <w:rPr>
          <w:rFonts w:ascii="Times New Roman" w:hAnsi="Times New Roman"/>
          <w:b/>
          <w:sz w:val="24"/>
          <w:szCs w:val="24"/>
        </w:rPr>
        <w:t>6</w:t>
      </w:r>
      <w:r w:rsidRPr="00587D94">
        <w:rPr>
          <w:rFonts w:ascii="Times New Roman" w:hAnsi="Times New Roman"/>
          <w:sz w:val="24"/>
          <w:szCs w:val="24"/>
        </w:rPr>
        <w:t xml:space="preserve"> Scatter of samples classified into </w:t>
      </w:r>
      <w:r>
        <w:rPr>
          <w:rFonts w:ascii="Times New Roman" w:hAnsi="Times New Roman"/>
          <w:sz w:val="24"/>
          <w:szCs w:val="24"/>
        </w:rPr>
        <w:t>four</w:t>
      </w:r>
      <w:r w:rsidRPr="00587D94">
        <w:rPr>
          <w:rFonts w:ascii="Times New Roman" w:hAnsi="Times New Roman"/>
          <w:sz w:val="24"/>
          <w:szCs w:val="24"/>
        </w:rPr>
        <w:t xml:space="preserve"> groups according to the season in which they were collected. The polygons are plotted in the space of the first two RDA axes. Score scaling is focused on phytoplankton taxa scores (standardized).</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SWM = south-western monsoon, NEM = north-eastern monsoon, A = April (dry inter-monsoon period), O = October (dry inter-monsoon period)</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Black forms represent dummy variables corresponding to individual levels of a factor representing individual groups of samples. The distance between the symbols approximates the average dissimilarity of phytoplankton composition between the sample classes being compared as measured by their Euclidean distance.</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The distance between the sample symbols (grey forms) approximates the dissimilarity of their phytoplankton composition (Euclidean distance).</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The distance of selected sample symbol (grey forms) from season symbols (black forms) predicts the sample membership in one of the groups. It also reflects the dissimilarity between phytoplankton composition of that sample and average phytoplankton composition of samples belonging to other groups.</w:t>
      </w: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lastRenderedPageBreak/>
        <w:t xml:space="preserve">Fig. 7 </w:t>
      </w:r>
      <w:r w:rsidRPr="00587D94">
        <w:rPr>
          <w:rFonts w:ascii="Times New Roman" w:hAnsi="Times New Roman"/>
          <w:sz w:val="24"/>
          <w:szCs w:val="24"/>
        </w:rPr>
        <w:t>Biplot diagram from RDA summarizing the differences in phytoplankton communities caused by difference in sampling site. Score scaling is focused on phytoplankton taxa scores (standardized). Only the 15 best fitting taxa are shown (fit into the ordination space on both axes = 6.7%).</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Eigenvalues: 0.0732, 0.0135, 0.0054</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Solid arrows = phytoplankton taxa</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Solid triangles = sampling sites</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Triangles represent dummy variables corresponding to individual sampling site. The distance between the symbols approximates the average dissimilarity of phytoplankton composition between the four sampling sites being compared as measured by their Euclidean distance. This approximation is not optimal, because the scaling of scores is not focused on the distances between samples.</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 xml:space="preserve">Phytoplankton taxa arrows point in the direction of the steepest increase of the values for corresponding alga. The angle between arrows indicates the correlation between the taxa: the approximated correlation is positive when the angle is </w:t>
      </w:r>
      <w:r>
        <w:rPr>
          <w:rFonts w:ascii="Times New Roman" w:hAnsi="Times New Roman"/>
          <w:sz w:val="24"/>
          <w:szCs w:val="24"/>
        </w:rPr>
        <w:t>acute</w:t>
      </w:r>
      <w:r w:rsidRPr="00587D94">
        <w:rPr>
          <w:rFonts w:ascii="Times New Roman" w:hAnsi="Times New Roman"/>
          <w:sz w:val="24"/>
          <w:szCs w:val="24"/>
        </w:rPr>
        <w:t xml:space="preserve"> and negative when the angle is larger than 90 degrees. The length of the arrow is a measure of fit for the algal taxon (correlation of that alga with the ordination axes).</w:t>
      </w: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 8</w:t>
      </w:r>
      <w:r w:rsidRPr="00587D94">
        <w:rPr>
          <w:rFonts w:ascii="Times New Roman" w:hAnsi="Times New Roman"/>
          <w:sz w:val="24"/>
          <w:szCs w:val="24"/>
        </w:rPr>
        <w:t xml:space="preserve"> Scatter of samples classified into </w:t>
      </w:r>
      <w:r>
        <w:rPr>
          <w:rFonts w:ascii="Times New Roman" w:hAnsi="Times New Roman"/>
          <w:sz w:val="24"/>
          <w:szCs w:val="24"/>
        </w:rPr>
        <w:t>four</w:t>
      </w:r>
      <w:r w:rsidRPr="00587D94">
        <w:rPr>
          <w:rFonts w:ascii="Times New Roman" w:hAnsi="Times New Roman"/>
          <w:sz w:val="24"/>
          <w:szCs w:val="24"/>
        </w:rPr>
        <w:t xml:space="preserve"> groups according to the sampling site where they were collected. The polygons are plotted in the space of the first two RDA axes. Score scaling is focused on phytoplankton taxa scores (standardized).</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 xml:space="preserve">White squares represent dummy variables corresponding to individual sampling site representing individual groups of samples. The distance between the symbols approximates the average </w:t>
      </w:r>
      <w:r w:rsidRPr="00587D94">
        <w:rPr>
          <w:rFonts w:ascii="Times New Roman" w:hAnsi="Times New Roman"/>
          <w:sz w:val="24"/>
          <w:szCs w:val="24"/>
        </w:rPr>
        <w:lastRenderedPageBreak/>
        <w:t>dissimilarity of phytoplankton composition between the sample classes being compared as measured by their Euclidean distance.</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The distance between the sample symbols (grey forms) approximates the dissimilarity of their phytoplankton composition (Euclidean distance).</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The distance of selected sample symbol (grey forms) from sampling site symbols (white squares) predicts the sample membership in one of the groups. It also reflects the dissimilarity between phytoplankton composition of that sample and average phytoplankton composition of samples belonging to other groups.</w:t>
      </w: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b/>
          <w:sz w:val="24"/>
          <w:szCs w:val="24"/>
        </w:rPr>
      </w:pPr>
      <w:r w:rsidRPr="00587D94">
        <w:rPr>
          <w:rFonts w:ascii="Times New Roman" w:hAnsi="Times New Roman"/>
          <w:b/>
          <w:sz w:val="24"/>
          <w:szCs w:val="24"/>
        </w:rPr>
        <w:t xml:space="preserve">Figure 9 </w:t>
      </w:r>
      <w:r w:rsidRPr="00587D94">
        <w:rPr>
          <w:rFonts w:ascii="Times New Roman" w:hAnsi="Times New Roman"/>
          <w:sz w:val="24"/>
          <w:szCs w:val="24"/>
        </w:rPr>
        <w:t>Biplot diagram from RDA visualizing the joint effect of pH and salinity on phytoplankton communities.</w:t>
      </w:r>
      <w:r w:rsidRPr="00587D94">
        <w:rPr>
          <w:rFonts w:ascii="Times New Roman" w:hAnsi="Times New Roman"/>
          <w:b/>
          <w:sz w:val="24"/>
          <w:szCs w:val="24"/>
        </w:rPr>
        <w:t xml:space="preserve"> </w:t>
      </w:r>
      <w:r w:rsidRPr="00587D94">
        <w:rPr>
          <w:rFonts w:ascii="Times New Roman" w:hAnsi="Times New Roman"/>
          <w:sz w:val="24"/>
          <w:szCs w:val="24"/>
        </w:rPr>
        <w:t>Score scaling is focused on alga scores (standardized).</w:t>
      </w:r>
      <w:r w:rsidRPr="00587D94">
        <w:rPr>
          <w:rFonts w:ascii="Times New Roman" w:hAnsi="Times New Roman"/>
          <w:b/>
          <w:sz w:val="24"/>
          <w:szCs w:val="24"/>
        </w:rPr>
        <w:t xml:space="preserve"> </w:t>
      </w:r>
      <w:r w:rsidRPr="00587D94">
        <w:rPr>
          <w:rFonts w:ascii="Times New Roman" w:hAnsi="Times New Roman"/>
          <w:sz w:val="24"/>
          <w:szCs w:val="24"/>
        </w:rPr>
        <w:t>Only the 20 best fitting taxa are shown (fit into the ordination space on both axes = 4.2%).</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 xml:space="preserve">Environmental variable arrows (pH and salinity) point in the direction of the steepest increase of environmental variable values. The angle between arrows indicates the correlation between the two environmental variables. </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 xml:space="preserve">Phytoplankton taxa arrows point in the direction of the steepest increase of the values for corresponding taxon. The angle between arrows indicates the correlation between the algal taxa: the approximated correlation is positive when the angle is </w:t>
      </w:r>
      <w:r>
        <w:rPr>
          <w:rFonts w:ascii="Times New Roman" w:hAnsi="Times New Roman"/>
          <w:sz w:val="24"/>
          <w:szCs w:val="24"/>
        </w:rPr>
        <w:t>acute</w:t>
      </w:r>
      <w:r w:rsidRPr="00587D94">
        <w:rPr>
          <w:rFonts w:ascii="Times New Roman" w:hAnsi="Times New Roman"/>
          <w:sz w:val="24"/>
          <w:szCs w:val="24"/>
        </w:rPr>
        <w:t xml:space="preserve"> and negative when the angle is larger than 90 degrees. The length of the taxa arrows is the multiple correlation of the individual taxon with the ordination axes.</w:t>
      </w:r>
    </w:p>
    <w:p w:rsidR="00737931" w:rsidRPr="00587D94" w:rsidRDefault="00737931" w:rsidP="00737931">
      <w:pPr>
        <w:spacing w:after="0" w:line="480" w:lineRule="auto"/>
        <w:jc w:val="both"/>
        <w:rPr>
          <w:rFonts w:ascii="Times New Roman" w:hAnsi="Times New Roman"/>
          <w:sz w:val="24"/>
          <w:szCs w:val="24"/>
        </w:rPr>
      </w:pPr>
    </w:p>
    <w:p w:rsidR="00737931" w:rsidRDefault="00737931">
      <w:pPr>
        <w:rPr>
          <w:rFonts w:ascii="Times New Roman" w:hAnsi="Times New Roman"/>
          <w:b/>
          <w:sz w:val="24"/>
          <w:szCs w:val="24"/>
        </w:rPr>
      </w:pPr>
      <w:r>
        <w:rPr>
          <w:rFonts w:ascii="Times New Roman" w:hAnsi="Times New Roman"/>
          <w:b/>
          <w:sz w:val="24"/>
          <w:szCs w:val="24"/>
        </w:rPr>
        <w:br w:type="page"/>
      </w:r>
    </w:p>
    <w:p w:rsidR="00737931" w:rsidRPr="00587D94" w:rsidRDefault="00737931" w:rsidP="00737931">
      <w:pPr>
        <w:spacing w:after="0" w:line="480" w:lineRule="auto"/>
        <w:jc w:val="both"/>
        <w:rPr>
          <w:rFonts w:ascii="Times New Roman" w:hAnsi="Times New Roman"/>
          <w:b/>
          <w:sz w:val="24"/>
          <w:szCs w:val="24"/>
        </w:rPr>
      </w:pPr>
      <w:r w:rsidRPr="00587D94">
        <w:rPr>
          <w:rFonts w:ascii="Times New Roman" w:hAnsi="Times New Roman"/>
          <w:b/>
          <w:sz w:val="24"/>
          <w:szCs w:val="24"/>
        </w:rPr>
        <w:lastRenderedPageBreak/>
        <w:t>Supplemental material</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Figure 9a</w:t>
      </w:r>
      <w:r w:rsidRPr="00587D94">
        <w:rPr>
          <w:rFonts w:ascii="Times New Roman" w:hAnsi="Times New Roman"/>
          <w:sz w:val="24"/>
          <w:szCs w:val="24"/>
        </w:rPr>
        <w:t xml:space="preserve"> Biplot diagram from RDA visualizing the partial effect of pH (after subtraction of the shared effect of pH and salinity) on phytoplankton taxa.</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Figure 9b</w:t>
      </w:r>
      <w:r w:rsidRPr="00587D94">
        <w:rPr>
          <w:rFonts w:ascii="Times New Roman" w:hAnsi="Times New Roman"/>
          <w:sz w:val="24"/>
          <w:szCs w:val="24"/>
        </w:rPr>
        <w:t xml:space="preserve"> Biplot diagram from RDA visualizing the partial effect of salinity (after subtraction of the shared effect of pH and salinity) on phytoplankton taxa.</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Figure 10a</w:t>
      </w:r>
      <w:r w:rsidRPr="00587D94">
        <w:rPr>
          <w:rFonts w:ascii="Times New Roman" w:hAnsi="Times New Roman"/>
          <w:sz w:val="24"/>
          <w:szCs w:val="24"/>
        </w:rPr>
        <w:t xml:space="preserve"> Biplot diagram from RDA visualizing the partial effect of pH (after subtraction of the shared effect of pH and temperature) on phytoplankton taxa.</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Figure 10b</w:t>
      </w:r>
      <w:r w:rsidRPr="00587D94">
        <w:rPr>
          <w:rFonts w:ascii="Times New Roman" w:hAnsi="Times New Roman"/>
          <w:sz w:val="24"/>
          <w:szCs w:val="24"/>
        </w:rPr>
        <w:t xml:space="preserve"> Biplot diagram from RDA visualizing the partial effect of temperature (after subtraction of the shared effect of pH and temperature) on phytoplankton taxa.</w:t>
      </w:r>
    </w:p>
    <w:p w:rsidR="00737931" w:rsidRPr="00587D94" w:rsidRDefault="00737931" w:rsidP="00737931">
      <w:pPr>
        <w:spacing w:after="0" w:line="480" w:lineRule="auto"/>
        <w:jc w:val="both"/>
        <w:rPr>
          <w:rFonts w:ascii="Times New Roman" w:hAnsi="Times New Roman"/>
          <w:b/>
          <w:sz w:val="24"/>
          <w:szCs w:val="24"/>
        </w:rPr>
      </w:pP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 xml:space="preserve">Figure 10 </w:t>
      </w:r>
      <w:r w:rsidRPr="00587D94">
        <w:rPr>
          <w:rFonts w:ascii="Times New Roman" w:hAnsi="Times New Roman"/>
          <w:sz w:val="24"/>
          <w:szCs w:val="24"/>
        </w:rPr>
        <w:t>Biplot diagram from RDA visualizing the joint effect of pH and temperature on phytoplankton communities.</w:t>
      </w:r>
      <w:r w:rsidRPr="00587D94">
        <w:rPr>
          <w:rFonts w:ascii="Times New Roman" w:hAnsi="Times New Roman"/>
          <w:b/>
          <w:sz w:val="24"/>
          <w:szCs w:val="24"/>
        </w:rPr>
        <w:t xml:space="preserve"> </w:t>
      </w:r>
      <w:r w:rsidRPr="00587D94">
        <w:rPr>
          <w:rFonts w:ascii="Times New Roman" w:hAnsi="Times New Roman"/>
          <w:sz w:val="24"/>
          <w:szCs w:val="24"/>
        </w:rPr>
        <w:t>Score scaling is focused on alga scores (standardized).</w:t>
      </w:r>
      <w:r w:rsidRPr="00587D94">
        <w:rPr>
          <w:rFonts w:ascii="Times New Roman" w:hAnsi="Times New Roman"/>
          <w:b/>
          <w:sz w:val="24"/>
          <w:szCs w:val="24"/>
        </w:rPr>
        <w:t xml:space="preserve"> </w:t>
      </w:r>
      <w:r w:rsidRPr="00587D94">
        <w:rPr>
          <w:rFonts w:ascii="Times New Roman" w:hAnsi="Times New Roman"/>
          <w:sz w:val="24"/>
          <w:szCs w:val="24"/>
        </w:rPr>
        <w:t xml:space="preserve">Environmental variable arrows (pH and temperature) point in the direction of the steepest increase of environmental variable values. The angle between arrows indicates the correlation between the two environmental variables. </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t>Phytoplankton taxa arrows point in the direction of the steepest increase of the values for corresponding taxon. The angle between arrows indicates the correlation between the algal taxa: the approximated correlation is positive when the angle is sharp and negative when the angle is larger than 90 degrees. The length of the taxa arrows is the multiple correlation of the individual taxon with the ordination axes.</w:t>
      </w:r>
    </w:p>
    <w:p w:rsidR="00737931" w:rsidRPr="00587D94" w:rsidRDefault="00737931" w:rsidP="00737931">
      <w:pPr>
        <w:spacing w:after="0" w:line="480" w:lineRule="auto"/>
        <w:jc w:val="both"/>
        <w:rPr>
          <w:rFonts w:ascii="Times New Roman" w:hAnsi="Times New Roman"/>
          <w:sz w:val="24"/>
          <w:szCs w:val="24"/>
        </w:rPr>
      </w:pP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Figure 11</w:t>
      </w:r>
      <w:r w:rsidRPr="00587D94">
        <w:rPr>
          <w:rFonts w:ascii="Times New Roman" w:hAnsi="Times New Roman"/>
          <w:sz w:val="24"/>
          <w:szCs w:val="24"/>
        </w:rPr>
        <w:t xml:space="preserve"> Phytoplankton diversity diagram (RDA). Score scaling is focused on phytoplankton taxa scores (standardized).</w:t>
      </w:r>
    </w:p>
    <w:p w:rsidR="00737931" w:rsidRPr="00587D94" w:rsidRDefault="00737931" w:rsidP="00737931">
      <w:pPr>
        <w:spacing w:after="0" w:line="480" w:lineRule="auto"/>
        <w:jc w:val="both"/>
        <w:rPr>
          <w:rFonts w:ascii="Times New Roman" w:hAnsi="Times New Roman"/>
          <w:sz w:val="24"/>
          <w:szCs w:val="24"/>
        </w:rPr>
      </w:pPr>
      <w:r w:rsidRPr="00587D94">
        <w:rPr>
          <w:rFonts w:ascii="Times New Roman" w:hAnsi="Times New Roman"/>
          <w:sz w:val="24"/>
          <w:szCs w:val="24"/>
        </w:rPr>
        <w:lastRenderedPageBreak/>
        <w:t>Distance between the samples (grey circles) approximates the dissimilarity of their phytoplankton composition as measured by their Euclidean distance. Circle size varies, reflecting the number of taxa within samples: the greater the size, the higher number of taxa found in the sample.</w:t>
      </w:r>
    </w:p>
    <w:p w:rsidR="00737931" w:rsidRDefault="00737931" w:rsidP="00737931">
      <w:pPr>
        <w:spacing w:after="0" w:line="480" w:lineRule="auto"/>
        <w:jc w:val="both"/>
        <w:rPr>
          <w:rFonts w:ascii="Times New Roman" w:hAnsi="Times New Roman"/>
          <w:sz w:val="24"/>
          <w:szCs w:val="24"/>
        </w:rPr>
      </w:pPr>
      <w:r w:rsidRPr="00587D94">
        <w:rPr>
          <w:rFonts w:ascii="Times New Roman" w:hAnsi="Times New Roman"/>
          <w:b/>
          <w:sz w:val="24"/>
          <w:szCs w:val="24"/>
        </w:rPr>
        <w:t>Figure 12</w:t>
      </w:r>
      <w:r w:rsidRPr="00587D94">
        <w:rPr>
          <w:rFonts w:ascii="Times New Roman" w:hAnsi="Times New Roman"/>
          <w:sz w:val="24"/>
          <w:szCs w:val="24"/>
        </w:rPr>
        <w:t xml:space="preserve"> GAM (generalized additive model) plot of phytoplankton taxa number within samples against pH.</w:t>
      </w:r>
    </w:p>
    <w:p w:rsidR="00737931" w:rsidRDefault="00737931" w:rsidP="00737931">
      <w:pPr>
        <w:spacing w:after="0" w:line="480" w:lineRule="auto"/>
        <w:jc w:val="both"/>
        <w:rPr>
          <w:rFonts w:ascii="Times New Roman" w:hAnsi="Times New Roman"/>
          <w:sz w:val="24"/>
          <w:szCs w:val="24"/>
        </w:rPr>
      </w:pPr>
    </w:p>
    <w:p w:rsidR="00737931" w:rsidRDefault="00737931" w:rsidP="00737931">
      <w:pPr>
        <w:spacing w:after="0" w:line="480" w:lineRule="auto"/>
        <w:jc w:val="both"/>
        <w:rPr>
          <w:rFonts w:ascii="Times New Roman" w:hAnsi="Times New Roman"/>
          <w:sz w:val="24"/>
          <w:szCs w:val="24"/>
        </w:rPr>
      </w:pPr>
    </w:p>
    <w:p w:rsidR="00737931" w:rsidRDefault="00737931" w:rsidP="00737931">
      <w:pPr>
        <w:spacing w:after="0" w:line="480" w:lineRule="auto"/>
        <w:jc w:val="both"/>
        <w:rPr>
          <w:rFonts w:ascii="Times New Roman" w:hAnsi="Times New Roman"/>
          <w:sz w:val="24"/>
          <w:szCs w:val="24"/>
        </w:rPr>
      </w:pPr>
    </w:p>
    <w:p w:rsidR="00737931" w:rsidRDefault="00737931">
      <w:pPr>
        <w:rPr>
          <w:rFonts w:ascii="Times New Roman" w:hAnsi="Times New Roman"/>
          <w:b/>
        </w:rPr>
      </w:pPr>
      <w:r>
        <w:rPr>
          <w:rFonts w:ascii="Times New Roman" w:hAnsi="Times New Roman"/>
          <w:b/>
        </w:rPr>
        <w:br w:type="page"/>
      </w:r>
    </w:p>
    <w:p w:rsidR="00737931" w:rsidRDefault="00737931" w:rsidP="00737931">
      <w:pPr>
        <w:spacing w:after="0" w:line="480" w:lineRule="auto"/>
        <w:ind w:left="426" w:hanging="426"/>
        <w:jc w:val="both"/>
        <w:rPr>
          <w:rFonts w:ascii="Times New Roman" w:hAnsi="Times New Roman"/>
        </w:rPr>
      </w:pPr>
      <w:r>
        <w:rPr>
          <w:rFonts w:ascii="Times New Roman" w:hAnsi="Times New Roman"/>
          <w:b/>
        </w:rPr>
        <w:lastRenderedPageBreak/>
        <w:t xml:space="preserve">Table 1 </w:t>
      </w:r>
      <w:r w:rsidRPr="00937B95">
        <w:rPr>
          <w:rFonts w:ascii="Times New Roman" w:hAnsi="Times New Roman"/>
        </w:rPr>
        <w:t>List of the phytoplankton in the Sg. Brunei estuary</w:t>
      </w:r>
    </w:p>
    <w:p w:rsidR="00737931" w:rsidRDefault="00737931" w:rsidP="00737931">
      <w:pPr>
        <w:spacing w:after="0" w:line="480" w:lineRule="auto"/>
        <w:ind w:left="426" w:hanging="426"/>
        <w:jc w:val="both"/>
        <w:rPr>
          <w:rFonts w:ascii="Times New Roman" w:hAnsi="Times New Roman"/>
        </w:rPr>
      </w:pPr>
    </w:p>
    <w:tbl>
      <w:tblPr>
        <w:tblStyle w:val="TableGrid"/>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7"/>
        <w:gridCol w:w="2003"/>
        <w:gridCol w:w="5538"/>
      </w:tblGrid>
      <w:tr w:rsidR="00737931" w:rsidRPr="00721D08" w:rsidTr="008E53B9">
        <w:trPr>
          <w:trHeight w:val="138"/>
        </w:trPr>
        <w:tc>
          <w:tcPr>
            <w:tcW w:w="1827" w:type="dxa"/>
            <w:tcBorders>
              <w:bottom w:val="double" w:sz="4" w:space="0" w:color="auto"/>
            </w:tcBorders>
          </w:tcPr>
          <w:p w:rsidR="00737931" w:rsidRPr="00721D08" w:rsidRDefault="00737931" w:rsidP="008E53B9">
            <w:pPr>
              <w:spacing w:line="360" w:lineRule="auto"/>
              <w:rPr>
                <w:rFonts w:ascii="Times New Roman" w:hAnsi="Times New Roman"/>
                <w:b/>
                <w:sz w:val="20"/>
                <w:szCs w:val="20"/>
              </w:rPr>
            </w:pPr>
            <w:r w:rsidRPr="00721D08">
              <w:rPr>
                <w:rFonts w:ascii="Times New Roman" w:hAnsi="Times New Roman"/>
                <w:b/>
                <w:sz w:val="20"/>
                <w:szCs w:val="20"/>
              </w:rPr>
              <w:t>CLASS</w:t>
            </w:r>
          </w:p>
        </w:tc>
        <w:tc>
          <w:tcPr>
            <w:tcW w:w="2003" w:type="dxa"/>
            <w:tcBorders>
              <w:bottom w:val="double" w:sz="4" w:space="0" w:color="auto"/>
            </w:tcBorders>
          </w:tcPr>
          <w:p w:rsidR="00737931" w:rsidRPr="00721D08" w:rsidRDefault="00737931" w:rsidP="008E53B9">
            <w:pPr>
              <w:spacing w:line="360" w:lineRule="auto"/>
              <w:rPr>
                <w:rFonts w:ascii="Times New Roman" w:hAnsi="Times New Roman"/>
                <w:b/>
                <w:sz w:val="20"/>
                <w:szCs w:val="20"/>
              </w:rPr>
            </w:pPr>
            <w:r w:rsidRPr="00721D08">
              <w:rPr>
                <w:rFonts w:ascii="Times New Roman" w:hAnsi="Times New Roman"/>
                <w:b/>
                <w:sz w:val="20"/>
                <w:szCs w:val="20"/>
              </w:rPr>
              <w:t>FAMILY</w:t>
            </w:r>
          </w:p>
        </w:tc>
        <w:tc>
          <w:tcPr>
            <w:tcW w:w="5538" w:type="dxa"/>
            <w:tcBorders>
              <w:bottom w:val="double" w:sz="4" w:space="0" w:color="auto"/>
            </w:tcBorders>
          </w:tcPr>
          <w:p w:rsidR="00737931" w:rsidRPr="00721D08" w:rsidRDefault="00737931" w:rsidP="008E53B9">
            <w:pPr>
              <w:spacing w:line="360" w:lineRule="auto"/>
              <w:rPr>
                <w:rFonts w:ascii="Times New Roman" w:hAnsi="Times New Roman"/>
                <w:sz w:val="20"/>
                <w:szCs w:val="20"/>
              </w:rPr>
            </w:pPr>
          </w:p>
        </w:tc>
      </w:tr>
      <w:tr w:rsidR="00737931" w:rsidRPr="00721D08" w:rsidTr="008E53B9">
        <w:trPr>
          <w:trHeight w:val="138"/>
        </w:trPr>
        <w:tc>
          <w:tcPr>
            <w:tcW w:w="1827" w:type="dxa"/>
            <w:tcBorders>
              <w:top w:val="double" w:sz="4"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b/>
                <w:sz w:val="20"/>
                <w:szCs w:val="20"/>
              </w:rPr>
              <w:t>Bacillariophyceae</w:t>
            </w:r>
          </w:p>
        </w:tc>
        <w:tc>
          <w:tcPr>
            <w:tcW w:w="2003" w:type="dxa"/>
            <w:tcBorders>
              <w:top w:val="double" w:sz="4"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sz w:val="20"/>
                <w:szCs w:val="20"/>
              </w:rPr>
              <w:t>Achanthaceae</w:t>
            </w:r>
          </w:p>
        </w:tc>
        <w:tc>
          <w:tcPr>
            <w:tcW w:w="5538" w:type="dxa"/>
            <w:tcBorders>
              <w:top w:val="double" w:sz="4"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i/>
                <w:sz w:val="20"/>
                <w:szCs w:val="20"/>
              </w:rPr>
              <w:t>Achnanthes</w:t>
            </w:r>
            <w:r w:rsidRPr="00721D08">
              <w:rPr>
                <w:rFonts w:ascii="Times New Roman" w:hAnsi="Times New Roman"/>
                <w:sz w:val="20"/>
                <w:szCs w:val="20"/>
              </w:rPr>
              <w:t>sp</w:t>
            </w:r>
          </w:p>
        </w:tc>
      </w:tr>
      <w:tr w:rsidR="00737931" w:rsidRPr="00721D08" w:rsidTr="008E53B9">
        <w:trPr>
          <w:trHeight w:val="138"/>
        </w:trPr>
        <w:tc>
          <w:tcPr>
            <w:tcW w:w="1827" w:type="dxa"/>
          </w:tcPr>
          <w:p w:rsidR="00737931" w:rsidRPr="00721D08" w:rsidRDefault="00737931" w:rsidP="008E53B9">
            <w:pPr>
              <w:spacing w:before="240"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Amphipleuraceae</w:t>
            </w: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rPr>
              <w:t>Amphiprora</w:t>
            </w:r>
            <w:r w:rsidRPr="00721D08">
              <w:rPr>
                <w:rFonts w:ascii="Times New Roman" w:hAnsi="Times New Roman"/>
                <w:sz w:val="20"/>
                <w:szCs w:val="20"/>
              </w:rPr>
              <w:t xml:space="preserve"> sp.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lang w:val="it-IT"/>
              </w:rPr>
              <w:t>Bacillariaceae</w:t>
            </w: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lang w:val="it-IT"/>
              </w:rPr>
              <w:t>Nitzschia</w:t>
            </w:r>
            <w:r>
              <w:rPr>
                <w:rFonts w:ascii="Times New Roman" w:hAnsi="Times New Roman"/>
                <w:i/>
                <w:sz w:val="20"/>
                <w:szCs w:val="20"/>
                <w:lang w:val="it-IT"/>
              </w:rPr>
              <w:t xml:space="preserve"> </w:t>
            </w:r>
            <w:r w:rsidRPr="00721D08">
              <w:rPr>
                <w:rFonts w:ascii="Times New Roman" w:hAnsi="Times New Roman"/>
                <w:i/>
                <w:sz w:val="20"/>
                <w:szCs w:val="20"/>
                <w:lang w:val="it-IT"/>
              </w:rPr>
              <w:t>longissima</w:t>
            </w:r>
            <w:r>
              <w:rPr>
                <w:rFonts w:ascii="Times New Roman" w:hAnsi="Times New Roman"/>
                <w:i/>
                <w:sz w:val="20"/>
                <w:szCs w:val="20"/>
                <w:lang w:val="it-IT"/>
              </w:rPr>
              <w:t xml:space="preserve"> </w:t>
            </w:r>
            <w:r w:rsidRPr="00721D08">
              <w:rPr>
                <w:rFonts w:ascii="Times New Roman" w:hAnsi="Times New Roman"/>
                <w:sz w:val="20"/>
                <w:szCs w:val="20"/>
                <w:lang w:val="it-IT"/>
              </w:rPr>
              <w:t>(Brébisson) Ralfs</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lang w:val="it-IT"/>
              </w:rPr>
              <w:t>Nitzschia</w:t>
            </w:r>
            <w:r>
              <w:rPr>
                <w:rFonts w:ascii="Times New Roman" w:hAnsi="Times New Roman"/>
                <w:i/>
                <w:sz w:val="20"/>
                <w:szCs w:val="20"/>
                <w:lang w:val="it-IT"/>
              </w:rPr>
              <w:t xml:space="preserve"> </w:t>
            </w:r>
            <w:r w:rsidRPr="00721D08">
              <w:rPr>
                <w:rFonts w:ascii="Times New Roman" w:hAnsi="Times New Roman"/>
                <w:sz w:val="20"/>
                <w:szCs w:val="20"/>
                <w:lang w:val="it-IT"/>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lang w:val="it-IT"/>
              </w:rPr>
              <w:t>Pseudo-nitzchia</w:t>
            </w:r>
            <w:r>
              <w:rPr>
                <w:rFonts w:ascii="Times New Roman" w:hAnsi="Times New Roman"/>
                <w:i/>
                <w:sz w:val="20"/>
                <w:szCs w:val="20"/>
                <w:lang w:val="it-IT"/>
              </w:rPr>
              <w:t xml:space="preserve"> </w:t>
            </w:r>
            <w:r w:rsidRPr="00721D08">
              <w:rPr>
                <w:rFonts w:ascii="Times New Roman" w:hAnsi="Times New Roman"/>
                <w:sz w:val="20"/>
                <w:szCs w:val="20"/>
                <w:lang w:val="it-IT"/>
              </w:rPr>
              <w:t>sp.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lang w:val="it-IT"/>
              </w:rPr>
              <w:t>Biddulphiaceae</w:t>
            </w: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rPr>
              <w:t>Biddulphia mobiliensis</w:t>
            </w:r>
            <w:r>
              <w:rPr>
                <w:rFonts w:ascii="Times New Roman" w:hAnsi="Times New Roman"/>
                <w:i/>
                <w:sz w:val="20"/>
                <w:szCs w:val="20"/>
              </w:rPr>
              <w:t xml:space="preserve"> </w:t>
            </w:r>
            <w:r w:rsidRPr="00721D08">
              <w:rPr>
                <w:rFonts w:ascii="Times New Roman" w:hAnsi="Times New Roman"/>
                <w:sz w:val="20"/>
                <w:szCs w:val="20"/>
              </w:rPr>
              <w:t>(J.W.Bailey) Grunow</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rPr>
              <w:t xml:space="preserve">Biddulphia </w:t>
            </w:r>
            <w:r w:rsidRPr="00721D08" w:rsidDel="00ED5D03">
              <w:rPr>
                <w:rFonts w:ascii="Times New Roman" w:hAnsi="Times New Roman"/>
                <w:i/>
                <w:sz w:val="20"/>
                <w:szCs w:val="20"/>
              </w:rPr>
              <w:t>sinensis</w:t>
            </w:r>
            <w:r>
              <w:rPr>
                <w:rFonts w:ascii="Times New Roman" w:hAnsi="Times New Roman"/>
                <w:i/>
                <w:sz w:val="20"/>
                <w:szCs w:val="20"/>
              </w:rPr>
              <w:t xml:space="preserve"> </w:t>
            </w:r>
            <w:r w:rsidRPr="00721D08">
              <w:rPr>
                <w:rFonts w:ascii="Times New Roman" w:hAnsi="Times New Roman"/>
                <w:sz w:val="20"/>
                <w:szCs w:val="20"/>
              </w:rPr>
              <w:t>Greville</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Chaetocerotaceae</w:t>
            </w:r>
          </w:p>
        </w:tc>
        <w:tc>
          <w:tcPr>
            <w:tcW w:w="5538" w:type="dxa"/>
          </w:tcPr>
          <w:p w:rsidR="00737931" w:rsidRPr="00721D08" w:rsidDel="00ED5D03" w:rsidRDefault="00737931" w:rsidP="008E53B9">
            <w:pPr>
              <w:spacing w:line="360" w:lineRule="auto"/>
              <w:rPr>
                <w:rFonts w:ascii="Times New Roman" w:hAnsi="Times New Roman"/>
                <w:sz w:val="20"/>
                <w:szCs w:val="20"/>
              </w:rPr>
            </w:pPr>
            <w:r w:rsidRPr="00721D08">
              <w:rPr>
                <w:rFonts w:ascii="Times New Roman" w:hAnsi="Times New Roman"/>
                <w:i/>
                <w:sz w:val="20"/>
                <w:szCs w:val="20"/>
              </w:rPr>
              <w:t xml:space="preserve">Bacteriastrum varians </w:t>
            </w:r>
            <w:r w:rsidRPr="00721D08">
              <w:rPr>
                <w:rFonts w:ascii="Times New Roman" w:hAnsi="Times New Roman"/>
                <w:sz w:val="20"/>
                <w:szCs w:val="20"/>
              </w:rPr>
              <w:t>Lauder</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Bacteriastrum</w:t>
            </w:r>
            <w:r>
              <w:rPr>
                <w:rFonts w:ascii="Times New Roman" w:hAnsi="Times New Roman"/>
                <w:i/>
                <w:sz w:val="20"/>
                <w:szCs w:val="20"/>
              </w:rPr>
              <w:t xml:space="preserve"> </w:t>
            </w:r>
            <w:r w:rsidRPr="00721D08">
              <w:rPr>
                <w:rFonts w:ascii="Times New Roman" w:hAnsi="Times New Roman"/>
                <w:sz w:val="20"/>
                <w:szCs w:val="20"/>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sz w:val="20"/>
                <w:szCs w:val="20"/>
              </w:rPr>
            </w:pPr>
            <w:r w:rsidRPr="00721D08">
              <w:rPr>
                <w:rFonts w:ascii="Times New Roman" w:hAnsi="Times New Roman"/>
                <w:i/>
                <w:sz w:val="20"/>
                <w:szCs w:val="20"/>
              </w:rPr>
              <w:t>Chaetoceros</w:t>
            </w:r>
            <w:r>
              <w:rPr>
                <w:rFonts w:ascii="Times New Roman" w:hAnsi="Times New Roman"/>
                <w:i/>
                <w:sz w:val="20"/>
                <w:szCs w:val="20"/>
              </w:rPr>
              <w:t xml:space="preserve"> </w:t>
            </w:r>
            <w:r w:rsidRPr="00721D08">
              <w:rPr>
                <w:rFonts w:ascii="Times New Roman" w:hAnsi="Times New Roman"/>
                <w:i/>
                <w:sz w:val="20"/>
                <w:szCs w:val="20"/>
              </w:rPr>
              <w:t>danicus</w:t>
            </w:r>
            <w:r>
              <w:rPr>
                <w:rFonts w:ascii="Times New Roman" w:hAnsi="Times New Roman"/>
                <w:i/>
                <w:sz w:val="20"/>
                <w:szCs w:val="20"/>
              </w:rPr>
              <w:t xml:space="preserve"> </w:t>
            </w:r>
            <w:r w:rsidRPr="00721D08">
              <w:rPr>
                <w:rFonts w:ascii="Times New Roman" w:hAnsi="Times New Roman"/>
                <w:sz w:val="20"/>
                <w:szCs w:val="20"/>
              </w:rPr>
              <w:t>Cleve</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sz w:val="20"/>
                <w:szCs w:val="20"/>
              </w:rPr>
            </w:pPr>
            <w:r w:rsidRPr="00721D08">
              <w:rPr>
                <w:rFonts w:ascii="Times New Roman" w:hAnsi="Times New Roman"/>
                <w:i/>
                <w:sz w:val="20"/>
                <w:szCs w:val="20"/>
              </w:rPr>
              <w:t>Chaetoceros</w:t>
            </w:r>
            <w:r>
              <w:rPr>
                <w:rFonts w:ascii="Times New Roman" w:hAnsi="Times New Roman"/>
                <w:i/>
                <w:sz w:val="20"/>
                <w:szCs w:val="20"/>
              </w:rPr>
              <w:t xml:space="preserve"> </w:t>
            </w:r>
            <w:r w:rsidRPr="00721D08">
              <w:rPr>
                <w:rFonts w:ascii="Times New Roman" w:hAnsi="Times New Roman"/>
                <w:i/>
                <w:sz w:val="20"/>
                <w:szCs w:val="20"/>
              </w:rPr>
              <w:t>peruvianus</w:t>
            </w:r>
            <w:r>
              <w:rPr>
                <w:rFonts w:ascii="Times New Roman" w:hAnsi="Times New Roman"/>
                <w:i/>
                <w:sz w:val="20"/>
                <w:szCs w:val="20"/>
              </w:rPr>
              <w:t xml:space="preserve"> </w:t>
            </w:r>
            <w:r w:rsidRPr="00721D08">
              <w:rPr>
                <w:rFonts w:ascii="Times New Roman" w:hAnsi="Times New Roman"/>
                <w:sz w:val="20"/>
                <w:szCs w:val="20"/>
              </w:rPr>
              <w:t>Brightwell</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 xml:space="preserve">Chaetoceros </w:t>
            </w:r>
            <w:r w:rsidRPr="00721D08">
              <w:rPr>
                <w:rFonts w:ascii="Times New Roman" w:hAnsi="Times New Roman"/>
                <w:sz w:val="20"/>
                <w:szCs w:val="20"/>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Coscinodiscaceae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 xml:space="preserve">Coscinodiscus </w:t>
            </w:r>
            <w:r w:rsidRPr="00721D08">
              <w:rPr>
                <w:rFonts w:ascii="Times New Roman" w:hAnsi="Times New Roman"/>
                <w:sz w:val="20"/>
                <w:szCs w:val="20"/>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Hemiaulaceae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Hemiaulus</w:t>
            </w:r>
            <w:r>
              <w:rPr>
                <w:rFonts w:ascii="Times New Roman" w:hAnsi="Times New Roman"/>
                <w:i/>
                <w:sz w:val="20"/>
                <w:szCs w:val="20"/>
              </w:rPr>
              <w:t xml:space="preserve"> </w:t>
            </w:r>
            <w:r w:rsidRPr="00721D08">
              <w:rPr>
                <w:rFonts w:ascii="Times New Roman" w:hAnsi="Times New Roman"/>
                <w:sz w:val="20"/>
                <w:szCs w:val="20"/>
              </w:rPr>
              <w:t>sp.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Leptocylindraceae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Corethron</w:t>
            </w:r>
            <w:r>
              <w:rPr>
                <w:rFonts w:ascii="Times New Roman" w:hAnsi="Times New Roman"/>
                <w:i/>
                <w:sz w:val="20"/>
                <w:szCs w:val="20"/>
              </w:rPr>
              <w:t xml:space="preserve"> </w:t>
            </w:r>
            <w:r w:rsidRPr="00721D08">
              <w:rPr>
                <w:rFonts w:ascii="Times New Roman" w:hAnsi="Times New Roman"/>
                <w:sz w:val="20"/>
                <w:szCs w:val="20"/>
              </w:rPr>
              <w:t>sp.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Leptocylindrus</w:t>
            </w:r>
            <w:r>
              <w:rPr>
                <w:rFonts w:ascii="Times New Roman" w:hAnsi="Times New Roman"/>
                <w:i/>
                <w:sz w:val="20"/>
                <w:szCs w:val="20"/>
              </w:rPr>
              <w:t xml:space="preserve"> </w:t>
            </w:r>
            <w:r w:rsidRPr="00721D08">
              <w:rPr>
                <w:rFonts w:ascii="Times New Roman" w:hAnsi="Times New Roman"/>
                <w:sz w:val="20"/>
                <w:szCs w:val="20"/>
              </w:rPr>
              <w:t>sp.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Lithodesmiaceae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Ditylum sol</w:t>
            </w:r>
            <w:r>
              <w:rPr>
                <w:rFonts w:ascii="Times New Roman" w:hAnsi="Times New Roman"/>
                <w:i/>
                <w:sz w:val="20"/>
                <w:szCs w:val="20"/>
              </w:rPr>
              <w:t xml:space="preserve"> </w:t>
            </w:r>
            <w:r w:rsidRPr="00721D08">
              <w:rPr>
                <w:rFonts w:ascii="Times New Roman" w:hAnsi="Times New Roman"/>
                <w:sz w:val="20"/>
                <w:szCs w:val="20"/>
              </w:rPr>
              <w:t>Cleve</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Melosiraceae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Melosira</w:t>
            </w:r>
            <w:r>
              <w:rPr>
                <w:rFonts w:ascii="Times New Roman" w:hAnsi="Times New Roman"/>
                <w:i/>
                <w:sz w:val="20"/>
                <w:szCs w:val="20"/>
              </w:rPr>
              <w:t xml:space="preserve"> </w:t>
            </w:r>
            <w:r w:rsidRPr="00721D08">
              <w:rPr>
                <w:rFonts w:ascii="Times New Roman" w:hAnsi="Times New Roman"/>
                <w:sz w:val="20"/>
                <w:szCs w:val="20"/>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Naviculaceae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 xml:space="preserve">Navicula </w:t>
            </w:r>
            <w:r w:rsidRPr="00721D08">
              <w:rPr>
                <w:rFonts w:ascii="Times New Roman" w:hAnsi="Times New Roman"/>
                <w:sz w:val="20"/>
                <w:szCs w:val="20"/>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Pleurosigmataceae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Pleurosigma</w:t>
            </w:r>
            <w:r>
              <w:rPr>
                <w:rFonts w:ascii="Times New Roman" w:hAnsi="Times New Roman"/>
                <w:i/>
                <w:sz w:val="20"/>
                <w:szCs w:val="20"/>
              </w:rPr>
              <w:t xml:space="preserve"> </w:t>
            </w:r>
            <w:r w:rsidRPr="00721D08">
              <w:rPr>
                <w:rFonts w:ascii="Times New Roman" w:hAnsi="Times New Roman"/>
                <w:sz w:val="20"/>
                <w:szCs w:val="20"/>
              </w:rPr>
              <w:t>spp.</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lang w:val="it-IT"/>
              </w:rPr>
              <w:t>Rhizosoleniaceae</w:t>
            </w: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Guinardia striata</w:t>
            </w:r>
            <w:r>
              <w:rPr>
                <w:rFonts w:ascii="Times New Roman" w:hAnsi="Times New Roman"/>
                <w:i/>
                <w:sz w:val="20"/>
                <w:szCs w:val="20"/>
                <w:lang w:val="it-IT"/>
              </w:rPr>
              <w:t xml:space="preserve"> </w:t>
            </w:r>
            <w:r w:rsidRPr="00721D08">
              <w:rPr>
                <w:rFonts w:ascii="Times New Roman" w:hAnsi="Times New Roman"/>
                <w:sz w:val="20"/>
                <w:szCs w:val="20"/>
                <w:lang w:val="it-IT"/>
              </w:rPr>
              <w:t>(Stolterfoth) Hasle</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Rhizosolenia alata</w:t>
            </w:r>
            <w:r>
              <w:rPr>
                <w:rFonts w:ascii="Times New Roman" w:hAnsi="Times New Roman"/>
                <w:i/>
                <w:sz w:val="20"/>
                <w:szCs w:val="20"/>
                <w:lang w:val="it-IT"/>
              </w:rPr>
              <w:t xml:space="preserve"> </w:t>
            </w:r>
            <w:r w:rsidRPr="00721D08">
              <w:rPr>
                <w:rFonts w:ascii="Times New Roman" w:hAnsi="Times New Roman"/>
                <w:sz w:val="20"/>
                <w:szCs w:val="20"/>
                <w:lang w:val="it-IT"/>
              </w:rPr>
              <w:t>Brightwell</w:t>
            </w:r>
          </w:p>
        </w:tc>
      </w:tr>
      <w:tr w:rsidR="00737931" w:rsidRPr="000129E2"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sz w:val="20"/>
                <w:szCs w:val="20"/>
                <w:lang w:val="it-IT"/>
              </w:rPr>
            </w:pPr>
            <w:r w:rsidRPr="00721D08">
              <w:rPr>
                <w:rFonts w:ascii="Times New Roman" w:hAnsi="Times New Roman"/>
                <w:i/>
                <w:sz w:val="20"/>
                <w:szCs w:val="20"/>
                <w:lang w:val="it-IT"/>
              </w:rPr>
              <w:t>Rhizosolenia acuminate</w:t>
            </w:r>
            <w:r>
              <w:rPr>
                <w:rFonts w:ascii="Times New Roman" w:hAnsi="Times New Roman"/>
                <w:i/>
                <w:sz w:val="20"/>
                <w:szCs w:val="20"/>
                <w:lang w:val="it-IT"/>
              </w:rPr>
              <w:t xml:space="preserve"> </w:t>
            </w:r>
            <w:r w:rsidRPr="00721D08">
              <w:rPr>
                <w:rFonts w:ascii="Times New Roman" w:hAnsi="Times New Roman"/>
                <w:sz w:val="20"/>
                <w:szCs w:val="20"/>
                <w:lang w:val="it-IT"/>
              </w:rPr>
              <w:t>(H.Peragallo) Gran</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lang w:val="it-IT"/>
              </w:rPr>
            </w:pPr>
          </w:p>
        </w:tc>
        <w:tc>
          <w:tcPr>
            <w:tcW w:w="2003" w:type="dxa"/>
          </w:tcPr>
          <w:p w:rsidR="00737931" w:rsidRPr="00721D08" w:rsidRDefault="00737931" w:rsidP="008E53B9">
            <w:pPr>
              <w:spacing w:line="360" w:lineRule="auto"/>
              <w:rPr>
                <w:rFonts w:ascii="Times New Roman" w:hAnsi="Times New Roman"/>
                <w:sz w:val="20"/>
                <w:szCs w:val="20"/>
                <w:lang w:val="it-IT"/>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Rhizosolenia</w:t>
            </w:r>
            <w:r>
              <w:rPr>
                <w:rFonts w:ascii="Times New Roman" w:hAnsi="Times New Roman"/>
                <w:i/>
                <w:sz w:val="20"/>
                <w:szCs w:val="20"/>
                <w:lang w:val="it-IT"/>
              </w:rPr>
              <w:t xml:space="preserve"> </w:t>
            </w:r>
            <w:r w:rsidRPr="00721D08">
              <w:rPr>
                <w:rFonts w:ascii="Times New Roman" w:hAnsi="Times New Roman"/>
                <w:i/>
                <w:sz w:val="20"/>
                <w:szCs w:val="20"/>
                <w:lang w:val="it-IT"/>
              </w:rPr>
              <w:t>arafurensis</w:t>
            </w:r>
            <w:r>
              <w:rPr>
                <w:rFonts w:ascii="Times New Roman" w:hAnsi="Times New Roman"/>
                <w:i/>
                <w:sz w:val="20"/>
                <w:szCs w:val="20"/>
                <w:lang w:val="it-IT"/>
              </w:rPr>
              <w:t xml:space="preserve"> </w:t>
            </w:r>
            <w:r w:rsidRPr="00721D08">
              <w:rPr>
                <w:rFonts w:ascii="Times New Roman" w:hAnsi="Times New Roman"/>
                <w:sz w:val="20"/>
                <w:szCs w:val="20"/>
                <w:lang w:val="it-IT"/>
              </w:rPr>
              <w:t>Castracane</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Rhizosolenia</w:t>
            </w:r>
            <w:r>
              <w:rPr>
                <w:rFonts w:ascii="Times New Roman" w:hAnsi="Times New Roman"/>
                <w:i/>
                <w:sz w:val="20"/>
                <w:szCs w:val="20"/>
                <w:lang w:val="it-IT"/>
              </w:rPr>
              <w:t xml:space="preserve"> </w:t>
            </w:r>
            <w:r w:rsidRPr="00721D08">
              <w:rPr>
                <w:rFonts w:ascii="Times New Roman" w:hAnsi="Times New Roman"/>
                <w:i/>
                <w:sz w:val="20"/>
                <w:szCs w:val="20"/>
                <w:lang w:val="it-IT"/>
              </w:rPr>
              <w:t>bergonii</w:t>
            </w:r>
            <w:r>
              <w:rPr>
                <w:rFonts w:ascii="Times New Roman" w:hAnsi="Times New Roman"/>
                <w:i/>
                <w:sz w:val="20"/>
                <w:szCs w:val="20"/>
                <w:lang w:val="it-IT"/>
              </w:rPr>
              <w:t xml:space="preserve"> </w:t>
            </w:r>
            <w:r w:rsidRPr="00721D08">
              <w:rPr>
                <w:rFonts w:ascii="Times New Roman" w:hAnsi="Times New Roman"/>
                <w:sz w:val="20"/>
                <w:szCs w:val="20"/>
                <w:lang w:val="it-IT"/>
              </w:rPr>
              <w:t>H.Peragallo</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Rhizosolenia</w:t>
            </w:r>
            <w:r>
              <w:rPr>
                <w:rFonts w:ascii="Times New Roman" w:hAnsi="Times New Roman"/>
                <w:i/>
                <w:sz w:val="20"/>
                <w:szCs w:val="20"/>
                <w:lang w:val="it-IT"/>
              </w:rPr>
              <w:t xml:space="preserve"> </w:t>
            </w:r>
            <w:r w:rsidRPr="00721D08">
              <w:rPr>
                <w:rFonts w:ascii="Times New Roman" w:hAnsi="Times New Roman"/>
                <w:i/>
                <w:sz w:val="20"/>
                <w:szCs w:val="20"/>
                <w:lang w:val="it-IT"/>
              </w:rPr>
              <w:t>clevei</w:t>
            </w:r>
            <w:r>
              <w:rPr>
                <w:rFonts w:ascii="Times New Roman" w:hAnsi="Times New Roman"/>
                <w:i/>
                <w:sz w:val="20"/>
                <w:szCs w:val="20"/>
                <w:lang w:val="it-IT"/>
              </w:rPr>
              <w:t xml:space="preserve"> </w:t>
            </w:r>
            <w:r w:rsidRPr="00721D08">
              <w:rPr>
                <w:rFonts w:ascii="Times New Roman" w:hAnsi="Times New Roman"/>
                <w:sz w:val="20"/>
                <w:szCs w:val="20"/>
                <w:lang w:val="it-IT"/>
              </w:rPr>
              <w:t>Ostenfeld</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sz w:val="20"/>
                <w:szCs w:val="20"/>
              </w:rPr>
            </w:pPr>
            <w:r w:rsidRPr="00721D08">
              <w:rPr>
                <w:rFonts w:ascii="Times New Roman" w:hAnsi="Times New Roman"/>
                <w:i/>
                <w:sz w:val="20"/>
                <w:szCs w:val="20"/>
                <w:lang w:val="it-IT"/>
              </w:rPr>
              <w:t>Rhizosolenia</w:t>
            </w:r>
            <w:r>
              <w:rPr>
                <w:rFonts w:ascii="Times New Roman" w:hAnsi="Times New Roman"/>
                <w:i/>
                <w:sz w:val="20"/>
                <w:szCs w:val="20"/>
                <w:lang w:val="it-IT"/>
              </w:rPr>
              <w:t xml:space="preserve"> </w:t>
            </w:r>
            <w:r w:rsidRPr="00721D08">
              <w:rPr>
                <w:rFonts w:ascii="Times New Roman" w:hAnsi="Times New Roman"/>
                <w:i/>
                <w:sz w:val="20"/>
                <w:szCs w:val="20"/>
                <w:lang w:val="it-IT"/>
              </w:rPr>
              <w:t>delicatula</w:t>
            </w:r>
            <w:r>
              <w:rPr>
                <w:rFonts w:ascii="Times New Roman" w:hAnsi="Times New Roman"/>
                <w:i/>
                <w:sz w:val="20"/>
                <w:szCs w:val="20"/>
                <w:lang w:val="it-IT"/>
              </w:rPr>
              <w:t xml:space="preserve"> </w:t>
            </w:r>
            <w:r w:rsidRPr="00721D08">
              <w:rPr>
                <w:rFonts w:ascii="Times New Roman" w:hAnsi="Times New Roman"/>
                <w:sz w:val="20"/>
                <w:szCs w:val="20"/>
                <w:lang w:val="it-IT"/>
              </w:rPr>
              <w:t>Cleve</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sz w:val="20"/>
                <w:szCs w:val="20"/>
              </w:rPr>
            </w:pPr>
            <w:r w:rsidRPr="00721D08">
              <w:rPr>
                <w:rFonts w:ascii="Times New Roman" w:hAnsi="Times New Roman"/>
                <w:i/>
                <w:sz w:val="20"/>
                <w:szCs w:val="20"/>
                <w:lang w:val="it-IT"/>
              </w:rPr>
              <w:t>Rhizosolenia</w:t>
            </w:r>
            <w:r>
              <w:rPr>
                <w:rFonts w:ascii="Times New Roman" w:hAnsi="Times New Roman"/>
                <w:i/>
                <w:sz w:val="20"/>
                <w:szCs w:val="20"/>
                <w:lang w:val="it-IT"/>
              </w:rPr>
              <w:t xml:space="preserve"> </w:t>
            </w:r>
            <w:r w:rsidRPr="00721D08">
              <w:rPr>
                <w:rFonts w:ascii="Times New Roman" w:hAnsi="Times New Roman"/>
                <w:i/>
                <w:sz w:val="20"/>
                <w:szCs w:val="20"/>
                <w:lang w:val="it-IT"/>
              </w:rPr>
              <w:t>pungens</w:t>
            </w:r>
            <w:r w:rsidRPr="00721D08">
              <w:rPr>
                <w:rFonts w:ascii="Times New Roman" w:hAnsi="Times New Roman"/>
                <w:sz w:val="20"/>
                <w:szCs w:val="20"/>
                <w:lang w:val="it-IT"/>
              </w:rPr>
              <w:t>Cleve-Euler</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Del="00ED5D03"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Rhizosolenia stolterfothii</w:t>
            </w:r>
            <w:r>
              <w:rPr>
                <w:rFonts w:ascii="Times New Roman" w:hAnsi="Times New Roman"/>
                <w:i/>
                <w:sz w:val="20"/>
                <w:szCs w:val="20"/>
                <w:lang w:val="it-IT"/>
              </w:rPr>
              <w:t xml:space="preserve"> </w:t>
            </w:r>
            <w:r w:rsidRPr="00721D08">
              <w:rPr>
                <w:rFonts w:ascii="Times New Roman" w:hAnsi="Times New Roman"/>
                <w:sz w:val="20"/>
                <w:szCs w:val="20"/>
                <w:lang w:val="it-IT"/>
              </w:rPr>
              <w:t>H.Peragallo</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lang w:val="it-IT"/>
              </w:rPr>
            </w:pPr>
            <w:r w:rsidRPr="00721D08">
              <w:rPr>
                <w:rFonts w:ascii="Times New Roman" w:hAnsi="Times New Roman"/>
                <w:sz w:val="20"/>
                <w:szCs w:val="20"/>
                <w:lang w:val="it-IT"/>
              </w:rPr>
              <w:t>Stephanodiscaceae</w:t>
            </w: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 xml:space="preserve">Cyclotella caspia </w:t>
            </w:r>
            <w:r w:rsidRPr="00721D08">
              <w:rPr>
                <w:rFonts w:ascii="Times New Roman" w:hAnsi="Times New Roman"/>
                <w:sz w:val="20"/>
                <w:szCs w:val="20"/>
                <w:lang w:val="it-IT"/>
              </w:rPr>
              <w:t>Grunow</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lang w:val="it-IT"/>
              </w:rPr>
              <w:t>Surirellaceae</w:t>
            </w: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Surirella</w:t>
            </w:r>
            <w:r>
              <w:rPr>
                <w:rFonts w:ascii="Times New Roman" w:hAnsi="Times New Roman"/>
                <w:i/>
                <w:sz w:val="20"/>
                <w:szCs w:val="20"/>
                <w:lang w:val="it-IT"/>
              </w:rPr>
              <w:t xml:space="preserve"> </w:t>
            </w:r>
            <w:r w:rsidRPr="00721D08">
              <w:rPr>
                <w:rFonts w:ascii="Times New Roman" w:hAnsi="Times New Roman"/>
                <w:sz w:val="20"/>
                <w:szCs w:val="20"/>
                <w:lang w:val="it-IT"/>
              </w:rPr>
              <w:t>sp.</w:t>
            </w:r>
          </w:p>
        </w:tc>
      </w:tr>
      <w:tr w:rsidR="00737931" w:rsidRPr="000129E2" w:rsidTr="008E53B9">
        <w:trPr>
          <w:trHeight w:val="138"/>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lang w:val="it-IT"/>
              </w:rPr>
              <w:t>Thalassionemaceae</w:t>
            </w: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Thalassionema frauenfeldii</w:t>
            </w:r>
            <w:r>
              <w:rPr>
                <w:rFonts w:ascii="Times New Roman" w:hAnsi="Times New Roman"/>
                <w:i/>
                <w:sz w:val="20"/>
                <w:szCs w:val="20"/>
                <w:lang w:val="it-IT"/>
              </w:rPr>
              <w:t xml:space="preserve"> </w:t>
            </w:r>
            <w:r w:rsidRPr="00721D08">
              <w:rPr>
                <w:rFonts w:ascii="Times New Roman" w:hAnsi="Times New Roman"/>
                <w:sz w:val="20"/>
                <w:szCs w:val="20"/>
                <w:lang w:val="it-IT"/>
              </w:rPr>
              <w:t>(Grunow) Tempère&amp;Peragallo</w:t>
            </w:r>
          </w:p>
        </w:tc>
      </w:tr>
      <w:tr w:rsidR="00737931" w:rsidRPr="00721D08" w:rsidTr="008E53B9">
        <w:trPr>
          <w:trHeight w:val="138"/>
        </w:trPr>
        <w:tc>
          <w:tcPr>
            <w:tcW w:w="1827" w:type="dxa"/>
          </w:tcPr>
          <w:p w:rsidR="00737931" w:rsidRPr="00721D08" w:rsidRDefault="00737931" w:rsidP="008E53B9">
            <w:pPr>
              <w:spacing w:line="360" w:lineRule="auto"/>
              <w:rPr>
                <w:rFonts w:ascii="Times New Roman" w:hAnsi="Times New Roman"/>
                <w:sz w:val="20"/>
                <w:szCs w:val="20"/>
                <w:lang w:val="it-IT"/>
              </w:rPr>
            </w:pPr>
          </w:p>
        </w:tc>
        <w:tc>
          <w:tcPr>
            <w:tcW w:w="2003" w:type="dxa"/>
          </w:tcPr>
          <w:p w:rsidR="00737931" w:rsidRPr="00721D08" w:rsidRDefault="00737931" w:rsidP="008E53B9">
            <w:pPr>
              <w:spacing w:line="360" w:lineRule="auto"/>
              <w:rPr>
                <w:rFonts w:ascii="Times New Roman" w:hAnsi="Times New Roman"/>
                <w:sz w:val="20"/>
                <w:szCs w:val="20"/>
                <w:lang w:val="it-IT"/>
              </w:rPr>
            </w:pP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Thalassionema</w:t>
            </w:r>
            <w:r>
              <w:rPr>
                <w:rFonts w:ascii="Times New Roman" w:hAnsi="Times New Roman"/>
                <w:i/>
                <w:sz w:val="20"/>
                <w:szCs w:val="20"/>
                <w:lang w:val="it-IT"/>
              </w:rPr>
              <w:t xml:space="preserve"> </w:t>
            </w:r>
            <w:r w:rsidRPr="00721D08">
              <w:rPr>
                <w:rFonts w:ascii="Times New Roman" w:hAnsi="Times New Roman"/>
                <w:i/>
                <w:sz w:val="20"/>
                <w:szCs w:val="20"/>
                <w:lang w:val="it-IT"/>
              </w:rPr>
              <w:t>nitzchioides</w:t>
            </w:r>
            <w:r>
              <w:rPr>
                <w:rFonts w:ascii="Times New Roman" w:hAnsi="Times New Roman"/>
                <w:i/>
                <w:sz w:val="20"/>
                <w:szCs w:val="20"/>
                <w:lang w:val="it-IT"/>
              </w:rPr>
              <w:t xml:space="preserve"> </w:t>
            </w:r>
            <w:r w:rsidRPr="00721D08">
              <w:rPr>
                <w:rFonts w:ascii="Times New Roman" w:hAnsi="Times New Roman"/>
                <w:sz w:val="20"/>
                <w:szCs w:val="20"/>
                <w:lang w:val="it-IT"/>
              </w:rPr>
              <w:t>(Grunow) Mereschkowsky</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 xml:space="preserve">Thalassionema </w:t>
            </w:r>
            <w:r w:rsidRPr="00721D08">
              <w:rPr>
                <w:rFonts w:ascii="Times New Roman" w:hAnsi="Times New Roman"/>
                <w:sz w:val="20"/>
                <w:szCs w:val="20"/>
                <w:lang w:val="it-IT"/>
              </w:rPr>
              <w:t>sp.</w:t>
            </w:r>
          </w:p>
        </w:tc>
      </w:tr>
      <w:tr w:rsidR="00737931" w:rsidRPr="00721D08" w:rsidTr="008E53B9">
        <w:trPr>
          <w:trHeight w:val="337"/>
        </w:trPr>
        <w:tc>
          <w:tcPr>
            <w:tcW w:w="1827" w:type="dxa"/>
            <w:tcBorders>
              <w:bottom w:val="double" w:sz="6" w:space="0" w:color="auto"/>
            </w:tcBorders>
          </w:tcPr>
          <w:p w:rsidR="00737931" w:rsidRPr="00721D08" w:rsidRDefault="00737931" w:rsidP="008E53B9">
            <w:pPr>
              <w:spacing w:line="360" w:lineRule="auto"/>
              <w:rPr>
                <w:rFonts w:ascii="Times New Roman" w:hAnsi="Times New Roman"/>
                <w:sz w:val="20"/>
                <w:szCs w:val="20"/>
              </w:rPr>
            </w:pPr>
          </w:p>
        </w:tc>
        <w:tc>
          <w:tcPr>
            <w:tcW w:w="2003" w:type="dxa"/>
            <w:tcBorders>
              <w:bottom w:val="double" w:sz="6" w:space="0" w:color="auto"/>
            </w:tcBorders>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lang w:val="it-IT"/>
              </w:rPr>
              <w:t>Triceratiaceae</w:t>
            </w:r>
          </w:p>
        </w:tc>
        <w:tc>
          <w:tcPr>
            <w:tcW w:w="5538" w:type="dxa"/>
            <w:tcBorders>
              <w:bottom w:val="double" w:sz="6" w:space="0" w:color="auto"/>
            </w:tcBorders>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Triceratium</w:t>
            </w:r>
            <w:r>
              <w:rPr>
                <w:rFonts w:ascii="Times New Roman" w:hAnsi="Times New Roman"/>
                <w:i/>
                <w:sz w:val="20"/>
                <w:szCs w:val="20"/>
                <w:lang w:val="it-IT"/>
              </w:rPr>
              <w:t xml:space="preserve"> </w:t>
            </w:r>
            <w:r w:rsidRPr="00721D08">
              <w:rPr>
                <w:rFonts w:ascii="Times New Roman" w:hAnsi="Times New Roman"/>
                <w:sz w:val="20"/>
                <w:szCs w:val="20"/>
                <w:lang w:val="it-IT"/>
              </w:rPr>
              <w:t>sp.</w:t>
            </w:r>
          </w:p>
        </w:tc>
      </w:tr>
      <w:tr w:rsidR="00737931" w:rsidRPr="00721D08" w:rsidTr="008E53B9">
        <w:trPr>
          <w:trHeight w:val="561"/>
        </w:trPr>
        <w:tc>
          <w:tcPr>
            <w:tcW w:w="1827" w:type="dxa"/>
            <w:tcBorders>
              <w:top w:val="double" w:sz="6"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b/>
                <w:sz w:val="20"/>
                <w:szCs w:val="20"/>
              </w:rPr>
              <w:t>Dinophyceae</w:t>
            </w:r>
          </w:p>
        </w:tc>
        <w:tc>
          <w:tcPr>
            <w:tcW w:w="2003" w:type="dxa"/>
            <w:tcBorders>
              <w:top w:val="double" w:sz="6"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sz w:val="20"/>
                <w:szCs w:val="20"/>
              </w:rPr>
              <w:t>Ceritiaceae</w:t>
            </w:r>
          </w:p>
        </w:tc>
        <w:tc>
          <w:tcPr>
            <w:tcW w:w="5538" w:type="dxa"/>
            <w:tcBorders>
              <w:top w:val="double" w:sz="6"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i/>
                <w:sz w:val="20"/>
                <w:szCs w:val="20"/>
              </w:rPr>
              <w:t>Ceratium furca</w:t>
            </w:r>
            <w:r>
              <w:rPr>
                <w:rFonts w:ascii="Times New Roman" w:hAnsi="Times New Roman"/>
                <w:i/>
                <w:sz w:val="20"/>
                <w:szCs w:val="20"/>
              </w:rPr>
              <w:t xml:space="preserve"> </w:t>
            </w:r>
            <w:r w:rsidRPr="00721D08">
              <w:rPr>
                <w:rFonts w:ascii="Times New Roman" w:hAnsi="Times New Roman"/>
                <w:sz w:val="20"/>
                <w:szCs w:val="20"/>
              </w:rPr>
              <w:t>(Ehrenberg) Claparède&amp;Lachmann</w:t>
            </w:r>
          </w:p>
        </w:tc>
      </w:tr>
      <w:tr w:rsidR="00737931" w:rsidRPr="00721D08" w:rsidTr="008E53B9">
        <w:trPr>
          <w:trHeight w:val="226"/>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Ceratium fusus</w:t>
            </w:r>
            <w:r>
              <w:rPr>
                <w:rFonts w:ascii="Times New Roman" w:hAnsi="Times New Roman"/>
                <w:i/>
                <w:sz w:val="20"/>
                <w:szCs w:val="20"/>
              </w:rPr>
              <w:t xml:space="preserve"> </w:t>
            </w:r>
            <w:r w:rsidRPr="00721D08">
              <w:rPr>
                <w:rFonts w:ascii="Times New Roman" w:hAnsi="Times New Roman"/>
                <w:sz w:val="20"/>
                <w:szCs w:val="20"/>
              </w:rPr>
              <w:t>(Ehrenberg) Dujardin</w:t>
            </w:r>
          </w:p>
        </w:tc>
      </w:tr>
      <w:tr w:rsidR="00737931" w:rsidRPr="00721D08" w:rsidTr="008E53B9">
        <w:trPr>
          <w:trHeight w:val="87"/>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Ceratium trichoceros</w:t>
            </w:r>
            <w:r>
              <w:rPr>
                <w:rFonts w:ascii="Times New Roman" w:hAnsi="Times New Roman"/>
                <w:i/>
                <w:sz w:val="20"/>
                <w:szCs w:val="20"/>
              </w:rPr>
              <w:t xml:space="preserve"> </w:t>
            </w:r>
            <w:r w:rsidRPr="00721D08">
              <w:rPr>
                <w:rFonts w:ascii="Times New Roman" w:hAnsi="Times New Roman"/>
                <w:sz w:val="20"/>
                <w:szCs w:val="20"/>
              </w:rPr>
              <w:t>(Ehrenberg) Kofoid</w:t>
            </w:r>
            <w:r w:rsidRPr="00721D08">
              <w:rPr>
                <w:rFonts w:ascii="Times New Roman" w:hAnsi="Times New Roman"/>
                <w:i/>
                <w:sz w:val="20"/>
                <w:szCs w:val="20"/>
              </w:rPr>
              <w:t xml:space="preserve"> </w:t>
            </w:r>
          </w:p>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Ceratium tripos</w:t>
            </w:r>
            <w:r>
              <w:rPr>
                <w:rFonts w:ascii="Times New Roman" w:hAnsi="Times New Roman"/>
                <w:i/>
                <w:sz w:val="20"/>
                <w:szCs w:val="20"/>
              </w:rPr>
              <w:t xml:space="preserve"> </w:t>
            </w:r>
            <w:r w:rsidRPr="00721D08">
              <w:rPr>
                <w:rFonts w:ascii="Times New Roman" w:hAnsi="Times New Roman"/>
                <w:sz w:val="20"/>
                <w:szCs w:val="20"/>
              </w:rPr>
              <w:t>(O.F.Müller) Nitzsch</w:t>
            </w:r>
          </w:p>
        </w:tc>
      </w:tr>
      <w:tr w:rsidR="00737931" w:rsidRPr="00721D08" w:rsidTr="008E53B9">
        <w:trPr>
          <w:trHeight w:val="337"/>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Ceratium massiliense</w:t>
            </w:r>
            <w:r>
              <w:rPr>
                <w:rFonts w:ascii="Times New Roman" w:hAnsi="Times New Roman"/>
                <w:i/>
                <w:sz w:val="20"/>
                <w:szCs w:val="20"/>
              </w:rPr>
              <w:t xml:space="preserve"> </w:t>
            </w:r>
            <w:r w:rsidRPr="00721D08">
              <w:rPr>
                <w:rFonts w:ascii="Times New Roman" w:hAnsi="Times New Roman"/>
                <w:sz w:val="20"/>
                <w:szCs w:val="20"/>
              </w:rPr>
              <w:t>(Gourret) Karsten</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Dinophysiaceae</w:t>
            </w:r>
          </w:p>
        </w:tc>
        <w:tc>
          <w:tcPr>
            <w:tcW w:w="5538"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i/>
                <w:sz w:val="20"/>
                <w:szCs w:val="20"/>
              </w:rPr>
              <w:t>Dinophysis acuta</w:t>
            </w:r>
            <w:r>
              <w:rPr>
                <w:rFonts w:ascii="Times New Roman" w:hAnsi="Times New Roman"/>
                <w:i/>
                <w:sz w:val="20"/>
                <w:szCs w:val="20"/>
              </w:rPr>
              <w:t xml:space="preserve"> </w:t>
            </w:r>
            <w:r w:rsidRPr="00721D08">
              <w:rPr>
                <w:rFonts w:ascii="Times New Roman" w:hAnsi="Times New Roman"/>
                <w:sz w:val="20"/>
                <w:szCs w:val="20"/>
              </w:rPr>
              <w:t>Ehrenberg</w:t>
            </w:r>
          </w:p>
        </w:tc>
      </w:tr>
      <w:tr w:rsidR="00737931" w:rsidRPr="00721D08" w:rsidTr="008E53B9">
        <w:trPr>
          <w:trHeight w:val="337"/>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rPr>
              <w:t>Dinophysis</w:t>
            </w:r>
            <w:r>
              <w:rPr>
                <w:rFonts w:ascii="Times New Roman" w:hAnsi="Times New Roman"/>
                <w:i/>
                <w:sz w:val="20"/>
                <w:szCs w:val="20"/>
              </w:rPr>
              <w:t xml:space="preserve"> </w:t>
            </w:r>
            <w:r w:rsidRPr="00721D08">
              <w:rPr>
                <w:rFonts w:ascii="Times New Roman" w:hAnsi="Times New Roman"/>
                <w:i/>
                <w:sz w:val="20"/>
                <w:szCs w:val="20"/>
              </w:rPr>
              <w:t>caudata</w:t>
            </w:r>
            <w:r>
              <w:rPr>
                <w:rFonts w:ascii="Times New Roman" w:hAnsi="Times New Roman"/>
                <w:i/>
                <w:sz w:val="20"/>
                <w:szCs w:val="20"/>
              </w:rPr>
              <w:t xml:space="preserve"> </w:t>
            </w:r>
            <w:r w:rsidRPr="00721D08">
              <w:rPr>
                <w:rFonts w:ascii="Times New Roman" w:hAnsi="Times New Roman"/>
                <w:sz w:val="20"/>
                <w:szCs w:val="20"/>
              </w:rPr>
              <w:t>Saville-Kent</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r w:rsidRPr="00721D08">
              <w:rPr>
                <w:rFonts w:ascii="Times New Roman" w:hAnsi="Times New Roman"/>
                <w:sz w:val="20"/>
                <w:szCs w:val="20"/>
              </w:rPr>
              <w:t>Gonyaulacaceae</w:t>
            </w: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Pyrodinium</w:t>
            </w:r>
            <w:r>
              <w:rPr>
                <w:rFonts w:ascii="Times New Roman" w:hAnsi="Times New Roman"/>
                <w:i/>
                <w:sz w:val="20"/>
                <w:szCs w:val="20"/>
                <w:lang w:val="it-IT"/>
              </w:rPr>
              <w:t xml:space="preserve"> </w:t>
            </w:r>
            <w:r w:rsidRPr="00721D08">
              <w:rPr>
                <w:rFonts w:ascii="Times New Roman" w:hAnsi="Times New Roman"/>
                <w:i/>
                <w:sz w:val="20"/>
                <w:szCs w:val="20"/>
                <w:lang w:val="it-IT"/>
              </w:rPr>
              <w:t>bahamense</w:t>
            </w:r>
            <w:r>
              <w:rPr>
                <w:rFonts w:ascii="Times New Roman" w:hAnsi="Times New Roman"/>
                <w:i/>
                <w:sz w:val="20"/>
                <w:szCs w:val="20"/>
                <w:lang w:val="it-IT"/>
              </w:rPr>
              <w:t xml:space="preserve"> </w:t>
            </w:r>
            <w:r w:rsidRPr="00721D08">
              <w:rPr>
                <w:rFonts w:ascii="Times New Roman" w:hAnsi="Times New Roman"/>
                <w:sz w:val="20"/>
                <w:szCs w:val="20"/>
                <w:lang w:val="it-IT"/>
              </w:rPr>
              <w:t>var.</w:t>
            </w:r>
            <w:r>
              <w:rPr>
                <w:rFonts w:ascii="Times New Roman" w:hAnsi="Times New Roman"/>
                <w:sz w:val="20"/>
                <w:szCs w:val="20"/>
                <w:lang w:val="it-IT"/>
              </w:rPr>
              <w:t xml:space="preserve"> </w:t>
            </w:r>
            <w:r w:rsidRPr="00721D08">
              <w:rPr>
                <w:rFonts w:ascii="Times New Roman" w:hAnsi="Times New Roman"/>
                <w:i/>
                <w:sz w:val="20"/>
                <w:szCs w:val="20"/>
                <w:lang w:val="it-IT"/>
              </w:rPr>
              <w:t>compressum</w:t>
            </w:r>
            <w:r>
              <w:rPr>
                <w:rFonts w:ascii="Times New Roman" w:hAnsi="Times New Roman"/>
                <w:i/>
                <w:sz w:val="20"/>
                <w:szCs w:val="20"/>
                <w:lang w:val="it-IT"/>
              </w:rPr>
              <w:t xml:space="preserve"> </w:t>
            </w:r>
            <w:r w:rsidRPr="00721D08">
              <w:rPr>
                <w:rFonts w:ascii="Times New Roman" w:hAnsi="Times New Roman"/>
                <w:sz w:val="20"/>
                <w:szCs w:val="20"/>
                <w:lang w:val="it-IT"/>
              </w:rPr>
              <w:t>(Böhm) Steidinger, Tester &amp;</w:t>
            </w:r>
            <w:r>
              <w:rPr>
                <w:rFonts w:ascii="Times New Roman" w:hAnsi="Times New Roman"/>
                <w:sz w:val="20"/>
                <w:szCs w:val="20"/>
                <w:lang w:val="it-IT"/>
              </w:rPr>
              <w:t xml:space="preserve"> </w:t>
            </w:r>
            <w:r w:rsidRPr="00721D08">
              <w:rPr>
                <w:rFonts w:ascii="Times New Roman" w:hAnsi="Times New Roman"/>
                <w:sz w:val="20"/>
                <w:szCs w:val="20"/>
                <w:lang w:val="it-IT"/>
              </w:rPr>
              <w:t>F.J.R.Taylor</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lang w:val="it-IT"/>
              </w:rPr>
            </w:pPr>
          </w:p>
        </w:tc>
        <w:tc>
          <w:tcPr>
            <w:tcW w:w="2003" w:type="dxa"/>
          </w:tcPr>
          <w:p w:rsidR="00737931" w:rsidRPr="00721D08" w:rsidRDefault="00737931" w:rsidP="008E53B9">
            <w:pPr>
              <w:spacing w:line="360" w:lineRule="auto"/>
              <w:rPr>
                <w:rFonts w:ascii="Times New Roman" w:hAnsi="Times New Roman"/>
                <w:sz w:val="20"/>
                <w:szCs w:val="20"/>
                <w:lang w:val="it-IT"/>
              </w:rPr>
            </w:pPr>
            <w:r w:rsidRPr="00721D08">
              <w:rPr>
                <w:rFonts w:ascii="Times New Roman" w:hAnsi="Times New Roman"/>
                <w:sz w:val="20"/>
                <w:szCs w:val="20"/>
                <w:lang w:val="it-IT"/>
              </w:rPr>
              <w:t>Peridiniaceae</w:t>
            </w: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Peridinium</w:t>
            </w:r>
            <w:r>
              <w:rPr>
                <w:rFonts w:ascii="Times New Roman" w:hAnsi="Times New Roman"/>
                <w:i/>
                <w:sz w:val="20"/>
                <w:szCs w:val="20"/>
                <w:lang w:val="it-IT"/>
              </w:rPr>
              <w:t xml:space="preserve"> </w:t>
            </w:r>
            <w:r w:rsidRPr="00721D08">
              <w:rPr>
                <w:rFonts w:ascii="Times New Roman" w:hAnsi="Times New Roman"/>
                <w:sz w:val="20"/>
                <w:szCs w:val="20"/>
                <w:lang w:val="it-IT"/>
              </w:rPr>
              <w:t>spp.</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lang w:val="it-IT"/>
              </w:rPr>
            </w:pPr>
          </w:p>
        </w:tc>
        <w:tc>
          <w:tcPr>
            <w:tcW w:w="2003" w:type="dxa"/>
          </w:tcPr>
          <w:p w:rsidR="00737931" w:rsidRPr="00721D08" w:rsidRDefault="00737931" w:rsidP="008E53B9">
            <w:pPr>
              <w:spacing w:line="360" w:lineRule="auto"/>
              <w:rPr>
                <w:rFonts w:ascii="Times New Roman" w:hAnsi="Times New Roman"/>
                <w:sz w:val="20"/>
                <w:szCs w:val="20"/>
                <w:lang w:val="it-IT"/>
              </w:rPr>
            </w:pPr>
            <w:r w:rsidRPr="00721D08">
              <w:rPr>
                <w:rFonts w:ascii="Times New Roman" w:hAnsi="Times New Roman"/>
                <w:sz w:val="20"/>
                <w:szCs w:val="20"/>
                <w:lang w:val="it-IT"/>
              </w:rPr>
              <w:t>Prorocentraceae</w:t>
            </w:r>
          </w:p>
        </w:tc>
        <w:tc>
          <w:tcPr>
            <w:tcW w:w="5538" w:type="dxa"/>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Prorocentrum micans</w:t>
            </w:r>
            <w:r>
              <w:rPr>
                <w:rFonts w:ascii="Times New Roman" w:hAnsi="Times New Roman"/>
                <w:i/>
                <w:sz w:val="20"/>
                <w:szCs w:val="20"/>
                <w:lang w:val="it-IT"/>
              </w:rPr>
              <w:t xml:space="preserve"> </w:t>
            </w:r>
            <w:r w:rsidRPr="00721D08">
              <w:rPr>
                <w:rFonts w:ascii="Times New Roman" w:hAnsi="Times New Roman"/>
                <w:sz w:val="20"/>
                <w:szCs w:val="20"/>
                <w:lang w:val="it-IT"/>
              </w:rPr>
              <w:t>Ehrenberg</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lang w:val="it-IT"/>
              </w:rPr>
            </w:pPr>
          </w:p>
        </w:tc>
        <w:tc>
          <w:tcPr>
            <w:tcW w:w="2003" w:type="dxa"/>
          </w:tcPr>
          <w:p w:rsidR="00737931" w:rsidRPr="00721D08" w:rsidRDefault="00737931" w:rsidP="008E53B9">
            <w:pPr>
              <w:spacing w:line="360" w:lineRule="auto"/>
              <w:rPr>
                <w:rFonts w:ascii="Times New Roman" w:hAnsi="Times New Roman"/>
                <w:sz w:val="20"/>
                <w:szCs w:val="20"/>
                <w:lang w:val="it-IT"/>
              </w:rPr>
            </w:pPr>
          </w:p>
        </w:tc>
        <w:tc>
          <w:tcPr>
            <w:tcW w:w="5538" w:type="dxa"/>
          </w:tcPr>
          <w:p w:rsidR="00737931" w:rsidRPr="00721D08" w:rsidRDefault="00737931" w:rsidP="008E53B9">
            <w:pPr>
              <w:spacing w:line="360" w:lineRule="auto"/>
              <w:rPr>
                <w:rFonts w:ascii="Times New Roman" w:hAnsi="Times New Roman"/>
                <w:sz w:val="20"/>
                <w:szCs w:val="20"/>
                <w:lang w:val="it-IT"/>
              </w:rPr>
            </w:pPr>
            <w:r w:rsidRPr="00721D08">
              <w:rPr>
                <w:rFonts w:ascii="Times New Roman" w:hAnsi="Times New Roman"/>
                <w:i/>
                <w:sz w:val="20"/>
                <w:szCs w:val="20"/>
                <w:lang w:val="it-IT"/>
              </w:rPr>
              <w:t>Prorocentrum</w:t>
            </w:r>
            <w:r>
              <w:rPr>
                <w:rFonts w:ascii="Times New Roman" w:hAnsi="Times New Roman"/>
                <w:i/>
                <w:sz w:val="20"/>
                <w:szCs w:val="20"/>
                <w:lang w:val="it-IT"/>
              </w:rPr>
              <w:t xml:space="preserve"> </w:t>
            </w:r>
            <w:r w:rsidRPr="00721D08">
              <w:rPr>
                <w:rFonts w:ascii="Times New Roman" w:hAnsi="Times New Roman"/>
                <w:i/>
                <w:sz w:val="20"/>
                <w:szCs w:val="20"/>
                <w:lang w:val="it-IT"/>
              </w:rPr>
              <w:t>granile</w:t>
            </w:r>
            <w:r>
              <w:rPr>
                <w:rFonts w:ascii="Times New Roman" w:hAnsi="Times New Roman"/>
                <w:i/>
                <w:sz w:val="20"/>
                <w:szCs w:val="20"/>
                <w:lang w:val="it-IT"/>
              </w:rPr>
              <w:t xml:space="preserve"> </w:t>
            </w:r>
            <w:r w:rsidRPr="00721D08">
              <w:rPr>
                <w:rFonts w:ascii="Times New Roman" w:hAnsi="Times New Roman"/>
                <w:sz w:val="20"/>
                <w:szCs w:val="20"/>
                <w:lang w:val="it-IT"/>
              </w:rPr>
              <w:t>Schütt</w:t>
            </w:r>
          </w:p>
        </w:tc>
      </w:tr>
      <w:tr w:rsidR="00737931" w:rsidRPr="00721D08" w:rsidTr="008E53B9">
        <w:trPr>
          <w:trHeight w:val="337"/>
        </w:trPr>
        <w:tc>
          <w:tcPr>
            <w:tcW w:w="1827" w:type="dxa"/>
          </w:tcPr>
          <w:p w:rsidR="00737931" w:rsidRPr="00721D08" w:rsidRDefault="00737931" w:rsidP="008E53B9">
            <w:pPr>
              <w:spacing w:line="360" w:lineRule="auto"/>
              <w:rPr>
                <w:rFonts w:ascii="Times New Roman" w:hAnsi="Times New Roman"/>
                <w:sz w:val="20"/>
                <w:szCs w:val="20"/>
                <w:lang w:val="it-IT"/>
              </w:rPr>
            </w:pPr>
          </w:p>
        </w:tc>
        <w:tc>
          <w:tcPr>
            <w:tcW w:w="2003" w:type="dxa"/>
          </w:tcPr>
          <w:p w:rsidR="00737931" w:rsidRPr="00721D08" w:rsidRDefault="00737931" w:rsidP="008E53B9">
            <w:pPr>
              <w:spacing w:line="360" w:lineRule="auto"/>
              <w:rPr>
                <w:rFonts w:ascii="Times New Roman" w:hAnsi="Times New Roman"/>
                <w:sz w:val="20"/>
                <w:szCs w:val="20"/>
                <w:lang w:val="it-IT"/>
              </w:rPr>
            </w:pPr>
            <w:r w:rsidRPr="00721D08">
              <w:rPr>
                <w:rFonts w:ascii="Times New Roman" w:hAnsi="Times New Roman"/>
                <w:sz w:val="20"/>
                <w:szCs w:val="20"/>
                <w:lang w:val="it-IT"/>
              </w:rPr>
              <w:t>Protoperidiniaceae</w:t>
            </w:r>
          </w:p>
        </w:tc>
        <w:tc>
          <w:tcPr>
            <w:tcW w:w="5538" w:type="dxa"/>
          </w:tcPr>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Protoperidinium</w:t>
            </w:r>
            <w:r>
              <w:rPr>
                <w:rFonts w:ascii="Times New Roman" w:hAnsi="Times New Roman"/>
                <w:i/>
                <w:sz w:val="20"/>
                <w:szCs w:val="20"/>
                <w:lang w:val="it-IT"/>
              </w:rPr>
              <w:t xml:space="preserve"> </w:t>
            </w:r>
            <w:r w:rsidRPr="00721D08">
              <w:rPr>
                <w:rFonts w:ascii="Times New Roman" w:hAnsi="Times New Roman"/>
                <w:i/>
                <w:sz w:val="20"/>
                <w:szCs w:val="20"/>
                <w:lang w:val="it-IT"/>
              </w:rPr>
              <w:t>pellucidum</w:t>
            </w:r>
            <w:r>
              <w:rPr>
                <w:rFonts w:ascii="Times New Roman" w:hAnsi="Times New Roman"/>
                <w:i/>
                <w:sz w:val="20"/>
                <w:szCs w:val="20"/>
                <w:lang w:val="it-IT"/>
              </w:rPr>
              <w:t xml:space="preserve"> </w:t>
            </w:r>
            <w:r w:rsidRPr="00721D08">
              <w:rPr>
                <w:rFonts w:ascii="Times New Roman" w:hAnsi="Times New Roman"/>
                <w:sz w:val="20"/>
                <w:szCs w:val="20"/>
                <w:lang w:val="it-IT"/>
              </w:rPr>
              <w:t>Bergh</w:t>
            </w:r>
          </w:p>
        </w:tc>
      </w:tr>
      <w:tr w:rsidR="00737931" w:rsidRPr="00721D08" w:rsidTr="008E53B9">
        <w:trPr>
          <w:trHeight w:val="321"/>
        </w:trPr>
        <w:tc>
          <w:tcPr>
            <w:tcW w:w="1827" w:type="dxa"/>
          </w:tcPr>
          <w:p w:rsidR="00737931" w:rsidRPr="00721D08" w:rsidRDefault="00737931" w:rsidP="008E53B9">
            <w:pPr>
              <w:spacing w:line="360" w:lineRule="auto"/>
              <w:rPr>
                <w:rFonts w:ascii="Times New Roman" w:hAnsi="Times New Roman"/>
                <w:sz w:val="20"/>
                <w:szCs w:val="20"/>
              </w:rPr>
            </w:pPr>
          </w:p>
        </w:tc>
        <w:tc>
          <w:tcPr>
            <w:tcW w:w="2003" w:type="dxa"/>
          </w:tcPr>
          <w:p w:rsidR="00737931" w:rsidRPr="00721D08" w:rsidRDefault="00737931" w:rsidP="008E53B9">
            <w:pPr>
              <w:spacing w:line="360" w:lineRule="auto"/>
              <w:rPr>
                <w:rFonts w:ascii="Times New Roman" w:hAnsi="Times New Roman"/>
                <w:sz w:val="20"/>
                <w:szCs w:val="20"/>
              </w:rPr>
            </w:pPr>
          </w:p>
        </w:tc>
        <w:tc>
          <w:tcPr>
            <w:tcW w:w="5538" w:type="dxa"/>
          </w:tcPr>
          <w:p w:rsidR="00737931" w:rsidRPr="00721D08" w:rsidRDefault="00737931" w:rsidP="008E53B9">
            <w:pPr>
              <w:spacing w:line="360" w:lineRule="auto"/>
              <w:rPr>
                <w:rFonts w:ascii="Times New Roman" w:hAnsi="Times New Roman"/>
                <w:i/>
                <w:sz w:val="20"/>
                <w:szCs w:val="20"/>
              </w:rPr>
            </w:pPr>
            <w:r w:rsidRPr="00721D08">
              <w:rPr>
                <w:rFonts w:ascii="Times New Roman" w:hAnsi="Times New Roman"/>
                <w:i/>
                <w:sz w:val="20"/>
                <w:szCs w:val="20"/>
                <w:lang w:val="it-IT"/>
              </w:rPr>
              <w:t>Protoperidinium</w:t>
            </w:r>
            <w:r>
              <w:rPr>
                <w:rFonts w:ascii="Times New Roman" w:hAnsi="Times New Roman"/>
                <w:i/>
                <w:sz w:val="20"/>
                <w:szCs w:val="20"/>
                <w:lang w:val="it-IT"/>
              </w:rPr>
              <w:t xml:space="preserve"> </w:t>
            </w:r>
            <w:r w:rsidRPr="00721D08">
              <w:rPr>
                <w:rFonts w:ascii="Times New Roman" w:hAnsi="Times New Roman"/>
                <w:i/>
                <w:sz w:val="20"/>
                <w:szCs w:val="20"/>
                <w:lang w:val="it-IT"/>
              </w:rPr>
              <w:t>crassipes</w:t>
            </w:r>
            <w:r>
              <w:rPr>
                <w:rFonts w:ascii="Times New Roman" w:hAnsi="Times New Roman"/>
                <w:i/>
                <w:sz w:val="20"/>
                <w:szCs w:val="20"/>
                <w:lang w:val="it-IT"/>
              </w:rPr>
              <w:t xml:space="preserve"> </w:t>
            </w:r>
            <w:r w:rsidRPr="00721D08">
              <w:rPr>
                <w:rFonts w:ascii="Times New Roman" w:hAnsi="Times New Roman"/>
                <w:sz w:val="20"/>
                <w:szCs w:val="20"/>
                <w:lang w:val="it-IT"/>
              </w:rPr>
              <w:t>(Kofoid) Balech</w:t>
            </w:r>
          </w:p>
        </w:tc>
      </w:tr>
      <w:tr w:rsidR="00737931" w:rsidRPr="00721D08" w:rsidTr="008E53B9">
        <w:trPr>
          <w:trHeight w:val="337"/>
        </w:trPr>
        <w:tc>
          <w:tcPr>
            <w:tcW w:w="1827" w:type="dxa"/>
            <w:tcBorders>
              <w:bottom w:val="double" w:sz="4" w:space="0" w:color="auto"/>
            </w:tcBorders>
          </w:tcPr>
          <w:p w:rsidR="00737931" w:rsidRPr="00721D08" w:rsidRDefault="00737931" w:rsidP="008E53B9">
            <w:pPr>
              <w:spacing w:line="360" w:lineRule="auto"/>
              <w:rPr>
                <w:rFonts w:ascii="Times New Roman" w:hAnsi="Times New Roman"/>
                <w:sz w:val="20"/>
                <w:szCs w:val="20"/>
              </w:rPr>
            </w:pPr>
          </w:p>
        </w:tc>
        <w:tc>
          <w:tcPr>
            <w:tcW w:w="2003" w:type="dxa"/>
            <w:tcBorders>
              <w:bottom w:val="double" w:sz="4" w:space="0" w:color="auto"/>
            </w:tcBorders>
          </w:tcPr>
          <w:p w:rsidR="00737931" w:rsidRPr="00721D08" w:rsidRDefault="00737931" w:rsidP="008E53B9">
            <w:pPr>
              <w:spacing w:line="360" w:lineRule="auto"/>
              <w:rPr>
                <w:rFonts w:ascii="Times New Roman" w:hAnsi="Times New Roman"/>
                <w:sz w:val="20"/>
                <w:szCs w:val="20"/>
              </w:rPr>
            </w:pPr>
          </w:p>
        </w:tc>
        <w:tc>
          <w:tcPr>
            <w:tcW w:w="5538" w:type="dxa"/>
            <w:tcBorders>
              <w:bottom w:val="double" w:sz="4" w:space="0" w:color="auto"/>
            </w:tcBorders>
          </w:tcPr>
          <w:p w:rsidR="00737931" w:rsidRPr="00721D08" w:rsidRDefault="00737931" w:rsidP="008E53B9">
            <w:pPr>
              <w:spacing w:line="360" w:lineRule="auto"/>
              <w:rPr>
                <w:rFonts w:ascii="Times New Roman" w:hAnsi="Times New Roman"/>
                <w:i/>
                <w:sz w:val="20"/>
                <w:szCs w:val="20"/>
                <w:lang w:val="it-IT"/>
              </w:rPr>
            </w:pPr>
            <w:r w:rsidRPr="00721D08">
              <w:rPr>
                <w:rFonts w:ascii="Times New Roman" w:hAnsi="Times New Roman"/>
                <w:i/>
                <w:sz w:val="20"/>
                <w:szCs w:val="20"/>
                <w:lang w:val="it-IT"/>
              </w:rPr>
              <w:t xml:space="preserve">Protoperidinium </w:t>
            </w:r>
            <w:r w:rsidRPr="00721D08">
              <w:rPr>
                <w:rFonts w:ascii="Times New Roman" w:hAnsi="Times New Roman"/>
                <w:sz w:val="20"/>
                <w:szCs w:val="20"/>
                <w:lang w:val="it-IT"/>
              </w:rPr>
              <w:t>sp.</w:t>
            </w:r>
          </w:p>
        </w:tc>
      </w:tr>
      <w:tr w:rsidR="00737931" w:rsidRPr="00721D08" w:rsidTr="008E53B9">
        <w:trPr>
          <w:trHeight w:val="337"/>
        </w:trPr>
        <w:tc>
          <w:tcPr>
            <w:tcW w:w="1827" w:type="dxa"/>
            <w:tcBorders>
              <w:top w:val="double" w:sz="4"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b/>
                <w:sz w:val="20"/>
                <w:szCs w:val="20"/>
                <w:lang w:val="it-IT"/>
              </w:rPr>
              <w:t>Spirotrichea</w:t>
            </w:r>
          </w:p>
        </w:tc>
        <w:tc>
          <w:tcPr>
            <w:tcW w:w="2003" w:type="dxa"/>
            <w:tcBorders>
              <w:top w:val="double" w:sz="4" w:space="0" w:color="auto"/>
            </w:tcBorders>
          </w:tcPr>
          <w:p w:rsidR="00737931" w:rsidRPr="00721D08" w:rsidRDefault="00737931" w:rsidP="008E53B9">
            <w:pPr>
              <w:spacing w:before="240" w:line="360" w:lineRule="auto"/>
              <w:rPr>
                <w:rFonts w:ascii="Times New Roman" w:hAnsi="Times New Roman"/>
                <w:sz w:val="20"/>
                <w:szCs w:val="20"/>
              </w:rPr>
            </w:pPr>
            <w:r w:rsidRPr="00721D08">
              <w:rPr>
                <w:rFonts w:ascii="Times New Roman" w:hAnsi="Times New Roman"/>
                <w:sz w:val="20"/>
                <w:szCs w:val="20"/>
              </w:rPr>
              <w:t>Codonellidae</w:t>
            </w:r>
          </w:p>
        </w:tc>
        <w:tc>
          <w:tcPr>
            <w:tcW w:w="5538" w:type="dxa"/>
            <w:tcBorders>
              <w:top w:val="double" w:sz="4" w:space="0" w:color="auto"/>
            </w:tcBorders>
          </w:tcPr>
          <w:p w:rsidR="00737931" w:rsidRPr="00721D08" w:rsidRDefault="00737931" w:rsidP="008E53B9">
            <w:pPr>
              <w:spacing w:before="240" w:line="360" w:lineRule="auto"/>
              <w:rPr>
                <w:rFonts w:ascii="Times New Roman" w:hAnsi="Times New Roman"/>
                <w:i/>
                <w:sz w:val="20"/>
                <w:szCs w:val="20"/>
                <w:lang w:val="it-IT"/>
              </w:rPr>
            </w:pPr>
            <w:r w:rsidRPr="00721D08">
              <w:rPr>
                <w:rFonts w:ascii="Times New Roman" w:hAnsi="Times New Roman"/>
                <w:i/>
                <w:sz w:val="20"/>
                <w:szCs w:val="20"/>
                <w:lang w:val="it-IT"/>
              </w:rPr>
              <w:t xml:space="preserve">Codonella </w:t>
            </w:r>
            <w:r w:rsidRPr="00721D08">
              <w:rPr>
                <w:rFonts w:ascii="Times New Roman" w:hAnsi="Times New Roman"/>
                <w:sz w:val="20"/>
                <w:szCs w:val="20"/>
                <w:lang w:val="it-IT"/>
              </w:rPr>
              <w:t>spp.</w:t>
            </w:r>
          </w:p>
        </w:tc>
      </w:tr>
      <w:tr w:rsidR="00737931" w:rsidRPr="00721D08" w:rsidTr="008E53B9">
        <w:trPr>
          <w:trHeight w:val="321"/>
        </w:trPr>
        <w:tc>
          <w:tcPr>
            <w:tcW w:w="1827" w:type="dxa"/>
            <w:tcBorders>
              <w:top w:val="double" w:sz="4" w:space="0" w:color="auto"/>
            </w:tcBorders>
          </w:tcPr>
          <w:p w:rsidR="00737931" w:rsidRPr="00721D08" w:rsidRDefault="00737931" w:rsidP="008E53B9">
            <w:pPr>
              <w:spacing w:line="360" w:lineRule="auto"/>
              <w:rPr>
                <w:rFonts w:ascii="Times New Roman" w:hAnsi="Times New Roman"/>
                <w:sz w:val="20"/>
                <w:szCs w:val="20"/>
              </w:rPr>
            </w:pPr>
          </w:p>
        </w:tc>
        <w:tc>
          <w:tcPr>
            <w:tcW w:w="2003" w:type="dxa"/>
            <w:tcBorders>
              <w:top w:val="double" w:sz="4" w:space="0" w:color="auto"/>
            </w:tcBorders>
          </w:tcPr>
          <w:p w:rsidR="00737931" w:rsidRPr="00721D08" w:rsidRDefault="00737931" w:rsidP="008E53B9">
            <w:pPr>
              <w:spacing w:line="360" w:lineRule="auto"/>
              <w:rPr>
                <w:rFonts w:ascii="Times New Roman" w:hAnsi="Times New Roman"/>
                <w:sz w:val="20"/>
                <w:szCs w:val="20"/>
              </w:rPr>
            </w:pPr>
          </w:p>
        </w:tc>
        <w:tc>
          <w:tcPr>
            <w:tcW w:w="5538" w:type="dxa"/>
            <w:tcBorders>
              <w:top w:val="double" w:sz="4" w:space="0" w:color="auto"/>
            </w:tcBorders>
          </w:tcPr>
          <w:p w:rsidR="00737931" w:rsidRPr="00721D08" w:rsidRDefault="00737931" w:rsidP="008E53B9">
            <w:pPr>
              <w:spacing w:line="360" w:lineRule="auto"/>
              <w:rPr>
                <w:rFonts w:ascii="Times New Roman" w:hAnsi="Times New Roman"/>
                <w:i/>
                <w:sz w:val="20"/>
                <w:szCs w:val="20"/>
                <w:lang w:val="it-IT"/>
              </w:rPr>
            </w:pPr>
          </w:p>
        </w:tc>
      </w:tr>
    </w:tbl>
    <w:p w:rsidR="00737931" w:rsidRPr="00937B95" w:rsidRDefault="00737931" w:rsidP="00737931">
      <w:pPr>
        <w:spacing w:after="0" w:line="480" w:lineRule="auto"/>
        <w:ind w:left="426" w:hanging="426"/>
        <w:jc w:val="both"/>
        <w:rPr>
          <w:rFonts w:ascii="Times New Roman" w:hAnsi="Times New Roman"/>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b/>
        </w:rPr>
      </w:pPr>
    </w:p>
    <w:p w:rsidR="00737931" w:rsidRDefault="00737931" w:rsidP="00737931">
      <w:pPr>
        <w:spacing w:after="0" w:line="480" w:lineRule="auto"/>
        <w:ind w:left="426" w:hanging="426"/>
        <w:jc w:val="both"/>
        <w:rPr>
          <w:rFonts w:ascii="Times New Roman" w:hAnsi="Times New Roman"/>
        </w:rPr>
      </w:pPr>
      <w:r w:rsidRPr="001C3A65">
        <w:rPr>
          <w:rFonts w:ascii="Times New Roman" w:hAnsi="Times New Roman"/>
          <w:b/>
        </w:rPr>
        <w:lastRenderedPageBreak/>
        <w:t xml:space="preserve">Table </w:t>
      </w:r>
      <w:r>
        <w:rPr>
          <w:rFonts w:ascii="Times New Roman" w:hAnsi="Times New Roman"/>
          <w:b/>
        </w:rPr>
        <w:t>2</w:t>
      </w:r>
      <w:r w:rsidRPr="001C3A65">
        <w:rPr>
          <w:rFonts w:ascii="Times New Roman" w:hAnsi="Times New Roman"/>
        </w:rPr>
        <w:t xml:space="preserve"> Range and mean of the environmental variables </w:t>
      </w:r>
    </w:p>
    <w:p w:rsidR="00737931" w:rsidRDefault="00737931" w:rsidP="00737931">
      <w:pPr>
        <w:spacing w:after="0" w:line="480" w:lineRule="auto"/>
        <w:ind w:left="426" w:hanging="426"/>
        <w:jc w:val="both"/>
        <w:rPr>
          <w:rFonts w:ascii="Times New Roman" w:hAnsi="Times New Roman"/>
        </w:rPr>
      </w:pP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559"/>
        <w:gridCol w:w="1701"/>
        <w:gridCol w:w="1707"/>
        <w:gridCol w:w="1512"/>
      </w:tblGrid>
      <w:tr w:rsidR="00737931" w:rsidRPr="001C3A65" w:rsidTr="008E53B9">
        <w:trPr>
          <w:trHeight w:val="457"/>
        </w:trPr>
        <w:tc>
          <w:tcPr>
            <w:tcW w:w="2977" w:type="dxa"/>
            <w:gridSpan w:val="2"/>
            <w:tcBorders>
              <w:top w:val="single" w:sz="12" w:space="0" w:color="000000" w:themeColor="text1"/>
              <w:bottom w:val="single" w:sz="12" w:space="0" w:color="000000" w:themeColor="text1"/>
              <w:right w:val="nil"/>
            </w:tcBorders>
          </w:tcPr>
          <w:p w:rsidR="00737931" w:rsidRPr="001C3A65" w:rsidRDefault="00737931" w:rsidP="008E53B9">
            <w:pPr>
              <w:spacing w:line="480" w:lineRule="auto"/>
              <w:jc w:val="both"/>
              <w:rPr>
                <w:rFonts w:ascii="Times New Roman" w:hAnsi="Times New Roman"/>
                <w:b/>
              </w:rPr>
            </w:pPr>
            <w:r w:rsidRPr="001C3A65">
              <w:rPr>
                <w:rFonts w:ascii="Times New Roman" w:hAnsi="Times New Roman"/>
                <w:b/>
              </w:rPr>
              <w:t>Station</w:t>
            </w:r>
          </w:p>
        </w:tc>
        <w:tc>
          <w:tcPr>
            <w:tcW w:w="1559" w:type="dxa"/>
            <w:tcBorders>
              <w:top w:val="single" w:sz="12" w:space="0" w:color="000000" w:themeColor="text1"/>
              <w:left w:val="nil"/>
              <w:bottom w:val="single" w:sz="12" w:space="0" w:color="000000" w:themeColor="text1"/>
            </w:tcBorders>
          </w:tcPr>
          <w:p w:rsidR="00737931" w:rsidRPr="001C3A65" w:rsidRDefault="00737931" w:rsidP="008E53B9">
            <w:pPr>
              <w:spacing w:line="480" w:lineRule="auto"/>
              <w:jc w:val="center"/>
              <w:rPr>
                <w:rFonts w:ascii="Times New Roman" w:hAnsi="Times New Roman"/>
                <w:b/>
              </w:rPr>
            </w:pPr>
            <w:r w:rsidRPr="001C3A65">
              <w:rPr>
                <w:rFonts w:ascii="Times New Roman" w:hAnsi="Times New Roman"/>
                <w:b/>
              </w:rPr>
              <w:t>pH</w:t>
            </w:r>
          </w:p>
        </w:tc>
        <w:tc>
          <w:tcPr>
            <w:tcW w:w="1701" w:type="dxa"/>
            <w:tcBorders>
              <w:top w:val="single" w:sz="12" w:space="0" w:color="000000" w:themeColor="text1"/>
              <w:bottom w:val="single" w:sz="12" w:space="0" w:color="000000" w:themeColor="text1"/>
            </w:tcBorders>
          </w:tcPr>
          <w:p w:rsidR="00737931" w:rsidRPr="001C3A65" w:rsidRDefault="00737931" w:rsidP="008E53B9">
            <w:pPr>
              <w:spacing w:line="480" w:lineRule="auto"/>
              <w:jc w:val="center"/>
              <w:rPr>
                <w:rFonts w:ascii="Times New Roman" w:hAnsi="Times New Roman"/>
                <w:b/>
              </w:rPr>
            </w:pPr>
            <w:r w:rsidRPr="001C3A65">
              <w:rPr>
                <w:rFonts w:ascii="Times New Roman" w:hAnsi="Times New Roman"/>
                <w:b/>
              </w:rPr>
              <w:t>Temperature</w:t>
            </w:r>
          </w:p>
        </w:tc>
        <w:tc>
          <w:tcPr>
            <w:tcW w:w="1707" w:type="dxa"/>
            <w:tcBorders>
              <w:top w:val="single" w:sz="12" w:space="0" w:color="000000" w:themeColor="text1"/>
              <w:bottom w:val="single" w:sz="12" w:space="0" w:color="000000" w:themeColor="text1"/>
            </w:tcBorders>
          </w:tcPr>
          <w:p w:rsidR="00737931" w:rsidRPr="001C3A65" w:rsidRDefault="00737931" w:rsidP="008E53B9">
            <w:pPr>
              <w:spacing w:line="480" w:lineRule="auto"/>
              <w:jc w:val="center"/>
              <w:rPr>
                <w:rFonts w:ascii="Times New Roman" w:hAnsi="Times New Roman"/>
                <w:b/>
              </w:rPr>
            </w:pPr>
            <w:r w:rsidRPr="001C3A65">
              <w:rPr>
                <w:rFonts w:ascii="Times New Roman" w:hAnsi="Times New Roman"/>
                <w:b/>
              </w:rPr>
              <w:t>Salinity</w:t>
            </w:r>
          </w:p>
        </w:tc>
        <w:tc>
          <w:tcPr>
            <w:tcW w:w="1512" w:type="dxa"/>
            <w:tcBorders>
              <w:top w:val="single" w:sz="12" w:space="0" w:color="000000" w:themeColor="text1"/>
              <w:bottom w:val="single" w:sz="12" w:space="0" w:color="000000" w:themeColor="text1"/>
            </w:tcBorders>
          </w:tcPr>
          <w:p w:rsidR="00737931" w:rsidRPr="001C3A65" w:rsidRDefault="00737931" w:rsidP="008E53B9">
            <w:pPr>
              <w:spacing w:line="480" w:lineRule="auto"/>
              <w:jc w:val="center"/>
              <w:rPr>
                <w:rFonts w:ascii="Times New Roman" w:hAnsi="Times New Roman"/>
                <w:b/>
              </w:rPr>
            </w:pPr>
            <w:r w:rsidRPr="001C3A65">
              <w:rPr>
                <w:rFonts w:ascii="Times New Roman" w:hAnsi="Times New Roman"/>
                <w:b/>
              </w:rPr>
              <w:t>DO</w:t>
            </w:r>
          </w:p>
        </w:tc>
      </w:tr>
      <w:tr w:rsidR="00737931" w:rsidRPr="001C3A65" w:rsidTr="008E53B9">
        <w:trPr>
          <w:trHeight w:val="457"/>
        </w:trPr>
        <w:tc>
          <w:tcPr>
            <w:tcW w:w="1985" w:type="dxa"/>
            <w:tcBorders>
              <w:top w:val="single" w:sz="12" w:space="0" w:color="000000" w:themeColor="text1"/>
              <w:bottom w:val="nil"/>
              <w:right w:val="nil"/>
            </w:tcBorders>
          </w:tcPr>
          <w:p w:rsidR="00737931" w:rsidRPr="001C3A65" w:rsidRDefault="00737931" w:rsidP="008E53B9">
            <w:pPr>
              <w:spacing w:line="480" w:lineRule="auto"/>
              <w:jc w:val="both"/>
              <w:rPr>
                <w:rFonts w:ascii="Times New Roman" w:hAnsi="Times New Roman"/>
                <w:b/>
              </w:rPr>
            </w:pPr>
            <w:r w:rsidRPr="001C3A65">
              <w:rPr>
                <w:rFonts w:ascii="Times New Roman" w:hAnsi="Times New Roman"/>
                <w:b/>
              </w:rPr>
              <w:t>1(Pulau</w:t>
            </w:r>
            <w:r>
              <w:rPr>
                <w:rFonts w:ascii="Times New Roman" w:hAnsi="Times New Roman"/>
                <w:b/>
              </w:rPr>
              <w:t xml:space="preserve"> </w:t>
            </w:r>
            <w:r w:rsidRPr="001C3A65">
              <w:rPr>
                <w:rFonts w:ascii="Times New Roman" w:hAnsi="Times New Roman"/>
                <w:b/>
              </w:rPr>
              <w:t>Chermin)</w:t>
            </w:r>
          </w:p>
        </w:tc>
        <w:tc>
          <w:tcPr>
            <w:tcW w:w="992" w:type="dxa"/>
            <w:tcBorders>
              <w:top w:val="single" w:sz="12" w:space="0" w:color="000000" w:themeColor="text1"/>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Range</w:t>
            </w:r>
          </w:p>
        </w:tc>
        <w:tc>
          <w:tcPr>
            <w:tcW w:w="1559" w:type="dxa"/>
            <w:tcBorders>
              <w:top w:val="single" w:sz="12" w:space="0" w:color="000000" w:themeColor="text1"/>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7.03 – 8.06</w:t>
            </w:r>
          </w:p>
        </w:tc>
        <w:tc>
          <w:tcPr>
            <w:tcW w:w="1701" w:type="dxa"/>
            <w:tcBorders>
              <w:top w:val="single" w:sz="12" w:space="0" w:color="000000" w:themeColor="text1"/>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26.6 – 33.2</w:t>
            </w:r>
          </w:p>
        </w:tc>
        <w:tc>
          <w:tcPr>
            <w:tcW w:w="1707" w:type="dxa"/>
            <w:tcBorders>
              <w:top w:val="single" w:sz="12" w:space="0" w:color="000000" w:themeColor="text1"/>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13.69 – 28.3</w:t>
            </w:r>
          </w:p>
        </w:tc>
        <w:tc>
          <w:tcPr>
            <w:tcW w:w="1512" w:type="dxa"/>
            <w:tcBorders>
              <w:top w:val="single" w:sz="12" w:space="0" w:color="000000" w:themeColor="text1"/>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5.41 – 8.57</w:t>
            </w:r>
          </w:p>
        </w:tc>
      </w:tr>
      <w:tr w:rsidR="00737931" w:rsidRPr="001C3A65" w:rsidTr="008E53B9">
        <w:trPr>
          <w:trHeight w:val="457"/>
        </w:trPr>
        <w:tc>
          <w:tcPr>
            <w:tcW w:w="1985" w:type="dxa"/>
            <w:tcBorders>
              <w:top w:val="nil"/>
              <w:bottom w:val="nil"/>
              <w:right w:val="nil"/>
            </w:tcBorders>
          </w:tcPr>
          <w:p w:rsidR="00737931" w:rsidRPr="001C3A65" w:rsidRDefault="00737931" w:rsidP="008E53B9">
            <w:pPr>
              <w:spacing w:line="480" w:lineRule="auto"/>
              <w:jc w:val="both"/>
              <w:rPr>
                <w:rFonts w:ascii="Times New Roman" w:hAnsi="Times New Roman"/>
                <w:b/>
              </w:rPr>
            </w:pPr>
          </w:p>
        </w:tc>
        <w:tc>
          <w:tcPr>
            <w:tcW w:w="992" w:type="dxa"/>
            <w:tcBorders>
              <w:top w:val="nil"/>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Mean</w:t>
            </w:r>
          </w:p>
        </w:tc>
        <w:tc>
          <w:tcPr>
            <w:tcW w:w="1559" w:type="dxa"/>
            <w:tcBorders>
              <w:top w:val="nil"/>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7.58 (±0.59)</w:t>
            </w:r>
          </w:p>
        </w:tc>
        <w:tc>
          <w:tcPr>
            <w:tcW w:w="1701"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30.06 (±1.63)</w:t>
            </w:r>
          </w:p>
        </w:tc>
        <w:tc>
          <w:tcPr>
            <w:tcW w:w="1707"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20.29 (±4.29)</w:t>
            </w:r>
          </w:p>
        </w:tc>
        <w:tc>
          <w:tcPr>
            <w:tcW w:w="1512"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6.74 (±1.84)</w:t>
            </w:r>
          </w:p>
        </w:tc>
      </w:tr>
      <w:tr w:rsidR="00737931" w:rsidRPr="001C3A65" w:rsidTr="008E53B9">
        <w:trPr>
          <w:trHeight w:val="477"/>
        </w:trPr>
        <w:tc>
          <w:tcPr>
            <w:tcW w:w="1985" w:type="dxa"/>
            <w:tcBorders>
              <w:top w:val="nil"/>
              <w:bottom w:val="nil"/>
              <w:right w:val="nil"/>
            </w:tcBorders>
          </w:tcPr>
          <w:p w:rsidR="00737931" w:rsidRPr="001C3A65" w:rsidRDefault="00737931" w:rsidP="008E53B9">
            <w:pPr>
              <w:spacing w:line="480" w:lineRule="auto"/>
              <w:jc w:val="both"/>
              <w:rPr>
                <w:rFonts w:ascii="Times New Roman" w:hAnsi="Times New Roman"/>
                <w:b/>
              </w:rPr>
            </w:pPr>
            <w:r w:rsidRPr="001C3A65">
              <w:rPr>
                <w:rFonts w:ascii="Times New Roman" w:hAnsi="Times New Roman"/>
                <w:b/>
              </w:rPr>
              <w:t>2(Sg. Bunga)</w:t>
            </w:r>
          </w:p>
        </w:tc>
        <w:tc>
          <w:tcPr>
            <w:tcW w:w="992" w:type="dxa"/>
            <w:tcBorders>
              <w:top w:val="nil"/>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Range</w:t>
            </w:r>
          </w:p>
        </w:tc>
        <w:tc>
          <w:tcPr>
            <w:tcW w:w="1559"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6.07 – 7.86</w:t>
            </w:r>
          </w:p>
        </w:tc>
        <w:tc>
          <w:tcPr>
            <w:tcW w:w="1701"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26.7 – 32.7</w:t>
            </w:r>
          </w:p>
        </w:tc>
        <w:tc>
          <w:tcPr>
            <w:tcW w:w="1707"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12.07 – 28.5</w:t>
            </w:r>
          </w:p>
        </w:tc>
        <w:tc>
          <w:tcPr>
            <w:tcW w:w="1512" w:type="dxa"/>
            <w:tcBorders>
              <w:top w:val="nil"/>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4.32 – 7.3</w:t>
            </w:r>
          </w:p>
        </w:tc>
      </w:tr>
      <w:tr w:rsidR="00737931" w:rsidRPr="001C3A65" w:rsidTr="008E53B9">
        <w:trPr>
          <w:trHeight w:val="477"/>
        </w:trPr>
        <w:tc>
          <w:tcPr>
            <w:tcW w:w="1985" w:type="dxa"/>
            <w:tcBorders>
              <w:top w:val="nil"/>
              <w:bottom w:val="nil"/>
              <w:right w:val="nil"/>
            </w:tcBorders>
          </w:tcPr>
          <w:p w:rsidR="00737931" w:rsidRPr="001C3A65" w:rsidRDefault="00737931" w:rsidP="008E53B9">
            <w:pPr>
              <w:spacing w:line="480" w:lineRule="auto"/>
              <w:jc w:val="both"/>
              <w:rPr>
                <w:rFonts w:ascii="Times New Roman" w:hAnsi="Times New Roman"/>
                <w:b/>
              </w:rPr>
            </w:pPr>
          </w:p>
        </w:tc>
        <w:tc>
          <w:tcPr>
            <w:tcW w:w="992" w:type="dxa"/>
            <w:tcBorders>
              <w:top w:val="nil"/>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Mean</w:t>
            </w:r>
          </w:p>
        </w:tc>
        <w:tc>
          <w:tcPr>
            <w:tcW w:w="1559"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7.25 (±0.45)</w:t>
            </w:r>
          </w:p>
        </w:tc>
        <w:tc>
          <w:tcPr>
            <w:tcW w:w="1701"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30.02 (±1.45)</w:t>
            </w:r>
          </w:p>
        </w:tc>
        <w:tc>
          <w:tcPr>
            <w:tcW w:w="1707"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18.72 (±4.88)</w:t>
            </w:r>
          </w:p>
        </w:tc>
        <w:tc>
          <w:tcPr>
            <w:tcW w:w="1512" w:type="dxa"/>
            <w:tcBorders>
              <w:top w:val="nil"/>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5.69 (±1.14)</w:t>
            </w:r>
          </w:p>
        </w:tc>
      </w:tr>
      <w:tr w:rsidR="00737931" w:rsidRPr="001C3A65" w:rsidTr="008E53B9">
        <w:trPr>
          <w:trHeight w:val="477"/>
        </w:trPr>
        <w:tc>
          <w:tcPr>
            <w:tcW w:w="1985" w:type="dxa"/>
            <w:tcBorders>
              <w:top w:val="nil"/>
              <w:bottom w:val="nil"/>
              <w:right w:val="nil"/>
            </w:tcBorders>
          </w:tcPr>
          <w:p w:rsidR="00737931" w:rsidRPr="001C3A65" w:rsidRDefault="00737931" w:rsidP="008E53B9">
            <w:pPr>
              <w:spacing w:line="480" w:lineRule="auto"/>
              <w:jc w:val="both"/>
              <w:rPr>
                <w:rFonts w:ascii="Times New Roman" w:hAnsi="Times New Roman"/>
                <w:b/>
              </w:rPr>
            </w:pPr>
            <w:r w:rsidRPr="001C3A65">
              <w:rPr>
                <w:rFonts w:ascii="Times New Roman" w:hAnsi="Times New Roman"/>
                <w:b/>
              </w:rPr>
              <w:t>3(Pintu</w:t>
            </w:r>
            <w:r>
              <w:rPr>
                <w:rFonts w:ascii="Times New Roman" w:hAnsi="Times New Roman"/>
                <w:b/>
              </w:rPr>
              <w:t xml:space="preserve"> </w:t>
            </w:r>
            <w:r w:rsidRPr="001C3A65">
              <w:rPr>
                <w:rFonts w:ascii="Times New Roman" w:hAnsi="Times New Roman"/>
                <w:b/>
              </w:rPr>
              <w:t>Malim)</w:t>
            </w:r>
          </w:p>
        </w:tc>
        <w:tc>
          <w:tcPr>
            <w:tcW w:w="992" w:type="dxa"/>
            <w:tcBorders>
              <w:top w:val="nil"/>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Range</w:t>
            </w:r>
          </w:p>
        </w:tc>
        <w:tc>
          <w:tcPr>
            <w:tcW w:w="1559" w:type="dxa"/>
            <w:tcBorders>
              <w:top w:val="nil"/>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6.72 – 7.80</w:t>
            </w:r>
          </w:p>
        </w:tc>
        <w:tc>
          <w:tcPr>
            <w:tcW w:w="1701"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27.2 – 32.2</w:t>
            </w:r>
          </w:p>
        </w:tc>
        <w:tc>
          <w:tcPr>
            <w:tcW w:w="1707"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8.34 – 24.4</w:t>
            </w:r>
          </w:p>
        </w:tc>
        <w:tc>
          <w:tcPr>
            <w:tcW w:w="1512"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4.23 – 6.92</w:t>
            </w:r>
          </w:p>
        </w:tc>
      </w:tr>
      <w:tr w:rsidR="00737931" w:rsidRPr="001C3A65" w:rsidTr="008E53B9">
        <w:trPr>
          <w:trHeight w:val="477"/>
        </w:trPr>
        <w:tc>
          <w:tcPr>
            <w:tcW w:w="1985" w:type="dxa"/>
            <w:tcBorders>
              <w:top w:val="nil"/>
              <w:bottom w:val="nil"/>
              <w:right w:val="nil"/>
            </w:tcBorders>
          </w:tcPr>
          <w:p w:rsidR="00737931" w:rsidRPr="001C3A65" w:rsidRDefault="00737931" w:rsidP="008E53B9">
            <w:pPr>
              <w:spacing w:line="480" w:lineRule="auto"/>
              <w:jc w:val="both"/>
              <w:rPr>
                <w:rFonts w:ascii="Times New Roman" w:hAnsi="Times New Roman"/>
                <w:b/>
              </w:rPr>
            </w:pPr>
          </w:p>
        </w:tc>
        <w:tc>
          <w:tcPr>
            <w:tcW w:w="992" w:type="dxa"/>
            <w:tcBorders>
              <w:top w:val="nil"/>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Mean</w:t>
            </w:r>
          </w:p>
        </w:tc>
        <w:tc>
          <w:tcPr>
            <w:tcW w:w="1559" w:type="dxa"/>
            <w:tcBorders>
              <w:top w:val="nil"/>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7.21 (±0.30)</w:t>
            </w:r>
          </w:p>
        </w:tc>
        <w:tc>
          <w:tcPr>
            <w:tcW w:w="1701"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30.16 (±1.59)</w:t>
            </w:r>
          </w:p>
        </w:tc>
        <w:tc>
          <w:tcPr>
            <w:tcW w:w="1707"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16.75 (±4.7)</w:t>
            </w:r>
          </w:p>
        </w:tc>
        <w:tc>
          <w:tcPr>
            <w:tcW w:w="1512" w:type="dxa"/>
            <w:tcBorders>
              <w:top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5.44 (±0.86)</w:t>
            </w:r>
          </w:p>
        </w:tc>
      </w:tr>
      <w:tr w:rsidR="00737931" w:rsidRPr="001C3A65" w:rsidTr="008E53B9">
        <w:trPr>
          <w:trHeight w:val="477"/>
        </w:trPr>
        <w:tc>
          <w:tcPr>
            <w:tcW w:w="1985" w:type="dxa"/>
            <w:tcBorders>
              <w:top w:val="nil"/>
              <w:bottom w:val="nil"/>
              <w:right w:val="nil"/>
            </w:tcBorders>
          </w:tcPr>
          <w:p w:rsidR="00737931" w:rsidRPr="001C3A65" w:rsidRDefault="00737931" w:rsidP="008E53B9">
            <w:pPr>
              <w:spacing w:line="480" w:lineRule="auto"/>
              <w:jc w:val="both"/>
              <w:rPr>
                <w:rFonts w:ascii="Times New Roman" w:hAnsi="Times New Roman"/>
                <w:b/>
              </w:rPr>
            </w:pPr>
            <w:r w:rsidRPr="001C3A65">
              <w:rPr>
                <w:rFonts w:ascii="Times New Roman" w:hAnsi="Times New Roman"/>
                <w:b/>
              </w:rPr>
              <w:t>4(Kedayan</w:t>
            </w:r>
            <w:r>
              <w:rPr>
                <w:rFonts w:ascii="Times New Roman" w:hAnsi="Times New Roman"/>
                <w:b/>
              </w:rPr>
              <w:t xml:space="preserve"> River</w:t>
            </w:r>
            <w:r w:rsidRPr="001C3A65">
              <w:rPr>
                <w:rFonts w:ascii="Times New Roman" w:hAnsi="Times New Roman"/>
                <w:b/>
              </w:rPr>
              <w:t>)</w:t>
            </w:r>
          </w:p>
        </w:tc>
        <w:tc>
          <w:tcPr>
            <w:tcW w:w="992" w:type="dxa"/>
            <w:tcBorders>
              <w:top w:val="nil"/>
              <w:left w:val="nil"/>
              <w:bottom w:val="nil"/>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Range</w:t>
            </w:r>
          </w:p>
        </w:tc>
        <w:tc>
          <w:tcPr>
            <w:tcW w:w="1559"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5.87 – 7.52</w:t>
            </w:r>
          </w:p>
        </w:tc>
        <w:tc>
          <w:tcPr>
            <w:tcW w:w="1701"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27.0 – 32.1</w:t>
            </w:r>
          </w:p>
        </w:tc>
        <w:tc>
          <w:tcPr>
            <w:tcW w:w="1707" w:type="dxa"/>
            <w:tcBorders>
              <w:top w:val="nil"/>
              <w:left w:val="nil"/>
              <w:bottom w:val="nil"/>
              <w:right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0.43 – 14.70</w:t>
            </w:r>
          </w:p>
        </w:tc>
        <w:tc>
          <w:tcPr>
            <w:tcW w:w="1512" w:type="dxa"/>
            <w:tcBorders>
              <w:top w:val="nil"/>
              <w:left w:val="nil"/>
              <w:bottom w:val="nil"/>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3.12 – 7.73</w:t>
            </w:r>
          </w:p>
        </w:tc>
      </w:tr>
      <w:tr w:rsidR="00737931" w:rsidRPr="001C3A65" w:rsidTr="008E53B9">
        <w:trPr>
          <w:trHeight w:val="347"/>
        </w:trPr>
        <w:tc>
          <w:tcPr>
            <w:tcW w:w="1985" w:type="dxa"/>
            <w:tcBorders>
              <w:top w:val="nil"/>
              <w:bottom w:val="single" w:sz="12" w:space="0" w:color="000000" w:themeColor="text1"/>
              <w:right w:val="nil"/>
            </w:tcBorders>
          </w:tcPr>
          <w:p w:rsidR="00737931" w:rsidRPr="001C3A65" w:rsidRDefault="00737931" w:rsidP="008E53B9">
            <w:pPr>
              <w:spacing w:line="480" w:lineRule="auto"/>
              <w:jc w:val="both"/>
              <w:rPr>
                <w:rFonts w:ascii="Times New Roman" w:hAnsi="Times New Roman"/>
                <w:b/>
              </w:rPr>
            </w:pPr>
          </w:p>
        </w:tc>
        <w:tc>
          <w:tcPr>
            <w:tcW w:w="992" w:type="dxa"/>
            <w:tcBorders>
              <w:top w:val="nil"/>
              <w:left w:val="nil"/>
              <w:bottom w:val="single" w:sz="12" w:space="0" w:color="000000" w:themeColor="text1"/>
              <w:right w:val="nil"/>
            </w:tcBorders>
          </w:tcPr>
          <w:p w:rsidR="00737931" w:rsidRPr="001C3A65" w:rsidRDefault="00737931" w:rsidP="008E53B9">
            <w:pPr>
              <w:spacing w:line="480" w:lineRule="auto"/>
              <w:jc w:val="both"/>
              <w:rPr>
                <w:rFonts w:ascii="Times New Roman" w:hAnsi="Times New Roman"/>
              </w:rPr>
            </w:pPr>
            <w:r w:rsidRPr="001C3A65">
              <w:rPr>
                <w:rFonts w:ascii="Times New Roman" w:hAnsi="Times New Roman"/>
              </w:rPr>
              <w:t>Mean</w:t>
            </w:r>
          </w:p>
        </w:tc>
        <w:tc>
          <w:tcPr>
            <w:tcW w:w="1559" w:type="dxa"/>
            <w:tcBorders>
              <w:top w:val="nil"/>
              <w:left w:val="nil"/>
              <w:bottom w:val="single" w:sz="12" w:space="0" w:color="000000" w:themeColor="text1"/>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6.58 (±0.42)</w:t>
            </w:r>
          </w:p>
        </w:tc>
        <w:tc>
          <w:tcPr>
            <w:tcW w:w="1701" w:type="dxa"/>
            <w:tcBorders>
              <w:top w:val="nil"/>
              <w:bottom w:val="single" w:sz="12" w:space="0" w:color="000000" w:themeColor="text1"/>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29.39 (±1.32)</w:t>
            </w:r>
          </w:p>
        </w:tc>
        <w:tc>
          <w:tcPr>
            <w:tcW w:w="1707" w:type="dxa"/>
            <w:tcBorders>
              <w:top w:val="nil"/>
              <w:bottom w:val="single" w:sz="12" w:space="0" w:color="000000" w:themeColor="text1"/>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5.98 (±4.5)</w:t>
            </w:r>
          </w:p>
        </w:tc>
        <w:tc>
          <w:tcPr>
            <w:tcW w:w="1512" w:type="dxa"/>
            <w:tcBorders>
              <w:top w:val="nil"/>
              <w:bottom w:val="single" w:sz="12" w:space="0" w:color="000000" w:themeColor="text1"/>
            </w:tcBorders>
          </w:tcPr>
          <w:p w:rsidR="00737931" w:rsidRPr="001C3A65" w:rsidRDefault="00737931" w:rsidP="008E53B9">
            <w:pPr>
              <w:spacing w:line="480" w:lineRule="auto"/>
              <w:jc w:val="center"/>
              <w:rPr>
                <w:rFonts w:ascii="Times New Roman" w:hAnsi="Times New Roman"/>
              </w:rPr>
            </w:pPr>
            <w:r w:rsidRPr="001C3A65">
              <w:rPr>
                <w:rFonts w:ascii="Times New Roman" w:hAnsi="Times New Roman"/>
              </w:rPr>
              <w:t>4.94 (±1.24)</w:t>
            </w:r>
          </w:p>
        </w:tc>
      </w:tr>
    </w:tbl>
    <w:p w:rsidR="00737931" w:rsidRPr="001C3A65" w:rsidRDefault="00737931" w:rsidP="00737931">
      <w:pPr>
        <w:spacing w:after="0" w:line="480" w:lineRule="auto"/>
        <w:jc w:val="both"/>
        <w:rPr>
          <w:rFonts w:ascii="Times New Roman" w:hAnsi="Times New Roman"/>
        </w:rPr>
      </w:pPr>
    </w:p>
    <w:p w:rsidR="00737931" w:rsidRDefault="00737931" w:rsidP="00737931">
      <w:pPr>
        <w:spacing w:after="0" w:line="480" w:lineRule="auto"/>
        <w:jc w:val="both"/>
        <w:rPr>
          <w:rFonts w:ascii="Times New Roman" w:hAnsi="Times New Roman"/>
          <w:color w:val="FF0000"/>
        </w:rPr>
      </w:pPr>
    </w:p>
    <w:p w:rsidR="00737931" w:rsidRDefault="00737931" w:rsidP="00737931">
      <w:pPr>
        <w:spacing w:after="0" w:line="480" w:lineRule="auto"/>
        <w:jc w:val="both"/>
        <w:rPr>
          <w:rFonts w:ascii="Times New Roman" w:hAnsi="Times New Roman"/>
          <w:color w:val="FF0000"/>
        </w:rPr>
      </w:pPr>
    </w:p>
    <w:p w:rsidR="00737931" w:rsidRDefault="00737931" w:rsidP="00737931">
      <w:pPr>
        <w:spacing w:after="0" w:line="480" w:lineRule="auto"/>
        <w:jc w:val="both"/>
        <w:rPr>
          <w:rFonts w:ascii="Times New Roman" w:hAnsi="Times New Roman"/>
          <w:color w:val="FF0000"/>
        </w:rPr>
      </w:pPr>
    </w:p>
    <w:p w:rsidR="00737931" w:rsidRDefault="00737931">
      <w:pPr>
        <w:rPr>
          <w:rFonts w:ascii="Times New Roman" w:hAnsi="Times New Roman"/>
          <w:b/>
        </w:rPr>
      </w:pPr>
      <w:r>
        <w:rPr>
          <w:rFonts w:ascii="Times New Roman" w:hAnsi="Times New Roman"/>
          <w:b/>
        </w:rPr>
        <w:br w:type="page"/>
      </w:r>
    </w:p>
    <w:p w:rsidR="00737931" w:rsidRDefault="00737931" w:rsidP="00737931">
      <w:pPr>
        <w:spacing w:after="0" w:line="480" w:lineRule="auto"/>
        <w:jc w:val="both"/>
        <w:rPr>
          <w:rFonts w:ascii="Times New Roman" w:hAnsi="Times New Roman"/>
        </w:rPr>
      </w:pPr>
      <w:r w:rsidRPr="006C2866">
        <w:rPr>
          <w:rFonts w:ascii="Times New Roman" w:hAnsi="Times New Roman"/>
          <w:b/>
        </w:rPr>
        <w:lastRenderedPageBreak/>
        <w:t xml:space="preserve">Table </w:t>
      </w:r>
      <w:r>
        <w:rPr>
          <w:rFonts w:ascii="Times New Roman" w:hAnsi="Times New Roman"/>
          <w:b/>
        </w:rPr>
        <w:t>3</w:t>
      </w:r>
      <w:r w:rsidRPr="006C2866">
        <w:rPr>
          <w:rFonts w:ascii="Times New Roman" w:hAnsi="Times New Roman"/>
        </w:rPr>
        <w:t xml:space="preserve"> Correlation coefficient between environmental factors and phytoplankton </w:t>
      </w:r>
      <w:r>
        <w:rPr>
          <w:rFonts w:ascii="Times New Roman" w:hAnsi="Times New Roman"/>
        </w:rPr>
        <w:t xml:space="preserve">abundance </w:t>
      </w:r>
    </w:p>
    <w:p w:rsidR="00737931" w:rsidRDefault="00737931" w:rsidP="00737931">
      <w:pPr>
        <w:spacing w:after="0" w:line="480" w:lineRule="auto"/>
        <w:jc w:val="both"/>
        <w:rPr>
          <w:rFonts w:ascii="Times New Roman" w:hAnsi="Times New Roman"/>
        </w:rPr>
      </w:pP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684"/>
        <w:gridCol w:w="1488"/>
        <w:gridCol w:w="1648"/>
        <w:gridCol w:w="1559"/>
        <w:gridCol w:w="1559"/>
        <w:gridCol w:w="1530"/>
      </w:tblGrid>
      <w:tr w:rsidR="00737931" w:rsidRPr="006C2866" w:rsidTr="008E53B9">
        <w:trPr>
          <w:trHeight w:val="457"/>
        </w:trPr>
        <w:tc>
          <w:tcPr>
            <w:tcW w:w="1684" w:type="dxa"/>
            <w:tcBorders>
              <w:top w:val="single" w:sz="12" w:space="0" w:color="000000" w:themeColor="text1"/>
              <w:bottom w:val="single" w:sz="12" w:space="0" w:color="000000" w:themeColor="text1"/>
            </w:tcBorders>
          </w:tcPr>
          <w:p w:rsidR="00737931" w:rsidRPr="006C2866" w:rsidRDefault="00737931" w:rsidP="008E53B9">
            <w:pPr>
              <w:spacing w:line="480" w:lineRule="auto"/>
              <w:jc w:val="both"/>
              <w:rPr>
                <w:rFonts w:ascii="Times New Roman" w:hAnsi="Times New Roman"/>
              </w:rPr>
            </w:pPr>
          </w:p>
        </w:tc>
        <w:tc>
          <w:tcPr>
            <w:tcW w:w="1488" w:type="dxa"/>
            <w:tcBorders>
              <w:top w:val="single" w:sz="12" w:space="0" w:color="000000" w:themeColor="text1"/>
              <w:bottom w:val="single" w:sz="12" w:space="0" w:color="000000" w:themeColor="text1"/>
            </w:tcBorders>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pH</w:t>
            </w:r>
          </w:p>
        </w:tc>
        <w:tc>
          <w:tcPr>
            <w:tcW w:w="1648" w:type="dxa"/>
            <w:tcBorders>
              <w:top w:val="single" w:sz="12" w:space="0" w:color="000000" w:themeColor="text1"/>
              <w:bottom w:val="single" w:sz="12" w:space="0" w:color="000000" w:themeColor="text1"/>
            </w:tcBorders>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Temperature</w:t>
            </w:r>
          </w:p>
        </w:tc>
        <w:tc>
          <w:tcPr>
            <w:tcW w:w="1559" w:type="dxa"/>
            <w:tcBorders>
              <w:top w:val="single" w:sz="12" w:space="0" w:color="000000" w:themeColor="text1"/>
              <w:bottom w:val="single" w:sz="12" w:space="0" w:color="000000" w:themeColor="text1"/>
            </w:tcBorders>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Salinity</w:t>
            </w:r>
          </w:p>
        </w:tc>
        <w:tc>
          <w:tcPr>
            <w:tcW w:w="1559" w:type="dxa"/>
            <w:tcBorders>
              <w:top w:val="single" w:sz="12" w:space="0" w:color="000000" w:themeColor="text1"/>
              <w:bottom w:val="single" w:sz="12" w:space="0" w:color="000000" w:themeColor="text1"/>
            </w:tcBorders>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DO</w:t>
            </w:r>
          </w:p>
        </w:tc>
        <w:tc>
          <w:tcPr>
            <w:tcW w:w="1530" w:type="dxa"/>
            <w:tcBorders>
              <w:top w:val="single" w:sz="12" w:space="0" w:color="000000" w:themeColor="text1"/>
              <w:bottom w:val="single" w:sz="12" w:space="0" w:color="000000" w:themeColor="text1"/>
            </w:tcBorders>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Density</w:t>
            </w:r>
          </w:p>
        </w:tc>
      </w:tr>
      <w:tr w:rsidR="00737931" w:rsidRPr="006C2866" w:rsidTr="008E53B9">
        <w:trPr>
          <w:trHeight w:val="457"/>
        </w:trPr>
        <w:tc>
          <w:tcPr>
            <w:tcW w:w="1684" w:type="dxa"/>
            <w:tcBorders>
              <w:top w:val="single" w:sz="12" w:space="0" w:color="000000" w:themeColor="text1"/>
            </w:tcBorders>
          </w:tcPr>
          <w:p w:rsidR="00737931" w:rsidRPr="006C2866" w:rsidRDefault="00737931" w:rsidP="008E53B9">
            <w:pPr>
              <w:spacing w:line="480" w:lineRule="auto"/>
              <w:jc w:val="both"/>
              <w:rPr>
                <w:rFonts w:ascii="Times New Roman" w:hAnsi="Times New Roman"/>
                <w:b/>
              </w:rPr>
            </w:pPr>
            <w:r w:rsidRPr="006C2866">
              <w:rPr>
                <w:rFonts w:ascii="Times New Roman" w:hAnsi="Times New Roman"/>
                <w:b/>
              </w:rPr>
              <w:t>pH</w:t>
            </w:r>
          </w:p>
        </w:tc>
        <w:tc>
          <w:tcPr>
            <w:tcW w:w="1488" w:type="dxa"/>
            <w:tcBorders>
              <w:top w:val="single" w:sz="12" w:space="0" w:color="000000" w:themeColor="text1"/>
            </w:tcBorders>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1</w:t>
            </w:r>
          </w:p>
        </w:tc>
        <w:tc>
          <w:tcPr>
            <w:tcW w:w="1648" w:type="dxa"/>
            <w:tcBorders>
              <w:top w:val="single" w:sz="12" w:space="0" w:color="000000" w:themeColor="text1"/>
            </w:tcBorders>
          </w:tcPr>
          <w:p w:rsidR="00737931" w:rsidRPr="006C2866" w:rsidRDefault="00737931" w:rsidP="008E53B9">
            <w:pPr>
              <w:spacing w:line="480" w:lineRule="auto"/>
              <w:jc w:val="center"/>
              <w:rPr>
                <w:rFonts w:ascii="Times New Roman" w:hAnsi="Times New Roman"/>
              </w:rPr>
            </w:pPr>
          </w:p>
        </w:tc>
        <w:tc>
          <w:tcPr>
            <w:tcW w:w="1559" w:type="dxa"/>
            <w:tcBorders>
              <w:top w:val="single" w:sz="12" w:space="0" w:color="000000" w:themeColor="text1"/>
            </w:tcBorders>
          </w:tcPr>
          <w:p w:rsidR="00737931" w:rsidRPr="006C2866" w:rsidRDefault="00737931" w:rsidP="008E53B9">
            <w:pPr>
              <w:spacing w:line="480" w:lineRule="auto"/>
              <w:jc w:val="center"/>
              <w:rPr>
                <w:rFonts w:ascii="Times New Roman" w:hAnsi="Times New Roman"/>
              </w:rPr>
            </w:pPr>
          </w:p>
        </w:tc>
        <w:tc>
          <w:tcPr>
            <w:tcW w:w="1559" w:type="dxa"/>
            <w:tcBorders>
              <w:top w:val="single" w:sz="12" w:space="0" w:color="000000" w:themeColor="text1"/>
            </w:tcBorders>
          </w:tcPr>
          <w:p w:rsidR="00737931" w:rsidRPr="006C2866" w:rsidRDefault="00737931" w:rsidP="008E53B9">
            <w:pPr>
              <w:spacing w:line="480" w:lineRule="auto"/>
              <w:jc w:val="center"/>
              <w:rPr>
                <w:rFonts w:ascii="Times New Roman" w:hAnsi="Times New Roman"/>
              </w:rPr>
            </w:pPr>
          </w:p>
        </w:tc>
        <w:tc>
          <w:tcPr>
            <w:tcW w:w="1530" w:type="dxa"/>
            <w:tcBorders>
              <w:top w:val="single" w:sz="12" w:space="0" w:color="000000" w:themeColor="text1"/>
            </w:tcBorders>
          </w:tcPr>
          <w:p w:rsidR="00737931" w:rsidRPr="006C2866" w:rsidRDefault="00737931" w:rsidP="008E53B9">
            <w:pPr>
              <w:spacing w:line="480" w:lineRule="auto"/>
              <w:jc w:val="center"/>
              <w:rPr>
                <w:rFonts w:ascii="Times New Roman" w:hAnsi="Times New Roman"/>
              </w:rPr>
            </w:pPr>
          </w:p>
        </w:tc>
      </w:tr>
      <w:tr w:rsidR="00737931" w:rsidRPr="006C2866" w:rsidTr="008E53B9">
        <w:trPr>
          <w:trHeight w:val="477"/>
        </w:trPr>
        <w:tc>
          <w:tcPr>
            <w:tcW w:w="1684" w:type="dxa"/>
          </w:tcPr>
          <w:p w:rsidR="00737931" w:rsidRPr="006C2866" w:rsidRDefault="00737931" w:rsidP="008E53B9">
            <w:pPr>
              <w:spacing w:line="480" w:lineRule="auto"/>
              <w:jc w:val="both"/>
              <w:rPr>
                <w:rFonts w:ascii="Times New Roman" w:hAnsi="Times New Roman"/>
                <w:b/>
              </w:rPr>
            </w:pPr>
            <w:r w:rsidRPr="006C2866">
              <w:rPr>
                <w:rFonts w:ascii="Times New Roman" w:hAnsi="Times New Roman"/>
                <w:b/>
              </w:rPr>
              <w:t>Temperature</w:t>
            </w:r>
          </w:p>
        </w:tc>
        <w:tc>
          <w:tcPr>
            <w:tcW w:w="1488"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0.490*</w:t>
            </w:r>
          </w:p>
        </w:tc>
        <w:tc>
          <w:tcPr>
            <w:tcW w:w="1648"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1</w:t>
            </w:r>
          </w:p>
        </w:tc>
        <w:tc>
          <w:tcPr>
            <w:tcW w:w="1559" w:type="dxa"/>
          </w:tcPr>
          <w:p w:rsidR="00737931" w:rsidRPr="006C2866" w:rsidRDefault="00737931" w:rsidP="008E53B9">
            <w:pPr>
              <w:spacing w:line="480" w:lineRule="auto"/>
              <w:jc w:val="center"/>
              <w:rPr>
                <w:rFonts w:ascii="Times New Roman" w:hAnsi="Times New Roman"/>
              </w:rPr>
            </w:pPr>
          </w:p>
        </w:tc>
        <w:tc>
          <w:tcPr>
            <w:tcW w:w="1559" w:type="dxa"/>
          </w:tcPr>
          <w:p w:rsidR="00737931" w:rsidRPr="006C2866" w:rsidRDefault="00737931" w:rsidP="008E53B9">
            <w:pPr>
              <w:spacing w:line="480" w:lineRule="auto"/>
              <w:jc w:val="center"/>
              <w:rPr>
                <w:rFonts w:ascii="Times New Roman" w:hAnsi="Times New Roman"/>
              </w:rPr>
            </w:pPr>
          </w:p>
        </w:tc>
        <w:tc>
          <w:tcPr>
            <w:tcW w:w="1530" w:type="dxa"/>
          </w:tcPr>
          <w:p w:rsidR="00737931" w:rsidRPr="006C2866" w:rsidRDefault="00737931" w:rsidP="008E53B9">
            <w:pPr>
              <w:spacing w:line="480" w:lineRule="auto"/>
              <w:jc w:val="center"/>
              <w:rPr>
                <w:rFonts w:ascii="Times New Roman" w:hAnsi="Times New Roman"/>
              </w:rPr>
            </w:pPr>
          </w:p>
        </w:tc>
      </w:tr>
      <w:tr w:rsidR="00737931" w:rsidRPr="006C2866" w:rsidTr="008E53B9">
        <w:trPr>
          <w:trHeight w:val="477"/>
        </w:trPr>
        <w:tc>
          <w:tcPr>
            <w:tcW w:w="1684" w:type="dxa"/>
          </w:tcPr>
          <w:p w:rsidR="00737931" w:rsidRPr="006C2866" w:rsidRDefault="00737931" w:rsidP="008E53B9">
            <w:pPr>
              <w:spacing w:line="480" w:lineRule="auto"/>
              <w:jc w:val="both"/>
              <w:rPr>
                <w:rFonts w:ascii="Times New Roman" w:hAnsi="Times New Roman"/>
                <w:b/>
              </w:rPr>
            </w:pPr>
            <w:r w:rsidRPr="006C2866">
              <w:rPr>
                <w:rFonts w:ascii="Times New Roman" w:hAnsi="Times New Roman"/>
                <w:b/>
              </w:rPr>
              <w:t>Salinity</w:t>
            </w:r>
          </w:p>
        </w:tc>
        <w:tc>
          <w:tcPr>
            <w:tcW w:w="1488"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0.811*</w:t>
            </w:r>
          </w:p>
        </w:tc>
        <w:tc>
          <w:tcPr>
            <w:tcW w:w="1648"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0.514*</w:t>
            </w:r>
          </w:p>
        </w:tc>
        <w:tc>
          <w:tcPr>
            <w:tcW w:w="1559"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1</w:t>
            </w:r>
          </w:p>
        </w:tc>
        <w:tc>
          <w:tcPr>
            <w:tcW w:w="1559" w:type="dxa"/>
          </w:tcPr>
          <w:p w:rsidR="00737931" w:rsidRPr="006C2866" w:rsidRDefault="00737931" w:rsidP="008E53B9">
            <w:pPr>
              <w:spacing w:line="480" w:lineRule="auto"/>
              <w:jc w:val="center"/>
              <w:rPr>
                <w:rFonts w:ascii="Times New Roman" w:hAnsi="Times New Roman"/>
              </w:rPr>
            </w:pPr>
          </w:p>
        </w:tc>
        <w:tc>
          <w:tcPr>
            <w:tcW w:w="1530" w:type="dxa"/>
          </w:tcPr>
          <w:p w:rsidR="00737931" w:rsidRPr="006C2866" w:rsidRDefault="00737931" w:rsidP="008E53B9">
            <w:pPr>
              <w:spacing w:line="480" w:lineRule="auto"/>
              <w:jc w:val="center"/>
              <w:rPr>
                <w:rFonts w:ascii="Times New Roman" w:hAnsi="Times New Roman"/>
              </w:rPr>
            </w:pPr>
          </w:p>
        </w:tc>
      </w:tr>
      <w:tr w:rsidR="00737931" w:rsidRPr="006C2866" w:rsidTr="008E53B9">
        <w:trPr>
          <w:trHeight w:val="477"/>
        </w:trPr>
        <w:tc>
          <w:tcPr>
            <w:tcW w:w="1684" w:type="dxa"/>
          </w:tcPr>
          <w:p w:rsidR="00737931" w:rsidRPr="006C2866" w:rsidRDefault="00737931" w:rsidP="008E53B9">
            <w:pPr>
              <w:spacing w:line="480" w:lineRule="auto"/>
              <w:jc w:val="both"/>
              <w:rPr>
                <w:rFonts w:ascii="Times New Roman" w:hAnsi="Times New Roman"/>
                <w:b/>
              </w:rPr>
            </w:pPr>
            <w:r w:rsidRPr="006C2866">
              <w:rPr>
                <w:rFonts w:ascii="Times New Roman" w:hAnsi="Times New Roman"/>
                <w:b/>
              </w:rPr>
              <w:t>DO</w:t>
            </w:r>
          </w:p>
        </w:tc>
        <w:tc>
          <w:tcPr>
            <w:tcW w:w="1488"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0.520*</w:t>
            </w:r>
          </w:p>
        </w:tc>
        <w:tc>
          <w:tcPr>
            <w:tcW w:w="1648"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0.341**</w:t>
            </w:r>
          </w:p>
        </w:tc>
        <w:tc>
          <w:tcPr>
            <w:tcW w:w="1559"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0.286**</w:t>
            </w:r>
          </w:p>
        </w:tc>
        <w:tc>
          <w:tcPr>
            <w:tcW w:w="1559"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1</w:t>
            </w:r>
          </w:p>
        </w:tc>
        <w:tc>
          <w:tcPr>
            <w:tcW w:w="1530" w:type="dxa"/>
          </w:tcPr>
          <w:p w:rsidR="00737931" w:rsidRPr="006C2866" w:rsidRDefault="00737931" w:rsidP="008E53B9">
            <w:pPr>
              <w:spacing w:line="480" w:lineRule="auto"/>
              <w:jc w:val="center"/>
              <w:rPr>
                <w:rFonts w:ascii="Times New Roman" w:hAnsi="Times New Roman"/>
              </w:rPr>
            </w:pPr>
          </w:p>
        </w:tc>
      </w:tr>
      <w:tr w:rsidR="00737931" w:rsidRPr="006C2866" w:rsidTr="008E53B9">
        <w:trPr>
          <w:trHeight w:val="477"/>
        </w:trPr>
        <w:tc>
          <w:tcPr>
            <w:tcW w:w="1684" w:type="dxa"/>
          </w:tcPr>
          <w:p w:rsidR="00737931" w:rsidRPr="006C2866" w:rsidRDefault="00737931" w:rsidP="008E53B9">
            <w:pPr>
              <w:spacing w:line="480" w:lineRule="auto"/>
              <w:jc w:val="both"/>
              <w:rPr>
                <w:rFonts w:ascii="Times New Roman" w:hAnsi="Times New Roman"/>
                <w:b/>
              </w:rPr>
            </w:pPr>
            <w:r w:rsidRPr="006C2866">
              <w:rPr>
                <w:rFonts w:ascii="Times New Roman" w:hAnsi="Times New Roman"/>
                <w:b/>
              </w:rPr>
              <w:t>Density</w:t>
            </w:r>
          </w:p>
        </w:tc>
        <w:tc>
          <w:tcPr>
            <w:tcW w:w="1488" w:type="dxa"/>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0.496*</w:t>
            </w:r>
          </w:p>
        </w:tc>
        <w:tc>
          <w:tcPr>
            <w:tcW w:w="1648" w:type="dxa"/>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0.461*</w:t>
            </w:r>
          </w:p>
        </w:tc>
        <w:tc>
          <w:tcPr>
            <w:tcW w:w="1559" w:type="dxa"/>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0. 563*</w:t>
            </w:r>
          </w:p>
        </w:tc>
        <w:tc>
          <w:tcPr>
            <w:tcW w:w="1559" w:type="dxa"/>
          </w:tcPr>
          <w:p w:rsidR="00737931" w:rsidRPr="006C2866" w:rsidRDefault="00737931" w:rsidP="008E53B9">
            <w:pPr>
              <w:spacing w:line="480" w:lineRule="auto"/>
              <w:jc w:val="center"/>
              <w:rPr>
                <w:rFonts w:ascii="Times New Roman" w:hAnsi="Times New Roman"/>
                <w:b/>
              </w:rPr>
            </w:pPr>
            <w:r w:rsidRPr="006C2866">
              <w:rPr>
                <w:rFonts w:ascii="Times New Roman" w:hAnsi="Times New Roman"/>
                <w:b/>
              </w:rPr>
              <w:t>0.317**</w:t>
            </w:r>
          </w:p>
        </w:tc>
        <w:tc>
          <w:tcPr>
            <w:tcW w:w="1530" w:type="dxa"/>
          </w:tcPr>
          <w:p w:rsidR="00737931" w:rsidRPr="006C2866" w:rsidRDefault="00737931" w:rsidP="008E53B9">
            <w:pPr>
              <w:spacing w:line="480" w:lineRule="auto"/>
              <w:jc w:val="center"/>
              <w:rPr>
                <w:rFonts w:ascii="Times New Roman" w:hAnsi="Times New Roman"/>
              </w:rPr>
            </w:pPr>
            <w:r w:rsidRPr="006C2866">
              <w:rPr>
                <w:rFonts w:ascii="Times New Roman" w:hAnsi="Times New Roman"/>
              </w:rPr>
              <w:t>1</w:t>
            </w:r>
          </w:p>
        </w:tc>
      </w:tr>
    </w:tbl>
    <w:p w:rsidR="00737931" w:rsidRDefault="00737931" w:rsidP="00737931">
      <w:pPr>
        <w:spacing w:line="240" w:lineRule="auto"/>
        <w:jc w:val="both"/>
        <w:rPr>
          <w:rFonts w:ascii="Times New Roman" w:hAnsi="Times New Roman"/>
        </w:rPr>
      </w:pPr>
      <w:r w:rsidRPr="006C2866">
        <w:rPr>
          <w:rFonts w:ascii="Times New Roman" w:hAnsi="Times New Roman"/>
        </w:rPr>
        <w:t>* p&lt;0.01  **p&lt;0.05</w:t>
      </w:r>
    </w:p>
    <w:p w:rsidR="00737931" w:rsidRDefault="00737931" w:rsidP="00737931">
      <w:pPr>
        <w:spacing w:after="0" w:line="480" w:lineRule="auto"/>
        <w:jc w:val="both"/>
        <w:rPr>
          <w:rFonts w:ascii="Times New Roman" w:hAnsi="Times New Roman"/>
          <w:sz w:val="24"/>
          <w:szCs w:val="24"/>
        </w:rPr>
      </w:pPr>
    </w:p>
    <w:p w:rsidR="00737931" w:rsidRDefault="00737931" w:rsidP="00737931">
      <w:pPr>
        <w:spacing w:after="0" w:line="480" w:lineRule="auto"/>
        <w:jc w:val="both"/>
        <w:rPr>
          <w:rFonts w:ascii="Times New Roman" w:hAnsi="Times New Roman"/>
          <w:b/>
          <w:color w:val="000000" w:themeColor="text1"/>
        </w:rPr>
      </w:pPr>
    </w:p>
    <w:p w:rsidR="00737931" w:rsidRDefault="00737931">
      <w:pPr>
        <w:rPr>
          <w:rFonts w:ascii="Times New Roman" w:hAnsi="Times New Roman"/>
          <w:b/>
          <w:color w:val="000000" w:themeColor="text1"/>
        </w:rPr>
      </w:pPr>
      <w:r>
        <w:rPr>
          <w:rFonts w:ascii="Times New Roman" w:hAnsi="Times New Roman"/>
          <w:b/>
          <w:color w:val="000000" w:themeColor="text1"/>
        </w:rPr>
        <w:br w:type="page"/>
      </w:r>
    </w:p>
    <w:p w:rsidR="00737931" w:rsidRPr="006C2866" w:rsidRDefault="00737931" w:rsidP="00737931">
      <w:pPr>
        <w:spacing w:after="0" w:line="480" w:lineRule="auto"/>
        <w:jc w:val="both"/>
        <w:rPr>
          <w:rFonts w:ascii="Times New Roman" w:hAnsi="Times New Roman"/>
          <w:b/>
          <w:color w:val="000000" w:themeColor="text1"/>
        </w:rPr>
      </w:pPr>
      <w:r w:rsidRPr="006C2866">
        <w:rPr>
          <w:rFonts w:ascii="Times New Roman" w:hAnsi="Times New Roman"/>
          <w:b/>
          <w:color w:val="000000" w:themeColor="text1"/>
        </w:rPr>
        <w:lastRenderedPageBreak/>
        <w:t>Fig</w:t>
      </w:r>
      <w:r>
        <w:rPr>
          <w:rFonts w:ascii="Times New Roman" w:hAnsi="Times New Roman"/>
          <w:b/>
          <w:color w:val="000000" w:themeColor="text1"/>
        </w:rPr>
        <w:t xml:space="preserve">. </w:t>
      </w:r>
      <w:r w:rsidRPr="006C2866">
        <w:rPr>
          <w:rFonts w:ascii="Times New Roman" w:hAnsi="Times New Roman"/>
          <w:b/>
          <w:color w:val="000000" w:themeColor="text1"/>
        </w:rPr>
        <w:t>1</w:t>
      </w:r>
    </w:p>
    <w:p w:rsidR="00737931" w:rsidRPr="006C2866" w:rsidRDefault="00737931" w:rsidP="00737931">
      <w:pPr>
        <w:spacing w:line="480" w:lineRule="auto"/>
        <w:jc w:val="center"/>
        <w:rPr>
          <w:rFonts w:ascii="Times New Roman" w:hAnsi="Times New Roman"/>
        </w:rPr>
      </w:pPr>
      <w:r w:rsidRPr="006C2866">
        <w:rPr>
          <w:rFonts w:ascii="Times New Roman" w:hAnsi="Times New Roman"/>
          <w:noProof/>
          <w:lang w:eastAsia="en-GB"/>
        </w:rPr>
        <w:drawing>
          <wp:inline distT="0" distB="0" distL="0" distR="0">
            <wp:extent cx="5984785" cy="5272644"/>
            <wp:effectExtent l="19050" t="0" r="0" b="0"/>
            <wp:docPr id="1" name="Picture 1" descr="Sampling station - phy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ing station - phyto.jpg"/>
                    <pic:cNvPicPr/>
                  </pic:nvPicPr>
                  <pic:blipFill>
                    <a:blip r:embed="rId8" cstate="print"/>
                    <a:stretch>
                      <a:fillRect/>
                    </a:stretch>
                  </pic:blipFill>
                  <pic:spPr>
                    <a:xfrm>
                      <a:off x="0" y="0"/>
                      <a:ext cx="5995546" cy="5282124"/>
                    </a:xfrm>
                    <a:prstGeom prst="rect">
                      <a:avLst/>
                    </a:prstGeom>
                  </pic:spPr>
                </pic:pic>
              </a:graphicData>
            </a:graphic>
          </wp:inline>
        </w:drawing>
      </w:r>
    </w:p>
    <w:p w:rsidR="00737931" w:rsidRDefault="00737931">
      <w:pPr>
        <w:rPr>
          <w:rFonts w:ascii="Times New Roman" w:hAnsi="Times New Roman"/>
          <w:b/>
        </w:rPr>
      </w:pPr>
      <w:r>
        <w:rPr>
          <w:rFonts w:ascii="Times New Roman" w:hAnsi="Times New Roman"/>
          <w:b/>
        </w:rPr>
        <w:br w:type="page"/>
      </w:r>
    </w:p>
    <w:p w:rsidR="00737931" w:rsidRDefault="00737931" w:rsidP="00737931">
      <w:pPr>
        <w:spacing w:after="0" w:line="480" w:lineRule="auto"/>
        <w:jc w:val="both"/>
        <w:rPr>
          <w:rFonts w:ascii="Times New Roman" w:hAnsi="Times New Roman"/>
          <w:b/>
        </w:rPr>
      </w:pPr>
      <w:r>
        <w:rPr>
          <w:rFonts w:ascii="Times New Roman" w:hAnsi="Times New Roman"/>
          <w:b/>
        </w:rPr>
        <w:lastRenderedPageBreak/>
        <w:t>Fig. 3</w:t>
      </w:r>
    </w:p>
    <w:p w:rsidR="00737931" w:rsidRDefault="00737931" w:rsidP="00737931">
      <w:pPr>
        <w:spacing w:after="0" w:line="480" w:lineRule="auto"/>
        <w:jc w:val="both"/>
        <w:rPr>
          <w:rFonts w:ascii="Times New Roman" w:hAnsi="Times New Roman"/>
          <w:b/>
        </w:rPr>
      </w:pPr>
    </w:p>
    <w:p w:rsidR="00737931" w:rsidRDefault="00737931" w:rsidP="00737931">
      <w:pPr>
        <w:spacing w:after="0" w:line="480" w:lineRule="auto"/>
        <w:jc w:val="both"/>
        <w:rPr>
          <w:rFonts w:ascii="Times New Roman" w:hAnsi="Times New Roman"/>
          <w:b/>
        </w:rPr>
      </w:pPr>
      <w:r w:rsidRPr="00D3513D">
        <w:rPr>
          <w:rFonts w:ascii="Times New Roman" w:hAnsi="Times New Roman"/>
          <w:b/>
          <w:noProof/>
          <w:lang w:eastAsia="en-GB"/>
        </w:rPr>
        <w:drawing>
          <wp:inline distT="0" distB="0" distL="0" distR="0">
            <wp:extent cx="5731510" cy="3618600"/>
            <wp:effectExtent l="0" t="0" r="2540" b="1270"/>
            <wp:docPr id="2" name="Immagine 2" descr="D:\Papers\Phyitoplankton Brunei\paper_RM\Abundance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pers\Phyitoplankton Brunei\paper_RM\Abundance grap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618600"/>
                    </a:xfrm>
                    <a:prstGeom prst="rect">
                      <a:avLst/>
                    </a:prstGeom>
                    <a:noFill/>
                    <a:ln>
                      <a:noFill/>
                    </a:ln>
                  </pic:spPr>
                </pic:pic>
              </a:graphicData>
            </a:graphic>
          </wp:inline>
        </w:drawing>
      </w:r>
    </w:p>
    <w:p w:rsidR="00737931" w:rsidRDefault="00737931" w:rsidP="00737931">
      <w:pPr>
        <w:spacing w:after="0" w:line="480" w:lineRule="auto"/>
        <w:jc w:val="both"/>
        <w:rPr>
          <w:rFonts w:ascii="Times New Roman" w:hAnsi="Times New Roman"/>
          <w:b/>
        </w:rPr>
      </w:pPr>
    </w:p>
    <w:p w:rsidR="00737931" w:rsidRDefault="00737931" w:rsidP="00737931">
      <w:pPr>
        <w:spacing w:after="0" w:line="480" w:lineRule="auto"/>
        <w:jc w:val="both"/>
        <w:rPr>
          <w:rFonts w:ascii="Times New Roman" w:hAnsi="Times New Roman"/>
          <w:b/>
        </w:rPr>
      </w:pPr>
    </w:p>
    <w:p w:rsidR="00737931" w:rsidRDefault="00737931" w:rsidP="00737931">
      <w:pPr>
        <w:rPr>
          <w:rFonts w:ascii="Times New Roman" w:hAnsi="Times New Roman"/>
          <w:b/>
        </w:rPr>
      </w:pPr>
      <w:r>
        <w:rPr>
          <w:rFonts w:ascii="Times New Roman" w:hAnsi="Times New Roman"/>
          <w:b/>
        </w:rPr>
        <w:br w:type="page"/>
      </w:r>
    </w:p>
    <w:p w:rsidR="00737931" w:rsidRDefault="00737931" w:rsidP="00737931">
      <w:pPr>
        <w:spacing w:after="0" w:line="480" w:lineRule="auto"/>
        <w:jc w:val="both"/>
        <w:rPr>
          <w:rFonts w:ascii="Times New Roman" w:hAnsi="Times New Roman"/>
          <w:b/>
        </w:rPr>
      </w:pPr>
      <w:r>
        <w:rPr>
          <w:rFonts w:ascii="Times New Roman" w:hAnsi="Times New Roman"/>
          <w:b/>
        </w:rPr>
        <w:lastRenderedPageBreak/>
        <w:t>Fig. 4</w:t>
      </w:r>
    </w:p>
    <w:p w:rsidR="00737931" w:rsidRPr="006C2866" w:rsidRDefault="00737931" w:rsidP="00737931">
      <w:pPr>
        <w:spacing w:after="0" w:line="480" w:lineRule="auto"/>
        <w:jc w:val="both"/>
        <w:rPr>
          <w:rFonts w:ascii="Times New Roman" w:hAnsi="Times New Roman"/>
          <w:b/>
        </w:rPr>
      </w:pPr>
    </w:p>
    <w:p w:rsidR="00737931" w:rsidRPr="006C2866" w:rsidRDefault="009A728D" w:rsidP="00737931">
      <w:pPr>
        <w:spacing w:after="0" w:line="480" w:lineRule="auto"/>
        <w:jc w:val="both"/>
        <w:rPr>
          <w:rFonts w:ascii="Times New Roman" w:hAnsi="Times New Roman"/>
          <w:noProof/>
          <w:lang w:val="en-US"/>
        </w:rPr>
      </w:pPr>
      <w:r>
        <w:rPr>
          <w:rFonts w:ascii="Times New Roman" w:hAnsi="Times New Roman"/>
          <w:b/>
          <w:noProof/>
          <w:lang w:val="en-MY" w:eastAsia="en-MY"/>
        </w:rPr>
        <w:pict>
          <v:rect id="_x0000_s1026" style="position:absolute;left:0;text-align:left;margin-left:-231.65pt;margin-top:238.7pt;width:484.75pt;height:19.25pt;rotation:90;z-index:251660288" filled="f" stroked="f">
            <v:textbox style="layout-flow:vertical;mso-layout-flow-alt:bottom-to-top">
              <w:txbxContent>
                <w:p w:rsidR="00737931" w:rsidRPr="007A1113" w:rsidRDefault="00737931" w:rsidP="00737931">
                  <w:pPr>
                    <w:rPr>
                      <w:rFonts w:ascii="Tahoma" w:hAnsi="Tahoma" w:cs="Tahoma"/>
                      <w:b/>
                      <w:sz w:val="18"/>
                      <w:szCs w:val="18"/>
                    </w:rPr>
                  </w:pPr>
                  <w:r>
                    <w:rPr>
                      <w:rFonts w:ascii="Tahoma" w:hAnsi="Tahoma" w:cs="Tahoma"/>
                      <w:b/>
                      <w:sz w:val="18"/>
                      <w:szCs w:val="18"/>
                    </w:rPr>
                    <w:t xml:space="preserve">   </w:t>
                  </w:r>
                  <w:r w:rsidRPr="007A1113">
                    <w:rPr>
                      <w:rFonts w:ascii="Tahoma" w:hAnsi="Tahoma" w:cs="Tahoma"/>
                      <w:b/>
                      <w:sz w:val="18"/>
                      <w:szCs w:val="18"/>
                    </w:rPr>
                    <w:t>Abundance (cells/ml)</w:t>
                  </w:r>
                  <w:r>
                    <w:rPr>
                      <w:rFonts w:ascii="Tahoma" w:hAnsi="Tahoma" w:cs="Tahoma"/>
                      <w:b/>
                      <w:sz w:val="18"/>
                      <w:szCs w:val="18"/>
                    </w:rPr>
                    <w:t xml:space="preserve">                            </w:t>
                  </w:r>
                  <w:r w:rsidRPr="007A1113">
                    <w:rPr>
                      <w:rFonts w:ascii="Tahoma" w:hAnsi="Tahoma" w:cs="Tahoma"/>
                      <w:b/>
                      <w:sz w:val="18"/>
                      <w:szCs w:val="18"/>
                    </w:rPr>
                    <w:t>Abundance (cells/ml)</w:t>
                  </w:r>
                  <w:r>
                    <w:rPr>
                      <w:rFonts w:ascii="Tahoma" w:hAnsi="Tahoma" w:cs="Tahoma"/>
                      <w:b/>
                      <w:sz w:val="18"/>
                      <w:szCs w:val="18"/>
                    </w:rPr>
                    <w:t xml:space="preserve">                          </w:t>
                  </w:r>
                  <w:r w:rsidRPr="007A1113">
                    <w:rPr>
                      <w:rFonts w:ascii="Tahoma" w:hAnsi="Tahoma" w:cs="Tahoma"/>
                      <w:b/>
                      <w:sz w:val="18"/>
                      <w:szCs w:val="18"/>
                    </w:rPr>
                    <w:t>Abundance (cells/ml)</w:t>
                  </w:r>
                </w:p>
                <w:p w:rsidR="00737931" w:rsidRPr="007A1113" w:rsidRDefault="00737931" w:rsidP="00737931">
                  <w:pPr>
                    <w:rPr>
                      <w:rFonts w:ascii="Tahoma" w:hAnsi="Tahoma" w:cs="Tahoma"/>
                      <w:b/>
                      <w:sz w:val="18"/>
                      <w:szCs w:val="18"/>
                    </w:rPr>
                  </w:pPr>
                </w:p>
                <w:p w:rsidR="00737931" w:rsidRPr="007A1113" w:rsidRDefault="00737931" w:rsidP="00737931">
                  <w:pPr>
                    <w:rPr>
                      <w:rFonts w:ascii="Tahoma" w:hAnsi="Tahoma" w:cs="Tahoma"/>
                      <w:b/>
                      <w:sz w:val="18"/>
                      <w:szCs w:val="18"/>
                    </w:rPr>
                  </w:pPr>
                  <w:r>
                    <w:rPr>
                      <w:rFonts w:ascii="Tahoma" w:hAnsi="Tahoma" w:cs="Tahoma"/>
                      <w:b/>
                      <w:sz w:val="18"/>
                      <w:szCs w:val="18"/>
                    </w:rPr>
                    <w:t xml:space="preserve">   </w:t>
                  </w:r>
                </w:p>
              </w:txbxContent>
            </v:textbox>
          </v:rect>
        </w:pict>
      </w:r>
      <w:r w:rsidR="00737931">
        <w:rPr>
          <w:rFonts w:ascii="Times New Roman" w:hAnsi="Times New Roman"/>
          <w:noProof/>
          <w:lang w:val="en-US"/>
        </w:rPr>
        <w:t xml:space="preserve">      </w:t>
      </w:r>
      <w:r w:rsidR="00737931" w:rsidRPr="006C2866">
        <w:rPr>
          <w:rFonts w:ascii="Times New Roman" w:hAnsi="Times New Roman"/>
          <w:noProof/>
          <w:lang w:eastAsia="en-GB"/>
        </w:rPr>
        <w:drawing>
          <wp:inline distT="0" distB="0" distL="0" distR="0">
            <wp:extent cx="2020186" cy="1980000"/>
            <wp:effectExtent l="0" t="0" r="0" b="0"/>
            <wp:docPr id="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37931" w:rsidRPr="006C2866">
        <w:rPr>
          <w:rFonts w:ascii="Times New Roman" w:hAnsi="Times New Roman"/>
          <w:noProof/>
          <w:lang w:eastAsia="en-GB"/>
        </w:rPr>
        <w:drawing>
          <wp:inline distT="0" distB="0" distL="0" distR="0">
            <wp:extent cx="1765004" cy="1980000"/>
            <wp:effectExtent l="0" t="0" r="0" b="0"/>
            <wp:docPr id="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37931" w:rsidRPr="006C2866">
        <w:rPr>
          <w:rFonts w:ascii="Times New Roman" w:hAnsi="Times New Roman"/>
          <w:noProof/>
          <w:lang w:eastAsia="en-GB"/>
        </w:rPr>
        <w:drawing>
          <wp:inline distT="0" distB="0" distL="0" distR="0">
            <wp:extent cx="1690577" cy="1980000"/>
            <wp:effectExtent l="0" t="0" r="0" b="0"/>
            <wp:docPr id="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7931" w:rsidRPr="006C2866" w:rsidRDefault="00737931" w:rsidP="00737931">
      <w:pPr>
        <w:spacing w:after="0" w:line="480" w:lineRule="auto"/>
        <w:jc w:val="both"/>
        <w:rPr>
          <w:rFonts w:ascii="Times New Roman" w:hAnsi="Times New Roman"/>
          <w:noProof/>
          <w:lang w:val="en-US"/>
        </w:rPr>
      </w:pPr>
      <w:r>
        <w:rPr>
          <w:rFonts w:ascii="Times New Roman" w:hAnsi="Times New Roman"/>
          <w:noProof/>
          <w:lang w:val="en-US"/>
        </w:rPr>
        <w:t xml:space="preserve">      </w:t>
      </w:r>
      <w:r w:rsidRPr="006C2866">
        <w:rPr>
          <w:rFonts w:ascii="Times New Roman" w:hAnsi="Times New Roman"/>
          <w:noProof/>
          <w:lang w:eastAsia="en-GB"/>
        </w:rPr>
        <w:drawing>
          <wp:inline distT="0" distB="0" distL="0" distR="0">
            <wp:extent cx="2052000" cy="1967024"/>
            <wp:effectExtent l="0" t="0" r="0" b="0"/>
            <wp:docPr id="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C2866">
        <w:rPr>
          <w:rFonts w:ascii="Times New Roman" w:hAnsi="Times New Roman"/>
          <w:noProof/>
          <w:lang w:eastAsia="en-GB"/>
        </w:rPr>
        <w:drawing>
          <wp:inline distT="0" distB="0" distL="0" distR="0">
            <wp:extent cx="1764000" cy="1903228"/>
            <wp:effectExtent l="0" t="0" r="0" b="0"/>
            <wp:docPr id="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C2866">
        <w:rPr>
          <w:rFonts w:ascii="Times New Roman" w:hAnsi="Times New Roman"/>
          <w:noProof/>
          <w:lang w:eastAsia="en-GB"/>
        </w:rPr>
        <w:drawing>
          <wp:inline distT="0" distB="0" distL="0" distR="0">
            <wp:extent cx="1692000" cy="1967023"/>
            <wp:effectExtent l="0" t="0" r="0" b="0"/>
            <wp:docPr id="8"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7931" w:rsidRPr="006C2866" w:rsidRDefault="00737931" w:rsidP="00737931">
      <w:pPr>
        <w:spacing w:after="0" w:line="480" w:lineRule="auto"/>
        <w:jc w:val="both"/>
        <w:rPr>
          <w:rFonts w:ascii="Times New Roman" w:hAnsi="Times New Roman"/>
        </w:rPr>
      </w:pPr>
      <w:r>
        <w:rPr>
          <w:rFonts w:ascii="Times New Roman" w:hAnsi="Times New Roman"/>
        </w:rPr>
        <w:t xml:space="preserve">      </w:t>
      </w:r>
      <w:r w:rsidRPr="006C2866">
        <w:rPr>
          <w:rFonts w:ascii="Times New Roman" w:hAnsi="Times New Roman"/>
          <w:noProof/>
          <w:lang w:eastAsia="en-GB"/>
        </w:rPr>
        <w:drawing>
          <wp:inline distT="0" distB="0" distL="0" distR="0">
            <wp:extent cx="1980000" cy="2317898"/>
            <wp:effectExtent l="0" t="0" r="0" b="0"/>
            <wp:docPr id="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C2866">
        <w:rPr>
          <w:rFonts w:ascii="Times New Roman" w:hAnsi="Times New Roman"/>
          <w:noProof/>
          <w:lang w:eastAsia="en-GB"/>
        </w:rPr>
        <w:drawing>
          <wp:inline distT="0" distB="0" distL="0" distR="0">
            <wp:extent cx="1872000" cy="2307265"/>
            <wp:effectExtent l="0" t="0" r="0" b="0"/>
            <wp:docPr id="10"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C2866">
        <w:rPr>
          <w:rFonts w:ascii="Times New Roman" w:hAnsi="Times New Roman"/>
          <w:noProof/>
          <w:lang w:eastAsia="en-GB"/>
        </w:rPr>
        <w:drawing>
          <wp:inline distT="0" distB="0" distL="0" distR="0">
            <wp:extent cx="1728000" cy="2222205"/>
            <wp:effectExtent l="0" t="0" r="0" b="0"/>
            <wp:docPr id="11"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37931" w:rsidRPr="007675F7" w:rsidRDefault="00737931" w:rsidP="00737931">
      <w:pPr>
        <w:spacing w:after="0" w:line="480" w:lineRule="auto"/>
        <w:rPr>
          <w:rFonts w:ascii="Times New Roman" w:hAnsi="Times New Roman"/>
          <w:sz w:val="24"/>
          <w:szCs w:val="24"/>
        </w:rPr>
      </w:pPr>
      <w:r>
        <w:rPr>
          <w:rFonts w:ascii="Tahoma" w:hAnsi="Tahoma" w:cs="Tahoma"/>
          <w:b/>
        </w:rPr>
        <w:tab/>
      </w:r>
      <w:r w:rsidRPr="00F92DAE">
        <w:rPr>
          <w:rFonts w:ascii="Tahoma" w:hAnsi="Tahoma" w:cs="Tahoma"/>
          <w:b/>
          <w:sz w:val="18"/>
          <w:szCs w:val="18"/>
        </w:rPr>
        <w:t xml:space="preserve">         </w:t>
      </w:r>
      <w:r>
        <w:rPr>
          <w:rFonts w:ascii="Tahoma" w:hAnsi="Tahoma" w:cs="Tahoma"/>
          <w:b/>
          <w:sz w:val="18"/>
          <w:szCs w:val="18"/>
        </w:rPr>
        <w:t xml:space="preserve">    </w:t>
      </w:r>
      <w:r w:rsidRPr="00F92DAE">
        <w:rPr>
          <w:rFonts w:ascii="Tahoma" w:hAnsi="Tahoma" w:cs="Tahoma"/>
          <w:b/>
          <w:sz w:val="18"/>
          <w:szCs w:val="18"/>
        </w:rPr>
        <w:t xml:space="preserve">Sampling station </w:t>
      </w:r>
      <w:r>
        <w:rPr>
          <w:rFonts w:ascii="Tahoma" w:hAnsi="Tahoma" w:cs="Tahoma"/>
          <w:b/>
          <w:sz w:val="18"/>
          <w:szCs w:val="18"/>
        </w:rPr>
        <w:t xml:space="preserve">              </w:t>
      </w:r>
      <w:r w:rsidRPr="00F92DAE">
        <w:rPr>
          <w:rFonts w:ascii="Tahoma" w:hAnsi="Tahoma" w:cs="Tahoma"/>
          <w:b/>
          <w:sz w:val="18"/>
          <w:szCs w:val="18"/>
        </w:rPr>
        <w:t xml:space="preserve">     </w:t>
      </w:r>
      <w:r>
        <w:rPr>
          <w:rFonts w:ascii="Tahoma" w:hAnsi="Tahoma" w:cs="Tahoma"/>
          <w:b/>
          <w:sz w:val="18"/>
          <w:szCs w:val="18"/>
        </w:rPr>
        <w:t xml:space="preserve">  </w:t>
      </w:r>
      <w:r w:rsidRPr="00F92DAE">
        <w:rPr>
          <w:rFonts w:ascii="Tahoma" w:hAnsi="Tahoma" w:cs="Tahoma"/>
          <w:b/>
          <w:sz w:val="18"/>
          <w:szCs w:val="18"/>
        </w:rPr>
        <w:t xml:space="preserve"> Sampling station </w:t>
      </w:r>
      <w:r w:rsidRPr="00F92DAE">
        <w:rPr>
          <w:rFonts w:ascii="Tahoma" w:hAnsi="Tahoma" w:cs="Tahoma"/>
          <w:b/>
          <w:sz w:val="18"/>
          <w:szCs w:val="18"/>
        </w:rPr>
        <w:tab/>
        <w:t xml:space="preserve">   </w:t>
      </w:r>
      <w:r>
        <w:rPr>
          <w:rFonts w:ascii="Tahoma" w:hAnsi="Tahoma" w:cs="Tahoma"/>
          <w:b/>
          <w:sz w:val="18"/>
          <w:szCs w:val="18"/>
        </w:rPr>
        <w:t xml:space="preserve">                  </w:t>
      </w:r>
      <w:r w:rsidRPr="00F92DAE">
        <w:rPr>
          <w:rFonts w:ascii="Tahoma" w:hAnsi="Tahoma" w:cs="Tahoma"/>
          <w:b/>
          <w:sz w:val="18"/>
          <w:szCs w:val="18"/>
        </w:rPr>
        <w:t>Sampling station</w:t>
      </w:r>
    </w:p>
    <w:p w:rsidR="00737931" w:rsidRPr="007675F7" w:rsidRDefault="00737931" w:rsidP="00721D08">
      <w:pPr>
        <w:spacing w:after="0" w:line="480" w:lineRule="auto"/>
        <w:jc w:val="both"/>
        <w:rPr>
          <w:rFonts w:ascii="Times New Roman" w:hAnsi="Times New Roman"/>
          <w:sz w:val="24"/>
          <w:szCs w:val="24"/>
        </w:rPr>
      </w:pPr>
    </w:p>
    <w:sectPr w:rsidR="00737931" w:rsidRPr="007675F7" w:rsidSect="00884CF3">
      <w:footerReference w:type="default" r:id="rId1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28D" w:rsidRDefault="009A728D" w:rsidP="008434B5">
      <w:pPr>
        <w:spacing w:after="0" w:line="240" w:lineRule="auto"/>
      </w:pPr>
      <w:r>
        <w:separator/>
      </w:r>
    </w:p>
  </w:endnote>
  <w:endnote w:type="continuationSeparator" w:id="0">
    <w:p w:rsidR="009A728D" w:rsidRDefault="009A728D" w:rsidP="0084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71457"/>
      <w:docPartObj>
        <w:docPartGallery w:val="Page Numbers (Bottom of Page)"/>
        <w:docPartUnique/>
      </w:docPartObj>
    </w:sdtPr>
    <w:sdtEndPr/>
    <w:sdtContent>
      <w:p w:rsidR="00F75E85" w:rsidRDefault="009A728D">
        <w:pPr>
          <w:pStyle w:val="Footer"/>
          <w:jc w:val="center"/>
        </w:pPr>
        <w:r>
          <w:fldChar w:fldCharType="begin"/>
        </w:r>
        <w:r>
          <w:instrText xml:space="preserve"> PAGE   \* MERGEFORMAT </w:instrText>
        </w:r>
        <w:r>
          <w:fldChar w:fldCharType="separate"/>
        </w:r>
        <w:r w:rsidR="009F6240">
          <w:rPr>
            <w:noProof/>
          </w:rPr>
          <w:t>1</w:t>
        </w:r>
        <w:r>
          <w:rPr>
            <w:noProof/>
          </w:rPr>
          <w:fldChar w:fldCharType="end"/>
        </w:r>
      </w:p>
    </w:sdtContent>
  </w:sdt>
  <w:p w:rsidR="00F75E85" w:rsidRDefault="00F7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28D" w:rsidRDefault="009A728D" w:rsidP="008434B5">
      <w:pPr>
        <w:spacing w:after="0" w:line="240" w:lineRule="auto"/>
      </w:pPr>
      <w:r>
        <w:separator/>
      </w:r>
    </w:p>
  </w:footnote>
  <w:footnote w:type="continuationSeparator" w:id="0">
    <w:p w:rsidR="009A728D" w:rsidRDefault="009A728D" w:rsidP="00843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75A"/>
    <w:multiLevelType w:val="hybridMultilevel"/>
    <w:tmpl w:val="69F8C672"/>
    <w:lvl w:ilvl="0" w:tplc="EB5849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90C2D"/>
    <w:multiLevelType w:val="hybridMultilevel"/>
    <w:tmpl w:val="BD56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12736"/>
    <w:multiLevelType w:val="hybridMultilevel"/>
    <w:tmpl w:val="6C1A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E24D0"/>
    <w:multiLevelType w:val="hybridMultilevel"/>
    <w:tmpl w:val="E2F6A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C43E8"/>
    <w:multiLevelType w:val="hybridMultilevel"/>
    <w:tmpl w:val="A30C75FE"/>
    <w:lvl w:ilvl="0" w:tplc="5B28922C">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MY"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07A9"/>
    <w:rsid w:val="000020EF"/>
    <w:rsid w:val="000129E2"/>
    <w:rsid w:val="00021DF4"/>
    <w:rsid w:val="00022BEB"/>
    <w:rsid w:val="00024039"/>
    <w:rsid w:val="0003313B"/>
    <w:rsid w:val="00036785"/>
    <w:rsid w:val="0004418F"/>
    <w:rsid w:val="00044195"/>
    <w:rsid w:val="00046FE4"/>
    <w:rsid w:val="000472A2"/>
    <w:rsid w:val="00051B09"/>
    <w:rsid w:val="00053589"/>
    <w:rsid w:val="00056409"/>
    <w:rsid w:val="00062233"/>
    <w:rsid w:val="00063D2B"/>
    <w:rsid w:val="000707A9"/>
    <w:rsid w:val="00077F99"/>
    <w:rsid w:val="000952C4"/>
    <w:rsid w:val="00095698"/>
    <w:rsid w:val="000A080D"/>
    <w:rsid w:val="000A1031"/>
    <w:rsid w:val="000B057A"/>
    <w:rsid w:val="000B07F9"/>
    <w:rsid w:val="000B3156"/>
    <w:rsid w:val="000C4DBB"/>
    <w:rsid w:val="000D53D7"/>
    <w:rsid w:val="000D7796"/>
    <w:rsid w:val="000F74F7"/>
    <w:rsid w:val="0010049D"/>
    <w:rsid w:val="001069E6"/>
    <w:rsid w:val="0011067A"/>
    <w:rsid w:val="001330A0"/>
    <w:rsid w:val="00133B0A"/>
    <w:rsid w:val="00142789"/>
    <w:rsid w:val="00143C82"/>
    <w:rsid w:val="00150FA3"/>
    <w:rsid w:val="001510AE"/>
    <w:rsid w:val="001560A7"/>
    <w:rsid w:val="00167760"/>
    <w:rsid w:val="0018760C"/>
    <w:rsid w:val="00194AC1"/>
    <w:rsid w:val="001B1123"/>
    <w:rsid w:val="001B70AD"/>
    <w:rsid w:val="001C702E"/>
    <w:rsid w:val="001F042B"/>
    <w:rsid w:val="001F230E"/>
    <w:rsid w:val="00204850"/>
    <w:rsid w:val="00222A99"/>
    <w:rsid w:val="00237C10"/>
    <w:rsid w:val="00240DEB"/>
    <w:rsid w:val="002513BD"/>
    <w:rsid w:val="0028190C"/>
    <w:rsid w:val="00287A68"/>
    <w:rsid w:val="002932A1"/>
    <w:rsid w:val="0029744F"/>
    <w:rsid w:val="00297A14"/>
    <w:rsid w:val="002B1816"/>
    <w:rsid w:val="002B490F"/>
    <w:rsid w:val="002B62E1"/>
    <w:rsid w:val="002C1268"/>
    <w:rsid w:val="002D4B4A"/>
    <w:rsid w:val="002F36A7"/>
    <w:rsid w:val="00334C3F"/>
    <w:rsid w:val="003375F8"/>
    <w:rsid w:val="003447B6"/>
    <w:rsid w:val="00350726"/>
    <w:rsid w:val="00363748"/>
    <w:rsid w:val="003669F4"/>
    <w:rsid w:val="003774C5"/>
    <w:rsid w:val="00380BF5"/>
    <w:rsid w:val="00382301"/>
    <w:rsid w:val="00383201"/>
    <w:rsid w:val="003863C2"/>
    <w:rsid w:val="003A0CD4"/>
    <w:rsid w:val="003A38E0"/>
    <w:rsid w:val="003A5AD7"/>
    <w:rsid w:val="003D037E"/>
    <w:rsid w:val="003D1D53"/>
    <w:rsid w:val="003E1814"/>
    <w:rsid w:val="003F250F"/>
    <w:rsid w:val="003F2881"/>
    <w:rsid w:val="004050D4"/>
    <w:rsid w:val="004134C5"/>
    <w:rsid w:val="00422452"/>
    <w:rsid w:val="00426C5D"/>
    <w:rsid w:val="00441740"/>
    <w:rsid w:val="00445621"/>
    <w:rsid w:val="00445CA6"/>
    <w:rsid w:val="0046734D"/>
    <w:rsid w:val="00471E9F"/>
    <w:rsid w:val="00483477"/>
    <w:rsid w:val="004A11B5"/>
    <w:rsid w:val="004B28C4"/>
    <w:rsid w:val="004B38D6"/>
    <w:rsid w:val="004B770D"/>
    <w:rsid w:val="004C0283"/>
    <w:rsid w:val="004C11C6"/>
    <w:rsid w:val="004D7317"/>
    <w:rsid w:val="004E0CC0"/>
    <w:rsid w:val="004E3BBF"/>
    <w:rsid w:val="004F0ADE"/>
    <w:rsid w:val="004F4C4A"/>
    <w:rsid w:val="00507D7C"/>
    <w:rsid w:val="0051481D"/>
    <w:rsid w:val="00514AA1"/>
    <w:rsid w:val="00520C38"/>
    <w:rsid w:val="005220AC"/>
    <w:rsid w:val="00522A62"/>
    <w:rsid w:val="005246FA"/>
    <w:rsid w:val="005266F9"/>
    <w:rsid w:val="00527FB7"/>
    <w:rsid w:val="0053409F"/>
    <w:rsid w:val="00537869"/>
    <w:rsid w:val="005406E8"/>
    <w:rsid w:val="00547C1B"/>
    <w:rsid w:val="00561BA2"/>
    <w:rsid w:val="00587D7C"/>
    <w:rsid w:val="00587D94"/>
    <w:rsid w:val="005914CF"/>
    <w:rsid w:val="005A1825"/>
    <w:rsid w:val="005B5FD7"/>
    <w:rsid w:val="005C7583"/>
    <w:rsid w:val="005D13AB"/>
    <w:rsid w:val="005D29F3"/>
    <w:rsid w:val="005E01B9"/>
    <w:rsid w:val="005F4E3F"/>
    <w:rsid w:val="00600672"/>
    <w:rsid w:val="0061149A"/>
    <w:rsid w:val="00614ACF"/>
    <w:rsid w:val="00621EF4"/>
    <w:rsid w:val="0062708D"/>
    <w:rsid w:val="00635160"/>
    <w:rsid w:val="00654D24"/>
    <w:rsid w:val="006556D2"/>
    <w:rsid w:val="0067760C"/>
    <w:rsid w:val="00683A72"/>
    <w:rsid w:val="0068456E"/>
    <w:rsid w:val="00685CBD"/>
    <w:rsid w:val="00695B32"/>
    <w:rsid w:val="006A4B68"/>
    <w:rsid w:val="006B238F"/>
    <w:rsid w:val="006C2F6E"/>
    <w:rsid w:val="006C5399"/>
    <w:rsid w:val="006C6C5A"/>
    <w:rsid w:val="006D0FEE"/>
    <w:rsid w:val="006D724C"/>
    <w:rsid w:val="006F0836"/>
    <w:rsid w:val="006F0C99"/>
    <w:rsid w:val="006F3DFD"/>
    <w:rsid w:val="0070718A"/>
    <w:rsid w:val="0072147E"/>
    <w:rsid w:val="00721D08"/>
    <w:rsid w:val="00723D8A"/>
    <w:rsid w:val="00725E1B"/>
    <w:rsid w:val="00733A49"/>
    <w:rsid w:val="00737931"/>
    <w:rsid w:val="007528A4"/>
    <w:rsid w:val="00760011"/>
    <w:rsid w:val="007620A8"/>
    <w:rsid w:val="00763757"/>
    <w:rsid w:val="007675F7"/>
    <w:rsid w:val="00770E07"/>
    <w:rsid w:val="007750EE"/>
    <w:rsid w:val="00776E2D"/>
    <w:rsid w:val="00781B56"/>
    <w:rsid w:val="007A1078"/>
    <w:rsid w:val="007A1113"/>
    <w:rsid w:val="007A1306"/>
    <w:rsid w:val="007A6408"/>
    <w:rsid w:val="007C055E"/>
    <w:rsid w:val="007C1C7F"/>
    <w:rsid w:val="007C297C"/>
    <w:rsid w:val="007C3456"/>
    <w:rsid w:val="007D0791"/>
    <w:rsid w:val="007E4637"/>
    <w:rsid w:val="007E5F99"/>
    <w:rsid w:val="007F050B"/>
    <w:rsid w:val="00800119"/>
    <w:rsid w:val="008176F1"/>
    <w:rsid w:val="0082480B"/>
    <w:rsid w:val="00826A32"/>
    <w:rsid w:val="00841B06"/>
    <w:rsid w:val="008434B5"/>
    <w:rsid w:val="00861A83"/>
    <w:rsid w:val="008746D4"/>
    <w:rsid w:val="00884CF3"/>
    <w:rsid w:val="00891E00"/>
    <w:rsid w:val="008A443A"/>
    <w:rsid w:val="008A6A0E"/>
    <w:rsid w:val="008A7D4C"/>
    <w:rsid w:val="008B69F3"/>
    <w:rsid w:val="008D0AB1"/>
    <w:rsid w:val="008D502B"/>
    <w:rsid w:val="008E74E5"/>
    <w:rsid w:val="00904B00"/>
    <w:rsid w:val="009058C7"/>
    <w:rsid w:val="009148B8"/>
    <w:rsid w:val="00940916"/>
    <w:rsid w:val="0096355A"/>
    <w:rsid w:val="0097510C"/>
    <w:rsid w:val="00983FED"/>
    <w:rsid w:val="00984205"/>
    <w:rsid w:val="00995055"/>
    <w:rsid w:val="00996127"/>
    <w:rsid w:val="009A0C07"/>
    <w:rsid w:val="009A728D"/>
    <w:rsid w:val="009B020B"/>
    <w:rsid w:val="009B5DC2"/>
    <w:rsid w:val="009C654B"/>
    <w:rsid w:val="009E14FA"/>
    <w:rsid w:val="009E26F5"/>
    <w:rsid w:val="009F6240"/>
    <w:rsid w:val="00A11EBE"/>
    <w:rsid w:val="00A23929"/>
    <w:rsid w:val="00A250C5"/>
    <w:rsid w:val="00A25318"/>
    <w:rsid w:val="00A42876"/>
    <w:rsid w:val="00A47CE7"/>
    <w:rsid w:val="00A50A60"/>
    <w:rsid w:val="00A56A86"/>
    <w:rsid w:val="00A61A3C"/>
    <w:rsid w:val="00A70778"/>
    <w:rsid w:val="00A833CB"/>
    <w:rsid w:val="00A8416F"/>
    <w:rsid w:val="00A8595F"/>
    <w:rsid w:val="00A85A51"/>
    <w:rsid w:val="00AA044E"/>
    <w:rsid w:val="00AA4629"/>
    <w:rsid w:val="00AB5917"/>
    <w:rsid w:val="00AD3339"/>
    <w:rsid w:val="00AD5550"/>
    <w:rsid w:val="00AE033D"/>
    <w:rsid w:val="00AF1F8C"/>
    <w:rsid w:val="00AF2698"/>
    <w:rsid w:val="00AF5455"/>
    <w:rsid w:val="00B12012"/>
    <w:rsid w:val="00B13F50"/>
    <w:rsid w:val="00B146B8"/>
    <w:rsid w:val="00B309AF"/>
    <w:rsid w:val="00B3531E"/>
    <w:rsid w:val="00B448E1"/>
    <w:rsid w:val="00B73FFC"/>
    <w:rsid w:val="00B845DB"/>
    <w:rsid w:val="00B85DA7"/>
    <w:rsid w:val="00B94C51"/>
    <w:rsid w:val="00B955A2"/>
    <w:rsid w:val="00BC26A8"/>
    <w:rsid w:val="00BC3EB1"/>
    <w:rsid w:val="00BD2A20"/>
    <w:rsid w:val="00BE0B71"/>
    <w:rsid w:val="00BE1FC2"/>
    <w:rsid w:val="00BF5D9D"/>
    <w:rsid w:val="00C04391"/>
    <w:rsid w:val="00C12F5A"/>
    <w:rsid w:val="00C13F94"/>
    <w:rsid w:val="00C150FA"/>
    <w:rsid w:val="00C16651"/>
    <w:rsid w:val="00C2415F"/>
    <w:rsid w:val="00C32949"/>
    <w:rsid w:val="00C3551A"/>
    <w:rsid w:val="00C575B8"/>
    <w:rsid w:val="00C81AA0"/>
    <w:rsid w:val="00C9509D"/>
    <w:rsid w:val="00C96595"/>
    <w:rsid w:val="00C9714E"/>
    <w:rsid w:val="00CA3228"/>
    <w:rsid w:val="00CB77A0"/>
    <w:rsid w:val="00CD1D73"/>
    <w:rsid w:val="00CE2B94"/>
    <w:rsid w:val="00CE3A80"/>
    <w:rsid w:val="00CF59D5"/>
    <w:rsid w:val="00CF7742"/>
    <w:rsid w:val="00D03157"/>
    <w:rsid w:val="00D225DB"/>
    <w:rsid w:val="00D2635F"/>
    <w:rsid w:val="00D34871"/>
    <w:rsid w:val="00D3513D"/>
    <w:rsid w:val="00D429AA"/>
    <w:rsid w:val="00D5258D"/>
    <w:rsid w:val="00D5268D"/>
    <w:rsid w:val="00D52A58"/>
    <w:rsid w:val="00D6230A"/>
    <w:rsid w:val="00D64030"/>
    <w:rsid w:val="00D65713"/>
    <w:rsid w:val="00D74C3B"/>
    <w:rsid w:val="00D81468"/>
    <w:rsid w:val="00D95A8C"/>
    <w:rsid w:val="00DA5CCD"/>
    <w:rsid w:val="00DB2BB6"/>
    <w:rsid w:val="00DB4DAF"/>
    <w:rsid w:val="00DD41EB"/>
    <w:rsid w:val="00DF1ADA"/>
    <w:rsid w:val="00DF2BB2"/>
    <w:rsid w:val="00E005EA"/>
    <w:rsid w:val="00E01D38"/>
    <w:rsid w:val="00E10115"/>
    <w:rsid w:val="00E12E95"/>
    <w:rsid w:val="00E165CA"/>
    <w:rsid w:val="00E246D2"/>
    <w:rsid w:val="00E33B58"/>
    <w:rsid w:val="00E42907"/>
    <w:rsid w:val="00E43410"/>
    <w:rsid w:val="00E65901"/>
    <w:rsid w:val="00E72562"/>
    <w:rsid w:val="00E72B67"/>
    <w:rsid w:val="00E80471"/>
    <w:rsid w:val="00E8085B"/>
    <w:rsid w:val="00E809DC"/>
    <w:rsid w:val="00E848C4"/>
    <w:rsid w:val="00E8626C"/>
    <w:rsid w:val="00E87276"/>
    <w:rsid w:val="00E87807"/>
    <w:rsid w:val="00E92F66"/>
    <w:rsid w:val="00E94C90"/>
    <w:rsid w:val="00EA45DE"/>
    <w:rsid w:val="00ED6517"/>
    <w:rsid w:val="00ED6DB7"/>
    <w:rsid w:val="00EF32FF"/>
    <w:rsid w:val="00F02AC3"/>
    <w:rsid w:val="00F22B0D"/>
    <w:rsid w:val="00F22D9C"/>
    <w:rsid w:val="00F32514"/>
    <w:rsid w:val="00F52A7F"/>
    <w:rsid w:val="00F53504"/>
    <w:rsid w:val="00F61C77"/>
    <w:rsid w:val="00F63F8D"/>
    <w:rsid w:val="00F64ACF"/>
    <w:rsid w:val="00F75355"/>
    <w:rsid w:val="00F75E85"/>
    <w:rsid w:val="00F83B9D"/>
    <w:rsid w:val="00F90433"/>
    <w:rsid w:val="00F91C10"/>
    <w:rsid w:val="00F92DAE"/>
    <w:rsid w:val="00F96A68"/>
    <w:rsid w:val="00FA026E"/>
    <w:rsid w:val="00FA19BF"/>
    <w:rsid w:val="00FA371B"/>
    <w:rsid w:val="00FA5B41"/>
    <w:rsid w:val="00FB0EE4"/>
    <w:rsid w:val="00FC4EE2"/>
    <w:rsid w:val="00FC6C12"/>
    <w:rsid w:val="00FC769F"/>
    <w:rsid w:val="00FC7DDF"/>
    <w:rsid w:val="00FD6C0E"/>
    <w:rsid w:val="00FF1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76C3074-8030-4EE8-9FB6-32F34DA5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7A9"/>
    <w:rPr>
      <w:rFonts w:ascii="Calibri" w:eastAsia="Calibri" w:hAnsi="Calibri" w:cs="Times New Roman"/>
      <w:lang w:val="en-GB"/>
    </w:rPr>
  </w:style>
  <w:style w:type="paragraph" w:styleId="Heading1">
    <w:name w:val="heading 1"/>
    <w:basedOn w:val="Normal"/>
    <w:next w:val="Normal"/>
    <w:link w:val="Heading1Char"/>
    <w:uiPriority w:val="9"/>
    <w:qFormat/>
    <w:rsid w:val="000707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A9"/>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39"/>
    <w:rsid w:val="000707A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07A9"/>
    <w:pPr>
      <w:ind w:left="720"/>
      <w:contextualSpacing/>
    </w:pPr>
  </w:style>
  <w:style w:type="paragraph" w:styleId="BalloonText">
    <w:name w:val="Balloon Text"/>
    <w:basedOn w:val="Normal"/>
    <w:link w:val="BalloonTextChar"/>
    <w:uiPriority w:val="99"/>
    <w:semiHidden/>
    <w:unhideWhenUsed/>
    <w:rsid w:val="0007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7A9"/>
    <w:rPr>
      <w:rFonts w:ascii="Tahoma" w:eastAsia="Calibri" w:hAnsi="Tahoma" w:cs="Tahoma"/>
      <w:sz w:val="16"/>
      <w:szCs w:val="16"/>
      <w:lang w:val="en-GB"/>
    </w:rPr>
  </w:style>
  <w:style w:type="paragraph" w:styleId="Header">
    <w:name w:val="header"/>
    <w:basedOn w:val="Normal"/>
    <w:link w:val="HeaderChar"/>
    <w:uiPriority w:val="99"/>
    <w:semiHidden/>
    <w:unhideWhenUsed/>
    <w:rsid w:val="00070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7A9"/>
    <w:rPr>
      <w:rFonts w:ascii="Calibri" w:eastAsia="Calibri" w:hAnsi="Calibri" w:cs="Times New Roman"/>
      <w:lang w:val="en-GB"/>
    </w:rPr>
  </w:style>
  <w:style w:type="paragraph" w:styleId="Footer">
    <w:name w:val="footer"/>
    <w:basedOn w:val="Normal"/>
    <w:link w:val="FooterChar"/>
    <w:uiPriority w:val="99"/>
    <w:unhideWhenUsed/>
    <w:rsid w:val="00070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7A9"/>
    <w:rPr>
      <w:rFonts w:ascii="Calibri" w:eastAsia="Calibri" w:hAnsi="Calibri" w:cs="Times New Roman"/>
      <w:lang w:val="en-GB"/>
    </w:rPr>
  </w:style>
  <w:style w:type="character" w:styleId="Hyperlink">
    <w:name w:val="Hyperlink"/>
    <w:basedOn w:val="DefaultParagraphFont"/>
    <w:uiPriority w:val="99"/>
    <w:unhideWhenUsed/>
    <w:rsid w:val="000707A9"/>
    <w:rPr>
      <w:color w:val="0000FF" w:themeColor="hyperlink"/>
      <w:u w:val="single"/>
    </w:rPr>
  </w:style>
  <w:style w:type="character" w:styleId="CommentReference">
    <w:name w:val="annotation reference"/>
    <w:basedOn w:val="DefaultParagraphFont"/>
    <w:uiPriority w:val="99"/>
    <w:semiHidden/>
    <w:unhideWhenUsed/>
    <w:rsid w:val="000707A9"/>
    <w:rPr>
      <w:sz w:val="16"/>
      <w:szCs w:val="16"/>
    </w:rPr>
  </w:style>
  <w:style w:type="paragraph" w:styleId="CommentText">
    <w:name w:val="annotation text"/>
    <w:basedOn w:val="Normal"/>
    <w:link w:val="CommentTextChar"/>
    <w:uiPriority w:val="99"/>
    <w:semiHidden/>
    <w:unhideWhenUsed/>
    <w:rsid w:val="000707A9"/>
    <w:pPr>
      <w:spacing w:line="240" w:lineRule="auto"/>
    </w:pPr>
    <w:rPr>
      <w:sz w:val="20"/>
      <w:szCs w:val="20"/>
    </w:rPr>
  </w:style>
  <w:style w:type="character" w:customStyle="1" w:styleId="CommentTextChar">
    <w:name w:val="Comment Text Char"/>
    <w:basedOn w:val="DefaultParagraphFont"/>
    <w:link w:val="CommentText"/>
    <w:uiPriority w:val="99"/>
    <w:semiHidden/>
    <w:rsid w:val="000707A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707A9"/>
    <w:rPr>
      <w:b/>
      <w:bCs/>
    </w:rPr>
  </w:style>
  <w:style w:type="character" w:customStyle="1" w:styleId="CommentSubjectChar">
    <w:name w:val="Comment Subject Char"/>
    <w:basedOn w:val="CommentTextChar"/>
    <w:link w:val="CommentSubject"/>
    <w:uiPriority w:val="99"/>
    <w:semiHidden/>
    <w:rsid w:val="000707A9"/>
    <w:rPr>
      <w:rFonts w:ascii="Calibri" w:eastAsia="Calibri" w:hAnsi="Calibri" w:cs="Times New Roman"/>
      <w:b/>
      <w:bCs/>
      <w:sz w:val="20"/>
      <w:szCs w:val="20"/>
      <w:lang w:val="en-GB"/>
    </w:rPr>
  </w:style>
  <w:style w:type="paragraph" w:styleId="Revision">
    <w:name w:val="Revision"/>
    <w:hidden/>
    <w:uiPriority w:val="99"/>
    <w:semiHidden/>
    <w:rsid w:val="000707A9"/>
    <w:pPr>
      <w:spacing w:after="0" w:line="240" w:lineRule="auto"/>
    </w:pPr>
    <w:rPr>
      <w:rFonts w:ascii="Calibri" w:eastAsia="Calibri" w:hAnsi="Calibri" w:cs="Times New Roman"/>
      <w:lang w:val="en-GB"/>
    </w:rPr>
  </w:style>
  <w:style w:type="character" w:styleId="PlaceholderText">
    <w:name w:val="Placeholder Text"/>
    <w:basedOn w:val="DefaultParagraphFont"/>
    <w:uiPriority w:val="99"/>
    <w:semiHidden/>
    <w:rsid w:val="000707A9"/>
    <w:rPr>
      <w:color w:val="808080"/>
    </w:rPr>
  </w:style>
  <w:style w:type="paragraph" w:styleId="HTMLPreformatted">
    <w:name w:val="HTML Preformatted"/>
    <w:basedOn w:val="Normal"/>
    <w:link w:val="HTMLPreformattedChar"/>
    <w:uiPriority w:val="99"/>
    <w:semiHidden/>
    <w:unhideWhenUsed/>
    <w:rsid w:val="007675F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675F7"/>
    <w:rPr>
      <w:rFonts w:ascii="Consolas" w:eastAsia="Calibri" w:hAnsi="Consolas" w:cs="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274">
      <w:bodyDiv w:val="1"/>
      <w:marLeft w:val="0"/>
      <w:marRight w:val="0"/>
      <w:marTop w:val="0"/>
      <w:marBottom w:val="0"/>
      <w:divBdr>
        <w:top w:val="none" w:sz="0" w:space="0" w:color="auto"/>
        <w:left w:val="none" w:sz="0" w:space="0" w:color="auto"/>
        <w:bottom w:val="none" w:sz="0" w:space="0" w:color="auto"/>
        <w:right w:val="none" w:sz="0" w:space="0" w:color="auto"/>
      </w:divBdr>
      <w:divsChild>
        <w:div w:id="2000886272">
          <w:marLeft w:val="0"/>
          <w:marRight w:val="0"/>
          <w:marTop w:val="0"/>
          <w:marBottom w:val="0"/>
          <w:divBdr>
            <w:top w:val="none" w:sz="0" w:space="0" w:color="auto"/>
            <w:left w:val="none" w:sz="0" w:space="0" w:color="auto"/>
            <w:bottom w:val="none" w:sz="0" w:space="0" w:color="auto"/>
            <w:right w:val="none" w:sz="0" w:space="0" w:color="auto"/>
          </w:divBdr>
        </w:div>
      </w:divsChild>
    </w:div>
    <w:div w:id="141505324">
      <w:bodyDiv w:val="1"/>
      <w:marLeft w:val="0"/>
      <w:marRight w:val="0"/>
      <w:marTop w:val="0"/>
      <w:marBottom w:val="0"/>
      <w:divBdr>
        <w:top w:val="none" w:sz="0" w:space="0" w:color="auto"/>
        <w:left w:val="none" w:sz="0" w:space="0" w:color="auto"/>
        <w:bottom w:val="none" w:sz="0" w:space="0" w:color="auto"/>
        <w:right w:val="none" w:sz="0" w:space="0" w:color="auto"/>
      </w:divBdr>
      <w:divsChild>
        <w:div w:id="439303850">
          <w:marLeft w:val="0"/>
          <w:marRight w:val="0"/>
          <w:marTop w:val="0"/>
          <w:marBottom w:val="0"/>
          <w:divBdr>
            <w:top w:val="none" w:sz="0" w:space="0" w:color="auto"/>
            <w:left w:val="none" w:sz="0" w:space="0" w:color="auto"/>
            <w:bottom w:val="none" w:sz="0" w:space="0" w:color="auto"/>
            <w:right w:val="none" w:sz="0" w:space="0" w:color="auto"/>
          </w:divBdr>
        </w:div>
      </w:divsChild>
    </w:div>
    <w:div w:id="156654196">
      <w:bodyDiv w:val="1"/>
      <w:marLeft w:val="0"/>
      <w:marRight w:val="0"/>
      <w:marTop w:val="0"/>
      <w:marBottom w:val="0"/>
      <w:divBdr>
        <w:top w:val="none" w:sz="0" w:space="0" w:color="auto"/>
        <w:left w:val="none" w:sz="0" w:space="0" w:color="auto"/>
        <w:bottom w:val="none" w:sz="0" w:space="0" w:color="auto"/>
        <w:right w:val="none" w:sz="0" w:space="0" w:color="auto"/>
      </w:divBdr>
      <w:divsChild>
        <w:div w:id="756907487">
          <w:marLeft w:val="0"/>
          <w:marRight w:val="0"/>
          <w:marTop w:val="0"/>
          <w:marBottom w:val="0"/>
          <w:divBdr>
            <w:top w:val="none" w:sz="0" w:space="0" w:color="auto"/>
            <w:left w:val="none" w:sz="0" w:space="0" w:color="auto"/>
            <w:bottom w:val="none" w:sz="0" w:space="0" w:color="auto"/>
            <w:right w:val="none" w:sz="0" w:space="0" w:color="auto"/>
          </w:divBdr>
        </w:div>
        <w:div w:id="277219416">
          <w:marLeft w:val="0"/>
          <w:marRight w:val="0"/>
          <w:marTop w:val="0"/>
          <w:marBottom w:val="0"/>
          <w:divBdr>
            <w:top w:val="none" w:sz="0" w:space="0" w:color="auto"/>
            <w:left w:val="none" w:sz="0" w:space="0" w:color="auto"/>
            <w:bottom w:val="none" w:sz="0" w:space="0" w:color="auto"/>
            <w:right w:val="none" w:sz="0" w:space="0" w:color="auto"/>
          </w:divBdr>
        </w:div>
        <w:div w:id="839858115">
          <w:marLeft w:val="0"/>
          <w:marRight w:val="0"/>
          <w:marTop w:val="0"/>
          <w:marBottom w:val="0"/>
          <w:divBdr>
            <w:top w:val="none" w:sz="0" w:space="0" w:color="auto"/>
            <w:left w:val="none" w:sz="0" w:space="0" w:color="auto"/>
            <w:bottom w:val="none" w:sz="0" w:space="0" w:color="auto"/>
            <w:right w:val="none" w:sz="0" w:space="0" w:color="auto"/>
          </w:divBdr>
        </w:div>
        <w:div w:id="1340473920">
          <w:marLeft w:val="0"/>
          <w:marRight w:val="0"/>
          <w:marTop w:val="0"/>
          <w:marBottom w:val="0"/>
          <w:divBdr>
            <w:top w:val="none" w:sz="0" w:space="0" w:color="auto"/>
            <w:left w:val="none" w:sz="0" w:space="0" w:color="auto"/>
            <w:bottom w:val="none" w:sz="0" w:space="0" w:color="auto"/>
            <w:right w:val="none" w:sz="0" w:space="0" w:color="auto"/>
          </w:divBdr>
        </w:div>
        <w:div w:id="1464694990">
          <w:marLeft w:val="0"/>
          <w:marRight w:val="0"/>
          <w:marTop w:val="0"/>
          <w:marBottom w:val="0"/>
          <w:divBdr>
            <w:top w:val="none" w:sz="0" w:space="0" w:color="auto"/>
            <w:left w:val="none" w:sz="0" w:space="0" w:color="auto"/>
            <w:bottom w:val="none" w:sz="0" w:space="0" w:color="auto"/>
            <w:right w:val="none" w:sz="0" w:space="0" w:color="auto"/>
          </w:divBdr>
        </w:div>
        <w:div w:id="708073844">
          <w:marLeft w:val="0"/>
          <w:marRight w:val="0"/>
          <w:marTop w:val="0"/>
          <w:marBottom w:val="0"/>
          <w:divBdr>
            <w:top w:val="none" w:sz="0" w:space="0" w:color="auto"/>
            <w:left w:val="none" w:sz="0" w:space="0" w:color="auto"/>
            <w:bottom w:val="none" w:sz="0" w:space="0" w:color="auto"/>
            <w:right w:val="none" w:sz="0" w:space="0" w:color="auto"/>
          </w:divBdr>
        </w:div>
        <w:div w:id="1420561485">
          <w:marLeft w:val="0"/>
          <w:marRight w:val="0"/>
          <w:marTop w:val="0"/>
          <w:marBottom w:val="0"/>
          <w:divBdr>
            <w:top w:val="none" w:sz="0" w:space="0" w:color="auto"/>
            <w:left w:val="none" w:sz="0" w:space="0" w:color="auto"/>
            <w:bottom w:val="none" w:sz="0" w:space="0" w:color="auto"/>
            <w:right w:val="none" w:sz="0" w:space="0" w:color="auto"/>
          </w:divBdr>
        </w:div>
        <w:div w:id="8677159">
          <w:marLeft w:val="0"/>
          <w:marRight w:val="0"/>
          <w:marTop w:val="0"/>
          <w:marBottom w:val="0"/>
          <w:divBdr>
            <w:top w:val="none" w:sz="0" w:space="0" w:color="auto"/>
            <w:left w:val="none" w:sz="0" w:space="0" w:color="auto"/>
            <w:bottom w:val="none" w:sz="0" w:space="0" w:color="auto"/>
            <w:right w:val="none" w:sz="0" w:space="0" w:color="auto"/>
          </w:divBdr>
        </w:div>
        <w:div w:id="2018653120">
          <w:marLeft w:val="0"/>
          <w:marRight w:val="0"/>
          <w:marTop w:val="0"/>
          <w:marBottom w:val="0"/>
          <w:divBdr>
            <w:top w:val="none" w:sz="0" w:space="0" w:color="auto"/>
            <w:left w:val="none" w:sz="0" w:space="0" w:color="auto"/>
            <w:bottom w:val="none" w:sz="0" w:space="0" w:color="auto"/>
            <w:right w:val="none" w:sz="0" w:space="0" w:color="auto"/>
          </w:divBdr>
        </w:div>
        <w:div w:id="1555776375">
          <w:marLeft w:val="0"/>
          <w:marRight w:val="0"/>
          <w:marTop w:val="0"/>
          <w:marBottom w:val="0"/>
          <w:divBdr>
            <w:top w:val="none" w:sz="0" w:space="0" w:color="auto"/>
            <w:left w:val="none" w:sz="0" w:space="0" w:color="auto"/>
            <w:bottom w:val="none" w:sz="0" w:space="0" w:color="auto"/>
            <w:right w:val="none" w:sz="0" w:space="0" w:color="auto"/>
          </w:divBdr>
        </w:div>
        <w:div w:id="1281108186">
          <w:marLeft w:val="0"/>
          <w:marRight w:val="0"/>
          <w:marTop w:val="0"/>
          <w:marBottom w:val="0"/>
          <w:divBdr>
            <w:top w:val="none" w:sz="0" w:space="0" w:color="auto"/>
            <w:left w:val="none" w:sz="0" w:space="0" w:color="auto"/>
            <w:bottom w:val="none" w:sz="0" w:space="0" w:color="auto"/>
            <w:right w:val="none" w:sz="0" w:space="0" w:color="auto"/>
          </w:divBdr>
        </w:div>
        <w:div w:id="1475028128">
          <w:marLeft w:val="0"/>
          <w:marRight w:val="0"/>
          <w:marTop w:val="0"/>
          <w:marBottom w:val="0"/>
          <w:divBdr>
            <w:top w:val="none" w:sz="0" w:space="0" w:color="auto"/>
            <w:left w:val="none" w:sz="0" w:space="0" w:color="auto"/>
            <w:bottom w:val="none" w:sz="0" w:space="0" w:color="auto"/>
            <w:right w:val="none" w:sz="0" w:space="0" w:color="auto"/>
          </w:divBdr>
        </w:div>
        <w:div w:id="410808487">
          <w:marLeft w:val="0"/>
          <w:marRight w:val="0"/>
          <w:marTop w:val="0"/>
          <w:marBottom w:val="0"/>
          <w:divBdr>
            <w:top w:val="none" w:sz="0" w:space="0" w:color="auto"/>
            <w:left w:val="none" w:sz="0" w:space="0" w:color="auto"/>
            <w:bottom w:val="none" w:sz="0" w:space="0" w:color="auto"/>
            <w:right w:val="none" w:sz="0" w:space="0" w:color="auto"/>
          </w:divBdr>
        </w:div>
        <w:div w:id="1471358808">
          <w:marLeft w:val="0"/>
          <w:marRight w:val="0"/>
          <w:marTop w:val="0"/>
          <w:marBottom w:val="0"/>
          <w:divBdr>
            <w:top w:val="none" w:sz="0" w:space="0" w:color="auto"/>
            <w:left w:val="none" w:sz="0" w:space="0" w:color="auto"/>
            <w:bottom w:val="none" w:sz="0" w:space="0" w:color="auto"/>
            <w:right w:val="none" w:sz="0" w:space="0" w:color="auto"/>
          </w:divBdr>
        </w:div>
        <w:div w:id="2142571137">
          <w:marLeft w:val="0"/>
          <w:marRight w:val="0"/>
          <w:marTop w:val="0"/>
          <w:marBottom w:val="0"/>
          <w:divBdr>
            <w:top w:val="none" w:sz="0" w:space="0" w:color="auto"/>
            <w:left w:val="none" w:sz="0" w:space="0" w:color="auto"/>
            <w:bottom w:val="none" w:sz="0" w:space="0" w:color="auto"/>
            <w:right w:val="none" w:sz="0" w:space="0" w:color="auto"/>
          </w:divBdr>
        </w:div>
        <w:div w:id="145124256">
          <w:marLeft w:val="0"/>
          <w:marRight w:val="0"/>
          <w:marTop w:val="0"/>
          <w:marBottom w:val="0"/>
          <w:divBdr>
            <w:top w:val="none" w:sz="0" w:space="0" w:color="auto"/>
            <w:left w:val="none" w:sz="0" w:space="0" w:color="auto"/>
            <w:bottom w:val="none" w:sz="0" w:space="0" w:color="auto"/>
            <w:right w:val="none" w:sz="0" w:space="0" w:color="auto"/>
          </w:divBdr>
        </w:div>
      </w:divsChild>
    </w:div>
    <w:div w:id="199519701">
      <w:bodyDiv w:val="1"/>
      <w:marLeft w:val="0"/>
      <w:marRight w:val="0"/>
      <w:marTop w:val="0"/>
      <w:marBottom w:val="0"/>
      <w:divBdr>
        <w:top w:val="none" w:sz="0" w:space="0" w:color="auto"/>
        <w:left w:val="none" w:sz="0" w:space="0" w:color="auto"/>
        <w:bottom w:val="none" w:sz="0" w:space="0" w:color="auto"/>
        <w:right w:val="none" w:sz="0" w:space="0" w:color="auto"/>
      </w:divBdr>
      <w:divsChild>
        <w:div w:id="1564636742">
          <w:marLeft w:val="0"/>
          <w:marRight w:val="0"/>
          <w:marTop w:val="0"/>
          <w:marBottom w:val="0"/>
          <w:divBdr>
            <w:top w:val="none" w:sz="0" w:space="0" w:color="auto"/>
            <w:left w:val="none" w:sz="0" w:space="0" w:color="auto"/>
            <w:bottom w:val="none" w:sz="0" w:space="0" w:color="auto"/>
            <w:right w:val="none" w:sz="0" w:space="0" w:color="auto"/>
          </w:divBdr>
        </w:div>
        <w:div w:id="133254633">
          <w:marLeft w:val="0"/>
          <w:marRight w:val="0"/>
          <w:marTop w:val="0"/>
          <w:marBottom w:val="0"/>
          <w:divBdr>
            <w:top w:val="none" w:sz="0" w:space="0" w:color="auto"/>
            <w:left w:val="none" w:sz="0" w:space="0" w:color="auto"/>
            <w:bottom w:val="none" w:sz="0" w:space="0" w:color="auto"/>
            <w:right w:val="none" w:sz="0" w:space="0" w:color="auto"/>
          </w:divBdr>
        </w:div>
        <w:div w:id="26760588">
          <w:marLeft w:val="0"/>
          <w:marRight w:val="0"/>
          <w:marTop w:val="0"/>
          <w:marBottom w:val="0"/>
          <w:divBdr>
            <w:top w:val="none" w:sz="0" w:space="0" w:color="auto"/>
            <w:left w:val="none" w:sz="0" w:space="0" w:color="auto"/>
            <w:bottom w:val="none" w:sz="0" w:space="0" w:color="auto"/>
            <w:right w:val="none" w:sz="0" w:space="0" w:color="auto"/>
          </w:divBdr>
        </w:div>
      </w:divsChild>
    </w:div>
    <w:div w:id="360785538">
      <w:bodyDiv w:val="1"/>
      <w:marLeft w:val="0"/>
      <w:marRight w:val="0"/>
      <w:marTop w:val="0"/>
      <w:marBottom w:val="0"/>
      <w:divBdr>
        <w:top w:val="none" w:sz="0" w:space="0" w:color="auto"/>
        <w:left w:val="none" w:sz="0" w:space="0" w:color="auto"/>
        <w:bottom w:val="none" w:sz="0" w:space="0" w:color="auto"/>
        <w:right w:val="none" w:sz="0" w:space="0" w:color="auto"/>
      </w:divBdr>
      <w:divsChild>
        <w:div w:id="1422337075">
          <w:marLeft w:val="0"/>
          <w:marRight w:val="0"/>
          <w:marTop w:val="0"/>
          <w:marBottom w:val="0"/>
          <w:divBdr>
            <w:top w:val="none" w:sz="0" w:space="0" w:color="auto"/>
            <w:left w:val="none" w:sz="0" w:space="0" w:color="auto"/>
            <w:bottom w:val="none" w:sz="0" w:space="0" w:color="auto"/>
            <w:right w:val="none" w:sz="0" w:space="0" w:color="auto"/>
          </w:divBdr>
        </w:div>
        <w:div w:id="970936227">
          <w:marLeft w:val="0"/>
          <w:marRight w:val="0"/>
          <w:marTop w:val="0"/>
          <w:marBottom w:val="0"/>
          <w:divBdr>
            <w:top w:val="none" w:sz="0" w:space="0" w:color="auto"/>
            <w:left w:val="none" w:sz="0" w:space="0" w:color="auto"/>
            <w:bottom w:val="none" w:sz="0" w:space="0" w:color="auto"/>
            <w:right w:val="none" w:sz="0" w:space="0" w:color="auto"/>
          </w:divBdr>
        </w:div>
        <w:div w:id="1372265314">
          <w:marLeft w:val="0"/>
          <w:marRight w:val="0"/>
          <w:marTop w:val="0"/>
          <w:marBottom w:val="0"/>
          <w:divBdr>
            <w:top w:val="none" w:sz="0" w:space="0" w:color="auto"/>
            <w:left w:val="none" w:sz="0" w:space="0" w:color="auto"/>
            <w:bottom w:val="none" w:sz="0" w:space="0" w:color="auto"/>
            <w:right w:val="none" w:sz="0" w:space="0" w:color="auto"/>
          </w:divBdr>
        </w:div>
      </w:divsChild>
    </w:div>
    <w:div w:id="677386131">
      <w:bodyDiv w:val="1"/>
      <w:marLeft w:val="0"/>
      <w:marRight w:val="0"/>
      <w:marTop w:val="0"/>
      <w:marBottom w:val="0"/>
      <w:divBdr>
        <w:top w:val="none" w:sz="0" w:space="0" w:color="auto"/>
        <w:left w:val="none" w:sz="0" w:space="0" w:color="auto"/>
        <w:bottom w:val="none" w:sz="0" w:space="0" w:color="auto"/>
        <w:right w:val="none" w:sz="0" w:space="0" w:color="auto"/>
      </w:divBdr>
      <w:divsChild>
        <w:div w:id="2130079376">
          <w:marLeft w:val="0"/>
          <w:marRight w:val="0"/>
          <w:marTop w:val="0"/>
          <w:marBottom w:val="0"/>
          <w:divBdr>
            <w:top w:val="none" w:sz="0" w:space="0" w:color="auto"/>
            <w:left w:val="none" w:sz="0" w:space="0" w:color="auto"/>
            <w:bottom w:val="none" w:sz="0" w:space="0" w:color="auto"/>
            <w:right w:val="none" w:sz="0" w:space="0" w:color="auto"/>
          </w:divBdr>
        </w:div>
      </w:divsChild>
    </w:div>
    <w:div w:id="982658487">
      <w:bodyDiv w:val="1"/>
      <w:marLeft w:val="0"/>
      <w:marRight w:val="0"/>
      <w:marTop w:val="0"/>
      <w:marBottom w:val="0"/>
      <w:divBdr>
        <w:top w:val="none" w:sz="0" w:space="0" w:color="auto"/>
        <w:left w:val="none" w:sz="0" w:space="0" w:color="auto"/>
        <w:bottom w:val="none" w:sz="0" w:space="0" w:color="auto"/>
        <w:right w:val="none" w:sz="0" w:space="0" w:color="auto"/>
      </w:divBdr>
    </w:div>
    <w:div w:id="1014649192">
      <w:bodyDiv w:val="1"/>
      <w:marLeft w:val="0"/>
      <w:marRight w:val="0"/>
      <w:marTop w:val="0"/>
      <w:marBottom w:val="0"/>
      <w:divBdr>
        <w:top w:val="none" w:sz="0" w:space="0" w:color="auto"/>
        <w:left w:val="none" w:sz="0" w:space="0" w:color="auto"/>
        <w:bottom w:val="none" w:sz="0" w:space="0" w:color="auto"/>
        <w:right w:val="none" w:sz="0" w:space="0" w:color="auto"/>
      </w:divBdr>
      <w:divsChild>
        <w:div w:id="922446216">
          <w:marLeft w:val="0"/>
          <w:marRight w:val="0"/>
          <w:marTop w:val="0"/>
          <w:marBottom w:val="0"/>
          <w:divBdr>
            <w:top w:val="none" w:sz="0" w:space="0" w:color="auto"/>
            <w:left w:val="none" w:sz="0" w:space="0" w:color="auto"/>
            <w:bottom w:val="none" w:sz="0" w:space="0" w:color="auto"/>
            <w:right w:val="none" w:sz="0" w:space="0" w:color="auto"/>
          </w:divBdr>
          <w:divsChild>
            <w:div w:id="1004673744">
              <w:marLeft w:val="0"/>
              <w:marRight w:val="0"/>
              <w:marTop w:val="0"/>
              <w:marBottom w:val="0"/>
              <w:divBdr>
                <w:top w:val="none" w:sz="0" w:space="0" w:color="auto"/>
                <w:left w:val="none" w:sz="0" w:space="0" w:color="auto"/>
                <w:bottom w:val="none" w:sz="0" w:space="0" w:color="auto"/>
                <w:right w:val="none" w:sz="0" w:space="0" w:color="auto"/>
              </w:divBdr>
              <w:divsChild>
                <w:div w:id="282542015">
                  <w:marLeft w:val="0"/>
                  <w:marRight w:val="0"/>
                  <w:marTop w:val="0"/>
                  <w:marBottom w:val="0"/>
                  <w:divBdr>
                    <w:top w:val="none" w:sz="0" w:space="0" w:color="auto"/>
                    <w:left w:val="none" w:sz="0" w:space="0" w:color="auto"/>
                    <w:bottom w:val="none" w:sz="0" w:space="0" w:color="auto"/>
                    <w:right w:val="none" w:sz="0" w:space="0" w:color="auto"/>
                  </w:divBdr>
                </w:div>
                <w:div w:id="803886580">
                  <w:marLeft w:val="0"/>
                  <w:marRight w:val="0"/>
                  <w:marTop w:val="0"/>
                  <w:marBottom w:val="0"/>
                  <w:divBdr>
                    <w:top w:val="none" w:sz="0" w:space="0" w:color="auto"/>
                    <w:left w:val="none" w:sz="0" w:space="0" w:color="auto"/>
                    <w:bottom w:val="none" w:sz="0" w:space="0" w:color="auto"/>
                    <w:right w:val="none" w:sz="0" w:space="0" w:color="auto"/>
                  </w:divBdr>
                </w:div>
                <w:div w:id="293367522">
                  <w:marLeft w:val="0"/>
                  <w:marRight w:val="0"/>
                  <w:marTop w:val="0"/>
                  <w:marBottom w:val="0"/>
                  <w:divBdr>
                    <w:top w:val="none" w:sz="0" w:space="0" w:color="auto"/>
                    <w:left w:val="none" w:sz="0" w:space="0" w:color="auto"/>
                    <w:bottom w:val="none" w:sz="0" w:space="0" w:color="auto"/>
                    <w:right w:val="none" w:sz="0" w:space="0" w:color="auto"/>
                  </w:divBdr>
                </w:div>
                <w:div w:id="2036228731">
                  <w:marLeft w:val="0"/>
                  <w:marRight w:val="0"/>
                  <w:marTop w:val="0"/>
                  <w:marBottom w:val="0"/>
                  <w:divBdr>
                    <w:top w:val="none" w:sz="0" w:space="0" w:color="auto"/>
                    <w:left w:val="none" w:sz="0" w:space="0" w:color="auto"/>
                    <w:bottom w:val="none" w:sz="0" w:space="0" w:color="auto"/>
                    <w:right w:val="none" w:sz="0" w:space="0" w:color="auto"/>
                  </w:divBdr>
                </w:div>
                <w:div w:id="871918519">
                  <w:marLeft w:val="0"/>
                  <w:marRight w:val="0"/>
                  <w:marTop w:val="0"/>
                  <w:marBottom w:val="0"/>
                  <w:divBdr>
                    <w:top w:val="none" w:sz="0" w:space="0" w:color="auto"/>
                    <w:left w:val="none" w:sz="0" w:space="0" w:color="auto"/>
                    <w:bottom w:val="none" w:sz="0" w:space="0" w:color="auto"/>
                    <w:right w:val="none" w:sz="0" w:space="0" w:color="auto"/>
                  </w:divBdr>
                </w:div>
                <w:div w:id="1691829914">
                  <w:marLeft w:val="0"/>
                  <w:marRight w:val="0"/>
                  <w:marTop w:val="0"/>
                  <w:marBottom w:val="0"/>
                  <w:divBdr>
                    <w:top w:val="none" w:sz="0" w:space="0" w:color="auto"/>
                    <w:left w:val="none" w:sz="0" w:space="0" w:color="auto"/>
                    <w:bottom w:val="none" w:sz="0" w:space="0" w:color="auto"/>
                    <w:right w:val="none" w:sz="0" w:space="0" w:color="auto"/>
                  </w:divBdr>
                </w:div>
                <w:div w:id="682323052">
                  <w:marLeft w:val="0"/>
                  <w:marRight w:val="0"/>
                  <w:marTop w:val="0"/>
                  <w:marBottom w:val="0"/>
                  <w:divBdr>
                    <w:top w:val="none" w:sz="0" w:space="0" w:color="auto"/>
                    <w:left w:val="none" w:sz="0" w:space="0" w:color="auto"/>
                    <w:bottom w:val="none" w:sz="0" w:space="0" w:color="auto"/>
                    <w:right w:val="none" w:sz="0" w:space="0" w:color="auto"/>
                  </w:divBdr>
                </w:div>
                <w:div w:id="335809304">
                  <w:marLeft w:val="0"/>
                  <w:marRight w:val="0"/>
                  <w:marTop w:val="0"/>
                  <w:marBottom w:val="0"/>
                  <w:divBdr>
                    <w:top w:val="none" w:sz="0" w:space="0" w:color="auto"/>
                    <w:left w:val="none" w:sz="0" w:space="0" w:color="auto"/>
                    <w:bottom w:val="none" w:sz="0" w:space="0" w:color="auto"/>
                    <w:right w:val="none" w:sz="0" w:space="0" w:color="auto"/>
                  </w:divBdr>
                </w:div>
                <w:div w:id="548345784">
                  <w:marLeft w:val="0"/>
                  <w:marRight w:val="0"/>
                  <w:marTop w:val="0"/>
                  <w:marBottom w:val="0"/>
                  <w:divBdr>
                    <w:top w:val="none" w:sz="0" w:space="0" w:color="auto"/>
                    <w:left w:val="none" w:sz="0" w:space="0" w:color="auto"/>
                    <w:bottom w:val="none" w:sz="0" w:space="0" w:color="auto"/>
                    <w:right w:val="none" w:sz="0" w:space="0" w:color="auto"/>
                  </w:divBdr>
                </w:div>
                <w:div w:id="1986007006">
                  <w:marLeft w:val="0"/>
                  <w:marRight w:val="0"/>
                  <w:marTop w:val="0"/>
                  <w:marBottom w:val="0"/>
                  <w:divBdr>
                    <w:top w:val="none" w:sz="0" w:space="0" w:color="auto"/>
                    <w:left w:val="none" w:sz="0" w:space="0" w:color="auto"/>
                    <w:bottom w:val="none" w:sz="0" w:space="0" w:color="auto"/>
                    <w:right w:val="none" w:sz="0" w:space="0" w:color="auto"/>
                  </w:divBdr>
                </w:div>
                <w:div w:id="1448425489">
                  <w:marLeft w:val="0"/>
                  <w:marRight w:val="0"/>
                  <w:marTop w:val="0"/>
                  <w:marBottom w:val="0"/>
                  <w:divBdr>
                    <w:top w:val="none" w:sz="0" w:space="0" w:color="auto"/>
                    <w:left w:val="none" w:sz="0" w:space="0" w:color="auto"/>
                    <w:bottom w:val="none" w:sz="0" w:space="0" w:color="auto"/>
                    <w:right w:val="none" w:sz="0" w:space="0" w:color="auto"/>
                  </w:divBdr>
                </w:div>
                <w:div w:id="245308099">
                  <w:marLeft w:val="0"/>
                  <w:marRight w:val="0"/>
                  <w:marTop w:val="0"/>
                  <w:marBottom w:val="0"/>
                  <w:divBdr>
                    <w:top w:val="none" w:sz="0" w:space="0" w:color="auto"/>
                    <w:left w:val="none" w:sz="0" w:space="0" w:color="auto"/>
                    <w:bottom w:val="none" w:sz="0" w:space="0" w:color="auto"/>
                    <w:right w:val="none" w:sz="0" w:space="0" w:color="auto"/>
                  </w:divBdr>
                </w:div>
                <w:div w:id="997416053">
                  <w:marLeft w:val="0"/>
                  <w:marRight w:val="0"/>
                  <w:marTop w:val="0"/>
                  <w:marBottom w:val="0"/>
                  <w:divBdr>
                    <w:top w:val="none" w:sz="0" w:space="0" w:color="auto"/>
                    <w:left w:val="none" w:sz="0" w:space="0" w:color="auto"/>
                    <w:bottom w:val="none" w:sz="0" w:space="0" w:color="auto"/>
                    <w:right w:val="none" w:sz="0" w:space="0" w:color="auto"/>
                  </w:divBdr>
                </w:div>
                <w:div w:id="376970674">
                  <w:marLeft w:val="0"/>
                  <w:marRight w:val="0"/>
                  <w:marTop w:val="0"/>
                  <w:marBottom w:val="0"/>
                  <w:divBdr>
                    <w:top w:val="none" w:sz="0" w:space="0" w:color="auto"/>
                    <w:left w:val="none" w:sz="0" w:space="0" w:color="auto"/>
                    <w:bottom w:val="none" w:sz="0" w:space="0" w:color="auto"/>
                    <w:right w:val="none" w:sz="0" w:space="0" w:color="auto"/>
                  </w:divBdr>
                </w:div>
                <w:div w:id="1318070769">
                  <w:marLeft w:val="0"/>
                  <w:marRight w:val="0"/>
                  <w:marTop w:val="0"/>
                  <w:marBottom w:val="0"/>
                  <w:divBdr>
                    <w:top w:val="none" w:sz="0" w:space="0" w:color="auto"/>
                    <w:left w:val="none" w:sz="0" w:space="0" w:color="auto"/>
                    <w:bottom w:val="none" w:sz="0" w:space="0" w:color="auto"/>
                    <w:right w:val="none" w:sz="0" w:space="0" w:color="auto"/>
                  </w:divBdr>
                </w:div>
                <w:div w:id="168833558">
                  <w:marLeft w:val="0"/>
                  <w:marRight w:val="0"/>
                  <w:marTop w:val="0"/>
                  <w:marBottom w:val="0"/>
                  <w:divBdr>
                    <w:top w:val="none" w:sz="0" w:space="0" w:color="auto"/>
                    <w:left w:val="none" w:sz="0" w:space="0" w:color="auto"/>
                    <w:bottom w:val="none" w:sz="0" w:space="0" w:color="auto"/>
                    <w:right w:val="none" w:sz="0" w:space="0" w:color="auto"/>
                  </w:divBdr>
                </w:div>
                <w:div w:id="32704327">
                  <w:marLeft w:val="0"/>
                  <w:marRight w:val="0"/>
                  <w:marTop w:val="0"/>
                  <w:marBottom w:val="0"/>
                  <w:divBdr>
                    <w:top w:val="none" w:sz="0" w:space="0" w:color="auto"/>
                    <w:left w:val="none" w:sz="0" w:space="0" w:color="auto"/>
                    <w:bottom w:val="none" w:sz="0" w:space="0" w:color="auto"/>
                    <w:right w:val="none" w:sz="0" w:space="0" w:color="auto"/>
                  </w:divBdr>
                </w:div>
                <w:div w:id="721750670">
                  <w:marLeft w:val="0"/>
                  <w:marRight w:val="0"/>
                  <w:marTop w:val="0"/>
                  <w:marBottom w:val="0"/>
                  <w:divBdr>
                    <w:top w:val="none" w:sz="0" w:space="0" w:color="auto"/>
                    <w:left w:val="none" w:sz="0" w:space="0" w:color="auto"/>
                    <w:bottom w:val="none" w:sz="0" w:space="0" w:color="auto"/>
                    <w:right w:val="none" w:sz="0" w:space="0" w:color="auto"/>
                  </w:divBdr>
                </w:div>
                <w:div w:id="1923372654">
                  <w:marLeft w:val="0"/>
                  <w:marRight w:val="0"/>
                  <w:marTop w:val="0"/>
                  <w:marBottom w:val="0"/>
                  <w:divBdr>
                    <w:top w:val="none" w:sz="0" w:space="0" w:color="auto"/>
                    <w:left w:val="none" w:sz="0" w:space="0" w:color="auto"/>
                    <w:bottom w:val="none" w:sz="0" w:space="0" w:color="auto"/>
                    <w:right w:val="none" w:sz="0" w:space="0" w:color="auto"/>
                  </w:divBdr>
                </w:div>
                <w:div w:id="1461805296">
                  <w:marLeft w:val="0"/>
                  <w:marRight w:val="0"/>
                  <w:marTop w:val="0"/>
                  <w:marBottom w:val="0"/>
                  <w:divBdr>
                    <w:top w:val="none" w:sz="0" w:space="0" w:color="auto"/>
                    <w:left w:val="none" w:sz="0" w:space="0" w:color="auto"/>
                    <w:bottom w:val="none" w:sz="0" w:space="0" w:color="auto"/>
                    <w:right w:val="none" w:sz="0" w:space="0" w:color="auto"/>
                  </w:divBdr>
                </w:div>
                <w:div w:id="1796555925">
                  <w:marLeft w:val="0"/>
                  <w:marRight w:val="0"/>
                  <w:marTop w:val="0"/>
                  <w:marBottom w:val="0"/>
                  <w:divBdr>
                    <w:top w:val="none" w:sz="0" w:space="0" w:color="auto"/>
                    <w:left w:val="none" w:sz="0" w:space="0" w:color="auto"/>
                    <w:bottom w:val="none" w:sz="0" w:space="0" w:color="auto"/>
                    <w:right w:val="none" w:sz="0" w:space="0" w:color="auto"/>
                  </w:divBdr>
                </w:div>
                <w:div w:id="574781388">
                  <w:marLeft w:val="0"/>
                  <w:marRight w:val="0"/>
                  <w:marTop w:val="0"/>
                  <w:marBottom w:val="0"/>
                  <w:divBdr>
                    <w:top w:val="none" w:sz="0" w:space="0" w:color="auto"/>
                    <w:left w:val="none" w:sz="0" w:space="0" w:color="auto"/>
                    <w:bottom w:val="none" w:sz="0" w:space="0" w:color="auto"/>
                    <w:right w:val="none" w:sz="0" w:space="0" w:color="auto"/>
                  </w:divBdr>
                </w:div>
                <w:div w:id="1788306140">
                  <w:marLeft w:val="0"/>
                  <w:marRight w:val="0"/>
                  <w:marTop w:val="0"/>
                  <w:marBottom w:val="0"/>
                  <w:divBdr>
                    <w:top w:val="none" w:sz="0" w:space="0" w:color="auto"/>
                    <w:left w:val="none" w:sz="0" w:space="0" w:color="auto"/>
                    <w:bottom w:val="none" w:sz="0" w:space="0" w:color="auto"/>
                    <w:right w:val="none" w:sz="0" w:space="0" w:color="auto"/>
                  </w:divBdr>
                </w:div>
                <w:div w:id="1160853485">
                  <w:marLeft w:val="0"/>
                  <w:marRight w:val="0"/>
                  <w:marTop w:val="0"/>
                  <w:marBottom w:val="0"/>
                  <w:divBdr>
                    <w:top w:val="none" w:sz="0" w:space="0" w:color="auto"/>
                    <w:left w:val="none" w:sz="0" w:space="0" w:color="auto"/>
                    <w:bottom w:val="none" w:sz="0" w:space="0" w:color="auto"/>
                    <w:right w:val="none" w:sz="0" w:space="0" w:color="auto"/>
                  </w:divBdr>
                </w:div>
                <w:div w:id="100227664">
                  <w:marLeft w:val="0"/>
                  <w:marRight w:val="0"/>
                  <w:marTop w:val="0"/>
                  <w:marBottom w:val="0"/>
                  <w:divBdr>
                    <w:top w:val="none" w:sz="0" w:space="0" w:color="auto"/>
                    <w:left w:val="none" w:sz="0" w:space="0" w:color="auto"/>
                    <w:bottom w:val="none" w:sz="0" w:space="0" w:color="auto"/>
                    <w:right w:val="none" w:sz="0" w:space="0" w:color="auto"/>
                  </w:divBdr>
                </w:div>
                <w:div w:id="1348097851">
                  <w:marLeft w:val="0"/>
                  <w:marRight w:val="0"/>
                  <w:marTop w:val="0"/>
                  <w:marBottom w:val="0"/>
                  <w:divBdr>
                    <w:top w:val="none" w:sz="0" w:space="0" w:color="auto"/>
                    <w:left w:val="none" w:sz="0" w:space="0" w:color="auto"/>
                    <w:bottom w:val="none" w:sz="0" w:space="0" w:color="auto"/>
                    <w:right w:val="none" w:sz="0" w:space="0" w:color="auto"/>
                  </w:divBdr>
                </w:div>
                <w:div w:id="185678406">
                  <w:marLeft w:val="0"/>
                  <w:marRight w:val="0"/>
                  <w:marTop w:val="0"/>
                  <w:marBottom w:val="0"/>
                  <w:divBdr>
                    <w:top w:val="none" w:sz="0" w:space="0" w:color="auto"/>
                    <w:left w:val="none" w:sz="0" w:space="0" w:color="auto"/>
                    <w:bottom w:val="none" w:sz="0" w:space="0" w:color="auto"/>
                    <w:right w:val="none" w:sz="0" w:space="0" w:color="auto"/>
                  </w:divBdr>
                </w:div>
                <w:div w:id="537014051">
                  <w:marLeft w:val="0"/>
                  <w:marRight w:val="0"/>
                  <w:marTop w:val="0"/>
                  <w:marBottom w:val="0"/>
                  <w:divBdr>
                    <w:top w:val="none" w:sz="0" w:space="0" w:color="auto"/>
                    <w:left w:val="none" w:sz="0" w:space="0" w:color="auto"/>
                    <w:bottom w:val="none" w:sz="0" w:space="0" w:color="auto"/>
                    <w:right w:val="none" w:sz="0" w:space="0" w:color="auto"/>
                  </w:divBdr>
                </w:div>
                <w:div w:id="1574050785">
                  <w:marLeft w:val="0"/>
                  <w:marRight w:val="0"/>
                  <w:marTop w:val="0"/>
                  <w:marBottom w:val="0"/>
                  <w:divBdr>
                    <w:top w:val="none" w:sz="0" w:space="0" w:color="auto"/>
                    <w:left w:val="none" w:sz="0" w:space="0" w:color="auto"/>
                    <w:bottom w:val="none" w:sz="0" w:space="0" w:color="auto"/>
                    <w:right w:val="none" w:sz="0" w:space="0" w:color="auto"/>
                  </w:divBdr>
                </w:div>
                <w:div w:id="269091464">
                  <w:marLeft w:val="0"/>
                  <w:marRight w:val="0"/>
                  <w:marTop w:val="0"/>
                  <w:marBottom w:val="0"/>
                  <w:divBdr>
                    <w:top w:val="none" w:sz="0" w:space="0" w:color="auto"/>
                    <w:left w:val="none" w:sz="0" w:space="0" w:color="auto"/>
                    <w:bottom w:val="none" w:sz="0" w:space="0" w:color="auto"/>
                    <w:right w:val="none" w:sz="0" w:space="0" w:color="auto"/>
                  </w:divBdr>
                </w:div>
                <w:div w:id="487402507">
                  <w:marLeft w:val="0"/>
                  <w:marRight w:val="0"/>
                  <w:marTop w:val="0"/>
                  <w:marBottom w:val="0"/>
                  <w:divBdr>
                    <w:top w:val="none" w:sz="0" w:space="0" w:color="auto"/>
                    <w:left w:val="none" w:sz="0" w:space="0" w:color="auto"/>
                    <w:bottom w:val="none" w:sz="0" w:space="0" w:color="auto"/>
                    <w:right w:val="none" w:sz="0" w:space="0" w:color="auto"/>
                  </w:divBdr>
                </w:div>
                <w:div w:id="11235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2168">
          <w:marLeft w:val="0"/>
          <w:marRight w:val="0"/>
          <w:marTop w:val="0"/>
          <w:marBottom w:val="0"/>
          <w:divBdr>
            <w:top w:val="none" w:sz="0" w:space="0" w:color="auto"/>
            <w:left w:val="none" w:sz="0" w:space="0" w:color="auto"/>
            <w:bottom w:val="none" w:sz="0" w:space="0" w:color="auto"/>
            <w:right w:val="none" w:sz="0" w:space="0" w:color="auto"/>
          </w:divBdr>
        </w:div>
        <w:div w:id="1880698249">
          <w:marLeft w:val="0"/>
          <w:marRight w:val="0"/>
          <w:marTop w:val="0"/>
          <w:marBottom w:val="0"/>
          <w:divBdr>
            <w:top w:val="none" w:sz="0" w:space="0" w:color="auto"/>
            <w:left w:val="none" w:sz="0" w:space="0" w:color="auto"/>
            <w:bottom w:val="none" w:sz="0" w:space="0" w:color="auto"/>
            <w:right w:val="none" w:sz="0" w:space="0" w:color="auto"/>
          </w:divBdr>
        </w:div>
        <w:div w:id="2075349930">
          <w:marLeft w:val="0"/>
          <w:marRight w:val="0"/>
          <w:marTop w:val="0"/>
          <w:marBottom w:val="0"/>
          <w:divBdr>
            <w:top w:val="none" w:sz="0" w:space="0" w:color="auto"/>
            <w:left w:val="none" w:sz="0" w:space="0" w:color="auto"/>
            <w:bottom w:val="none" w:sz="0" w:space="0" w:color="auto"/>
            <w:right w:val="none" w:sz="0" w:space="0" w:color="auto"/>
          </w:divBdr>
        </w:div>
        <w:div w:id="786464677">
          <w:marLeft w:val="0"/>
          <w:marRight w:val="0"/>
          <w:marTop w:val="0"/>
          <w:marBottom w:val="0"/>
          <w:divBdr>
            <w:top w:val="none" w:sz="0" w:space="0" w:color="auto"/>
            <w:left w:val="none" w:sz="0" w:space="0" w:color="auto"/>
            <w:bottom w:val="none" w:sz="0" w:space="0" w:color="auto"/>
            <w:right w:val="none" w:sz="0" w:space="0" w:color="auto"/>
          </w:divBdr>
        </w:div>
        <w:div w:id="231695665">
          <w:marLeft w:val="0"/>
          <w:marRight w:val="0"/>
          <w:marTop w:val="0"/>
          <w:marBottom w:val="0"/>
          <w:divBdr>
            <w:top w:val="none" w:sz="0" w:space="0" w:color="auto"/>
            <w:left w:val="none" w:sz="0" w:space="0" w:color="auto"/>
            <w:bottom w:val="none" w:sz="0" w:space="0" w:color="auto"/>
            <w:right w:val="none" w:sz="0" w:space="0" w:color="auto"/>
          </w:divBdr>
        </w:div>
      </w:divsChild>
    </w:div>
    <w:div w:id="1041129629">
      <w:bodyDiv w:val="1"/>
      <w:marLeft w:val="0"/>
      <w:marRight w:val="0"/>
      <w:marTop w:val="0"/>
      <w:marBottom w:val="0"/>
      <w:divBdr>
        <w:top w:val="none" w:sz="0" w:space="0" w:color="auto"/>
        <w:left w:val="none" w:sz="0" w:space="0" w:color="auto"/>
        <w:bottom w:val="none" w:sz="0" w:space="0" w:color="auto"/>
        <w:right w:val="none" w:sz="0" w:space="0" w:color="auto"/>
      </w:divBdr>
    </w:div>
    <w:div w:id="1186404169">
      <w:bodyDiv w:val="1"/>
      <w:marLeft w:val="0"/>
      <w:marRight w:val="0"/>
      <w:marTop w:val="0"/>
      <w:marBottom w:val="0"/>
      <w:divBdr>
        <w:top w:val="none" w:sz="0" w:space="0" w:color="auto"/>
        <w:left w:val="none" w:sz="0" w:space="0" w:color="auto"/>
        <w:bottom w:val="none" w:sz="0" w:space="0" w:color="auto"/>
        <w:right w:val="none" w:sz="0" w:space="0" w:color="auto"/>
      </w:divBdr>
    </w:div>
    <w:div w:id="1230850051">
      <w:bodyDiv w:val="1"/>
      <w:marLeft w:val="0"/>
      <w:marRight w:val="0"/>
      <w:marTop w:val="0"/>
      <w:marBottom w:val="0"/>
      <w:divBdr>
        <w:top w:val="none" w:sz="0" w:space="0" w:color="auto"/>
        <w:left w:val="none" w:sz="0" w:space="0" w:color="auto"/>
        <w:bottom w:val="none" w:sz="0" w:space="0" w:color="auto"/>
        <w:right w:val="none" w:sz="0" w:space="0" w:color="auto"/>
      </w:divBdr>
    </w:div>
    <w:div w:id="1309557748">
      <w:bodyDiv w:val="1"/>
      <w:marLeft w:val="0"/>
      <w:marRight w:val="0"/>
      <w:marTop w:val="0"/>
      <w:marBottom w:val="0"/>
      <w:divBdr>
        <w:top w:val="none" w:sz="0" w:space="0" w:color="auto"/>
        <w:left w:val="none" w:sz="0" w:space="0" w:color="auto"/>
        <w:bottom w:val="none" w:sz="0" w:space="0" w:color="auto"/>
        <w:right w:val="none" w:sz="0" w:space="0" w:color="auto"/>
      </w:divBdr>
      <w:divsChild>
        <w:div w:id="879635901">
          <w:marLeft w:val="0"/>
          <w:marRight w:val="0"/>
          <w:marTop w:val="0"/>
          <w:marBottom w:val="0"/>
          <w:divBdr>
            <w:top w:val="none" w:sz="0" w:space="0" w:color="auto"/>
            <w:left w:val="none" w:sz="0" w:space="0" w:color="auto"/>
            <w:bottom w:val="none" w:sz="0" w:space="0" w:color="auto"/>
            <w:right w:val="none" w:sz="0" w:space="0" w:color="auto"/>
          </w:divBdr>
        </w:div>
      </w:divsChild>
    </w:div>
    <w:div w:id="1501655844">
      <w:bodyDiv w:val="1"/>
      <w:marLeft w:val="0"/>
      <w:marRight w:val="0"/>
      <w:marTop w:val="0"/>
      <w:marBottom w:val="0"/>
      <w:divBdr>
        <w:top w:val="none" w:sz="0" w:space="0" w:color="auto"/>
        <w:left w:val="none" w:sz="0" w:space="0" w:color="auto"/>
        <w:bottom w:val="none" w:sz="0" w:space="0" w:color="auto"/>
        <w:right w:val="none" w:sz="0" w:space="0" w:color="auto"/>
      </w:divBdr>
      <w:divsChild>
        <w:div w:id="821702215">
          <w:marLeft w:val="0"/>
          <w:marRight w:val="0"/>
          <w:marTop w:val="0"/>
          <w:marBottom w:val="0"/>
          <w:divBdr>
            <w:top w:val="none" w:sz="0" w:space="0" w:color="auto"/>
            <w:left w:val="none" w:sz="0" w:space="0" w:color="auto"/>
            <w:bottom w:val="none" w:sz="0" w:space="0" w:color="auto"/>
            <w:right w:val="none" w:sz="0" w:space="0" w:color="auto"/>
          </w:divBdr>
        </w:div>
        <w:div w:id="1865635272">
          <w:marLeft w:val="0"/>
          <w:marRight w:val="0"/>
          <w:marTop w:val="0"/>
          <w:marBottom w:val="0"/>
          <w:divBdr>
            <w:top w:val="none" w:sz="0" w:space="0" w:color="auto"/>
            <w:left w:val="none" w:sz="0" w:space="0" w:color="auto"/>
            <w:bottom w:val="none" w:sz="0" w:space="0" w:color="auto"/>
            <w:right w:val="none" w:sz="0" w:space="0" w:color="auto"/>
          </w:divBdr>
        </w:div>
        <w:div w:id="2136562628">
          <w:marLeft w:val="0"/>
          <w:marRight w:val="0"/>
          <w:marTop w:val="0"/>
          <w:marBottom w:val="0"/>
          <w:divBdr>
            <w:top w:val="none" w:sz="0" w:space="0" w:color="auto"/>
            <w:left w:val="none" w:sz="0" w:space="0" w:color="auto"/>
            <w:bottom w:val="none" w:sz="0" w:space="0" w:color="auto"/>
            <w:right w:val="none" w:sz="0" w:space="0" w:color="auto"/>
          </w:divBdr>
        </w:div>
        <w:div w:id="181016755">
          <w:marLeft w:val="0"/>
          <w:marRight w:val="0"/>
          <w:marTop w:val="0"/>
          <w:marBottom w:val="0"/>
          <w:divBdr>
            <w:top w:val="none" w:sz="0" w:space="0" w:color="auto"/>
            <w:left w:val="none" w:sz="0" w:space="0" w:color="auto"/>
            <w:bottom w:val="none" w:sz="0" w:space="0" w:color="auto"/>
            <w:right w:val="none" w:sz="0" w:space="0" w:color="auto"/>
          </w:divBdr>
        </w:div>
        <w:div w:id="185171483">
          <w:marLeft w:val="0"/>
          <w:marRight w:val="0"/>
          <w:marTop w:val="0"/>
          <w:marBottom w:val="0"/>
          <w:divBdr>
            <w:top w:val="none" w:sz="0" w:space="0" w:color="auto"/>
            <w:left w:val="none" w:sz="0" w:space="0" w:color="auto"/>
            <w:bottom w:val="none" w:sz="0" w:space="0" w:color="auto"/>
            <w:right w:val="none" w:sz="0" w:space="0" w:color="auto"/>
          </w:divBdr>
        </w:div>
        <w:div w:id="285819738">
          <w:marLeft w:val="0"/>
          <w:marRight w:val="0"/>
          <w:marTop w:val="0"/>
          <w:marBottom w:val="0"/>
          <w:divBdr>
            <w:top w:val="none" w:sz="0" w:space="0" w:color="auto"/>
            <w:left w:val="none" w:sz="0" w:space="0" w:color="auto"/>
            <w:bottom w:val="none" w:sz="0" w:space="0" w:color="auto"/>
            <w:right w:val="none" w:sz="0" w:space="0" w:color="auto"/>
          </w:divBdr>
        </w:div>
        <w:div w:id="1947691773">
          <w:marLeft w:val="0"/>
          <w:marRight w:val="0"/>
          <w:marTop w:val="0"/>
          <w:marBottom w:val="0"/>
          <w:divBdr>
            <w:top w:val="none" w:sz="0" w:space="0" w:color="auto"/>
            <w:left w:val="none" w:sz="0" w:space="0" w:color="auto"/>
            <w:bottom w:val="none" w:sz="0" w:space="0" w:color="auto"/>
            <w:right w:val="none" w:sz="0" w:space="0" w:color="auto"/>
          </w:divBdr>
        </w:div>
        <w:div w:id="429277860">
          <w:marLeft w:val="0"/>
          <w:marRight w:val="0"/>
          <w:marTop w:val="0"/>
          <w:marBottom w:val="0"/>
          <w:divBdr>
            <w:top w:val="none" w:sz="0" w:space="0" w:color="auto"/>
            <w:left w:val="none" w:sz="0" w:space="0" w:color="auto"/>
            <w:bottom w:val="none" w:sz="0" w:space="0" w:color="auto"/>
            <w:right w:val="none" w:sz="0" w:space="0" w:color="auto"/>
          </w:divBdr>
        </w:div>
        <w:div w:id="831725859">
          <w:marLeft w:val="0"/>
          <w:marRight w:val="0"/>
          <w:marTop w:val="0"/>
          <w:marBottom w:val="0"/>
          <w:divBdr>
            <w:top w:val="none" w:sz="0" w:space="0" w:color="auto"/>
            <w:left w:val="none" w:sz="0" w:space="0" w:color="auto"/>
            <w:bottom w:val="none" w:sz="0" w:space="0" w:color="auto"/>
            <w:right w:val="none" w:sz="0" w:space="0" w:color="auto"/>
          </w:divBdr>
        </w:div>
        <w:div w:id="1599361790">
          <w:marLeft w:val="0"/>
          <w:marRight w:val="0"/>
          <w:marTop w:val="0"/>
          <w:marBottom w:val="0"/>
          <w:divBdr>
            <w:top w:val="none" w:sz="0" w:space="0" w:color="auto"/>
            <w:left w:val="none" w:sz="0" w:space="0" w:color="auto"/>
            <w:bottom w:val="none" w:sz="0" w:space="0" w:color="auto"/>
            <w:right w:val="none" w:sz="0" w:space="0" w:color="auto"/>
          </w:divBdr>
        </w:div>
        <w:div w:id="1960137961">
          <w:marLeft w:val="0"/>
          <w:marRight w:val="0"/>
          <w:marTop w:val="0"/>
          <w:marBottom w:val="0"/>
          <w:divBdr>
            <w:top w:val="none" w:sz="0" w:space="0" w:color="auto"/>
            <w:left w:val="none" w:sz="0" w:space="0" w:color="auto"/>
            <w:bottom w:val="none" w:sz="0" w:space="0" w:color="auto"/>
            <w:right w:val="none" w:sz="0" w:space="0" w:color="auto"/>
          </w:divBdr>
        </w:div>
        <w:div w:id="196160715">
          <w:marLeft w:val="0"/>
          <w:marRight w:val="0"/>
          <w:marTop w:val="0"/>
          <w:marBottom w:val="0"/>
          <w:divBdr>
            <w:top w:val="none" w:sz="0" w:space="0" w:color="auto"/>
            <w:left w:val="none" w:sz="0" w:space="0" w:color="auto"/>
            <w:bottom w:val="none" w:sz="0" w:space="0" w:color="auto"/>
            <w:right w:val="none" w:sz="0" w:space="0" w:color="auto"/>
          </w:divBdr>
        </w:div>
        <w:div w:id="1917353137">
          <w:marLeft w:val="0"/>
          <w:marRight w:val="0"/>
          <w:marTop w:val="0"/>
          <w:marBottom w:val="0"/>
          <w:divBdr>
            <w:top w:val="none" w:sz="0" w:space="0" w:color="auto"/>
            <w:left w:val="none" w:sz="0" w:space="0" w:color="auto"/>
            <w:bottom w:val="none" w:sz="0" w:space="0" w:color="auto"/>
            <w:right w:val="none" w:sz="0" w:space="0" w:color="auto"/>
          </w:divBdr>
        </w:div>
        <w:div w:id="969752497">
          <w:marLeft w:val="0"/>
          <w:marRight w:val="0"/>
          <w:marTop w:val="0"/>
          <w:marBottom w:val="0"/>
          <w:divBdr>
            <w:top w:val="none" w:sz="0" w:space="0" w:color="auto"/>
            <w:left w:val="none" w:sz="0" w:space="0" w:color="auto"/>
            <w:bottom w:val="none" w:sz="0" w:space="0" w:color="auto"/>
            <w:right w:val="none" w:sz="0" w:space="0" w:color="auto"/>
          </w:divBdr>
        </w:div>
        <w:div w:id="320155662">
          <w:marLeft w:val="0"/>
          <w:marRight w:val="0"/>
          <w:marTop w:val="0"/>
          <w:marBottom w:val="0"/>
          <w:divBdr>
            <w:top w:val="none" w:sz="0" w:space="0" w:color="auto"/>
            <w:left w:val="none" w:sz="0" w:space="0" w:color="auto"/>
            <w:bottom w:val="none" w:sz="0" w:space="0" w:color="auto"/>
            <w:right w:val="none" w:sz="0" w:space="0" w:color="auto"/>
          </w:divBdr>
        </w:div>
        <w:div w:id="369887832">
          <w:marLeft w:val="0"/>
          <w:marRight w:val="0"/>
          <w:marTop w:val="0"/>
          <w:marBottom w:val="0"/>
          <w:divBdr>
            <w:top w:val="none" w:sz="0" w:space="0" w:color="auto"/>
            <w:left w:val="none" w:sz="0" w:space="0" w:color="auto"/>
            <w:bottom w:val="none" w:sz="0" w:space="0" w:color="auto"/>
            <w:right w:val="none" w:sz="0" w:space="0" w:color="auto"/>
          </w:divBdr>
        </w:div>
      </w:divsChild>
    </w:div>
    <w:div w:id="1527861727">
      <w:bodyDiv w:val="1"/>
      <w:marLeft w:val="0"/>
      <w:marRight w:val="0"/>
      <w:marTop w:val="0"/>
      <w:marBottom w:val="0"/>
      <w:divBdr>
        <w:top w:val="none" w:sz="0" w:space="0" w:color="auto"/>
        <w:left w:val="none" w:sz="0" w:space="0" w:color="auto"/>
        <w:bottom w:val="none" w:sz="0" w:space="0" w:color="auto"/>
        <w:right w:val="none" w:sz="0" w:space="0" w:color="auto"/>
      </w:divBdr>
      <w:divsChild>
        <w:div w:id="105316678">
          <w:marLeft w:val="0"/>
          <w:marRight w:val="0"/>
          <w:marTop w:val="0"/>
          <w:marBottom w:val="0"/>
          <w:divBdr>
            <w:top w:val="none" w:sz="0" w:space="0" w:color="auto"/>
            <w:left w:val="none" w:sz="0" w:space="0" w:color="auto"/>
            <w:bottom w:val="none" w:sz="0" w:space="0" w:color="auto"/>
            <w:right w:val="none" w:sz="0" w:space="0" w:color="auto"/>
          </w:divBdr>
        </w:div>
      </w:divsChild>
    </w:div>
    <w:div w:id="1868056789">
      <w:bodyDiv w:val="1"/>
      <w:marLeft w:val="0"/>
      <w:marRight w:val="0"/>
      <w:marTop w:val="0"/>
      <w:marBottom w:val="0"/>
      <w:divBdr>
        <w:top w:val="none" w:sz="0" w:space="0" w:color="auto"/>
        <w:left w:val="none" w:sz="0" w:space="0" w:color="auto"/>
        <w:bottom w:val="none" w:sz="0" w:space="0" w:color="auto"/>
        <w:right w:val="none" w:sz="0" w:space="0" w:color="auto"/>
      </w:divBdr>
    </w:div>
    <w:div w:id="1959943777">
      <w:bodyDiv w:val="1"/>
      <w:marLeft w:val="0"/>
      <w:marRight w:val="0"/>
      <w:marTop w:val="0"/>
      <w:marBottom w:val="0"/>
      <w:divBdr>
        <w:top w:val="none" w:sz="0" w:space="0" w:color="auto"/>
        <w:left w:val="none" w:sz="0" w:space="0" w:color="auto"/>
        <w:bottom w:val="none" w:sz="0" w:space="0" w:color="auto"/>
        <w:right w:val="none" w:sz="0" w:space="0" w:color="auto"/>
      </w:divBdr>
      <w:divsChild>
        <w:div w:id="1169515150">
          <w:marLeft w:val="0"/>
          <w:marRight w:val="0"/>
          <w:marTop w:val="0"/>
          <w:marBottom w:val="0"/>
          <w:divBdr>
            <w:top w:val="none" w:sz="0" w:space="0" w:color="auto"/>
            <w:left w:val="none" w:sz="0" w:space="0" w:color="auto"/>
            <w:bottom w:val="none" w:sz="0" w:space="0" w:color="auto"/>
            <w:right w:val="none" w:sz="0" w:space="0" w:color="auto"/>
          </w:divBdr>
        </w:div>
      </w:divsChild>
    </w:div>
    <w:div w:id="2005862186">
      <w:bodyDiv w:val="1"/>
      <w:marLeft w:val="0"/>
      <w:marRight w:val="0"/>
      <w:marTop w:val="0"/>
      <w:marBottom w:val="0"/>
      <w:divBdr>
        <w:top w:val="none" w:sz="0" w:space="0" w:color="auto"/>
        <w:left w:val="none" w:sz="0" w:space="0" w:color="auto"/>
        <w:bottom w:val="none" w:sz="0" w:space="0" w:color="auto"/>
        <w:right w:val="none" w:sz="0" w:space="0" w:color="auto"/>
      </w:divBdr>
      <w:divsChild>
        <w:div w:id="104738302">
          <w:marLeft w:val="0"/>
          <w:marRight w:val="0"/>
          <w:marTop w:val="0"/>
          <w:marBottom w:val="0"/>
          <w:divBdr>
            <w:top w:val="none" w:sz="0" w:space="0" w:color="auto"/>
            <w:left w:val="none" w:sz="0" w:space="0" w:color="auto"/>
            <w:bottom w:val="none" w:sz="0" w:space="0" w:color="auto"/>
            <w:right w:val="none" w:sz="0" w:space="0" w:color="auto"/>
          </w:divBdr>
          <w:divsChild>
            <w:div w:id="770516104">
              <w:marLeft w:val="0"/>
              <w:marRight w:val="0"/>
              <w:marTop w:val="0"/>
              <w:marBottom w:val="0"/>
              <w:divBdr>
                <w:top w:val="none" w:sz="0" w:space="0" w:color="auto"/>
                <w:left w:val="none" w:sz="0" w:space="0" w:color="auto"/>
                <w:bottom w:val="none" w:sz="0" w:space="0" w:color="auto"/>
                <w:right w:val="none" w:sz="0" w:space="0" w:color="auto"/>
              </w:divBdr>
              <w:divsChild>
                <w:div w:id="1586065149">
                  <w:marLeft w:val="0"/>
                  <w:marRight w:val="0"/>
                  <w:marTop w:val="0"/>
                  <w:marBottom w:val="0"/>
                  <w:divBdr>
                    <w:top w:val="none" w:sz="0" w:space="0" w:color="auto"/>
                    <w:left w:val="none" w:sz="0" w:space="0" w:color="auto"/>
                    <w:bottom w:val="none" w:sz="0" w:space="0" w:color="auto"/>
                    <w:right w:val="none" w:sz="0" w:space="0" w:color="auto"/>
                  </w:divBdr>
                </w:div>
                <w:div w:id="381634627">
                  <w:marLeft w:val="0"/>
                  <w:marRight w:val="0"/>
                  <w:marTop w:val="0"/>
                  <w:marBottom w:val="0"/>
                  <w:divBdr>
                    <w:top w:val="none" w:sz="0" w:space="0" w:color="auto"/>
                    <w:left w:val="none" w:sz="0" w:space="0" w:color="auto"/>
                    <w:bottom w:val="none" w:sz="0" w:space="0" w:color="auto"/>
                    <w:right w:val="none" w:sz="0" w:space="0" w:color="auto"/>
                  </w:divBdr>
                </w:div>
                <w:div w:id="1472870979">
                  <w:marLeft w:val="0"/>
                  <w:marRight w:val="0"/>
                  <w:marTop w:val="0"/>
                  <w:marBottom w:val="0"/>
                  <w:divBdr>
                    <w:top w:val="none" w:sz="0" w:space="0" w:color="auto"/>
                    <w:left w:val="none" w:sz="0" w:space="0" w:color="auto"/>
                    <w:bottom w:val="none" w:sz="0" w:space="0" w:color="auto"/>
                    <w:right w:val="none" w:sz="0" w:space="0" w:color="auto"/>
                  </w:divBdr>
                </w:div>
                <w:div w:id="1129787902">
                  <w:marLeft w:val="0"/>
                  <w:marRight w:val="0"/>
                  <w:marTop w:val="0"/>
                  <w:marBottom w:val="0"/>
                  <w:divBdr>
                    <w:top w:val="none" w:sz="0" w:space="0" w:color="auto"/>
                    <w:left w:val="none" w:sz="0" w:space="0" w:color="auto"/>
                    <w:bottom w:val="none" w:sz="0" w:space="0" w:color="auto"/>
                    <w:right w:val="none" w:sz="0" w:space="0" w:color="auto"/>
                  </w:divBdr>
                </w:div>
                <w:div w:id="15084252">
                  <w:marLeft w:val="0"/>
                  <w:marRight w:val="0"/>
                  <w:marTop w:val="0"/>
                  <w:marBottom w:val="0"/>
                  <w:divBdr>
                    <w:top w:val="none" w:sz="0" w:space="0" w:color="auto"/>
                    <w:left w:val="none" w:sz="0" w:space="0" w:color="auto"/>
                    <w:bottom w:val="none" w:sz="0" w:space="0" w:color="auto"/>
                    <w:right w:val="none" w:sz="0" w:space="0" w:color="auto"/>
                  </w:divBdr>
                </w:div>
                <w:div w:id="1159736387">
                  <w:marLeft w:val="0"/>
                  <w:marRight w:val="0"/>
                  <w:marTop w:val="0"/>
                  <w:marBottom w:val="0"/>
                  <w:divBdr>
                    <w:top w:val="none" w:sz="0" w:space="0" w:color="auto"/>
                    <w:left w:val="none" w:sz="0" w:space="0" w:color="auto"/>
                    <w:bottom w:val="none" w:sz="0" w:space="0" w:color="auto"/>
                    <w:right w:val="none" w:sz="0" w:space="0" w:color="auto"/>
                  </w:divBdr>
                </w:div>
                <w:div w:id="579413028">
                  <w:marLeft w:val="0"/>
                  <w:marRight w:val="0"/>
                  <w:marTop w:val="0"/>
                  <w:marBottom w:val="0"/>
                  <w:divBdr>
                    <w:top w:val="none" w:sz="0" w:space="0" w:color="auto"/>
                    <w:left w:val="none" w:sz="0" w:space="0" w:color="auto"/>
                    <w:bottom w:val="none" w:sz="0" w:space="0" w:color="auto"/>
                    <w:right w:val="none" w:sz="0" w:space="0" w:color="auto"/>
                  </w:divBdr>
                </w:div>
                <w:div w:id="178205740">
                  <w:marLeft w:val="0"/>
                  <w:marRight w:val="0"/>
                  <w:marTop w:val="0"/>
                  <w:marBottom w:val="0"/>
                  <w:divBdr>
                    <w:top w:val="none" w:sz="0" w:space="0" w:color="auto"/>
                    <w:left w:val="none" w:sz="0" w:space="0" w:color="auto"/>
                    <w:bottom w:val="none" w:sz="0" w:space="0" w:color="auto"/>
                    <w:right w:val="none" w:sz="0" w:space="0" w:color="auto"/>
                  </w:divBdr>
                </w:div>
                <w:div w:id="45180818">
                  <w:marLeft w:val="0"/>
                  <w:marRight w:val="0"/>
                  <w:marTop w:val="0"/>
                  <w:marBottom w:val="0"/>
                  <w:divBdr>
                    <w:top w:val="none" w:sz="0" w:space="0" w:color="auto"/>
                    <w:left w:val="none" w:sz="0" w:space="0" w:color="auto"/>
                    <w:bottom w:val="none" w:sz="0" w:space="0" w:color="auto"/>
                    <w:right w:val="none" w:sz="0" w:space="0" w:color="auto"/>
                  </w:divBdr>
                </w:div>
                <w:div w:id="1840003572">
                  <w:marLeft w:val="0"/>
                  <w:marRight w:val="0"/>
                  <w:marTop w:val="0"/>
                  <w:marBottom w:val="0"/>
                  <w:divBdr>
                    <w:top w:val="none" w:sz="0" w:space="0" w:color="auto"/>
                    <w:left w:val="none" w:sz="0" w:space="0" w:color="auto"/>
                    <w:bottom w:val="none" w:sz="0" w:space="0" w:color="auto"/>
                    <w:right w:val="none" w:sz="0" w:space="0" w:color="auto"/>
                  </w:divBdr>
                </w:div>
                <w:div w:id="1893997390">
                  <w:marLeft w:val="0"/>
                  <w:marRight w:val="0"/>
                  <w:marTop w:val="0"/>
                  <w:marBottom w:val="0"/>
                  <w:divBdr>
                    <w:top w:val="none" w:sz="0" w:space="0" w:color="auto"/>
                    <w:left w:val="none" w:sz="0" w:space="0" w:color="auto"/>
                    <w:bottom w:val="none" w:sz="0" w:space="0" w:color="auto"/>
                    <w:right w:val="none" w:sz="0" w:space="0" w:color="auto"/>
                  </w:divBdr>
                </w:div>
                <w:div w:id="266694778">
                  <w:marLeft w:val="0"/>
                  <w:marRight w:val="0"/>
                  <w:marTop w:val="0"/>
                  <w:marBottom w:val="0"/>
                  <w:divBdr>
                    <w:top w:val="none" w:sz="0" w:space="0" w:color="auto"/>
                    <w:left w:val="none" w:sz="0" w:space="0" w:color="auto"/>
                    <w:bottom w:val="none" w:sz="0" w:space="0" w:color="auto"/>
                    <w:right w:val="none" w:sz="0" w:space="0" w:color="auto"/>
                  </w:divBdr>
                </w:div>
                <w:div w:id="878974140">
                  <w:marLeft w:val="0"/>
                  <w:marRight w:val="0"/>
                  <w:marTop w:val="0"/>
                  <w:marBottom w:val="0"/>
                  <w:divBdr>
                    <w:top w:val="none" w:sz="0" w:space="0" w:color="auto"/>
                    <w:left w:val="none" w:sz="0" w:space="0" w:color="auto"/>
                    <w:bottom w:val="none" w:sz="0" w:space="0" w:color="auto"/>
                    <w:right w:val="none" w:sz="0" w:space="0" w:color="auto"/>
                  </w:divBdr>
                </w:div>
                <w:div w:id="1941374901">
                  <w:marLeft w:val="0"/>
                  <w:marRight w:val="0"/>
                  <w:marTop w:val="0"/>
                  <w:marBottom w:val="0"/>
                  <w:divBdr>
                    <w:top w:val="none" w:sz="0" w:space="0" w:color="auto"/>
                    <w:left w:val="none" w:sz="0" w:space="0" w:color="auto"/>
                    <w:bottom w:val="none" w:sz="0" w:space="0" w:color="auto"/>
                    <w:right w:val="none" w:sz="0" w:space="0" w:color="auto"/>
                  </w:divBdr>
                </w:div>
                <w:div w:id="648051469">
                  <w:marLeft w:val="0"/>
                  <w:marRight w:val="0"/>
                  <w:marTop w:val="0"/>
                  <w:marBottom w:val="0"/>
                  <w:divBdr>
                    <w:top w:val="none" w:sz="0" w:space="0" w:color="auto"/>
                    <w:left w:val="none" w:sz="0" w:space="0" w:color="auto"/>
                    <w:bottom w:val="none" w:sz="0" w:space="0" w:color="auto"/>
                    <w:right w:val="none" w:sz="0" w:space="0" w:color="auto"/>
                  </w:divBdr>
                </w:div>
                <w:div w:id="1620212854">
                  <w:marLeft w:val="0"/>
                  <w:marRight w:val="0"/>
                  <w:marTop w:val="0"/>
                  <w:marBottom w:val="0"/>
                  <w:divBdr>
                    <w:top w:val="none" w:sz="0" w:space="0" w:color="auto"/>
                    <w:left w:val="none" w:sz="0" w:space="0" w:color="auto"/>
                    <w:bottom w:val="none" w:sz="0" w:space="0" w:color="auto"/>
                    <w:right w:val="none" w:sz="0" w:space="0" w:color="auto"/>
                  </w:divBdr>
                </w:div>
                <w:div w:id="1689600901">
                  <w:marLeft w:val="0"/>
                  <w:marRight w:val="0"/>
                  <w:marTop w:val="0"/>
                  <w:marBottom w:val="0"/>
                  <w:divBdr>
                    <w:top w:val="none" w:sz="0" w:space="0" w:color="auto"/>
                    <w:left w:val="none" w:sz="0" w:space="0" w:color="auto"/>
                    <w:bottom w:val="none" w:sz="0" w:space="0" w:color="auto"/>
                    <w:right w:val="none" w:sz="0" w:space="0" w:color="auto"/>
                  </w:divBdr>
                </w:div>
                <w:div w:id="1615399586">
                  <w:marLeft w:val="0"/>
                  <w:marRight w:val="0"/>
                  <w:marTop w:val="0"/>
                  <w:marBottom w:val="0"/>
                  <w:divBdr>
                    <w:top w:val="none" w:sz="0" w:space="0" w:color="auto"/>
                    <w:left w:val="none" w:sz="0" w:space="0" w:color="auto"/>
                    <w:bottom w:val="none" w:sz="0" w:space="0" w:color="auto"/>
                    <w:right w:val="none" w:sz="0" w:space="0" w:color="auto"/>
                  </w:divBdr>
                </w:div>
                <w:div w:id="1946616752">
                  <w:marLeft w:val="0"/>
                  <w:marRight w:val="0"/>
                  <w:marTop w:val="0"/>
                  <w:marBottom w:val="0"/>
                  <w:divBdr>
                    <w:top w:val="none" w:sz="0" w:space="0" w:color="auto"/>
                    <w:left w:val="none" w:sz="0" w:space="0" w:color="auto"/>
                    <w:bottom w:val="none" w:sz="0" w:space="0" w:color="auto"/>
                    <w:right w:val="none" w:sz="0" w:space="0" w:color="auto"/>
                  </w:divBdr>
                </w:div>
                <w:div w:id="2068989760">
                  <w:marLeft w:val="0"/>
                  <w:marRight w:val="0"/>
                  <w:marTop w:val="0"/>
                  <w:marBottom w:val="0"/>
                  <w:divBdr>
                    <w:top w:val="none" w:sz="0" w:space="0" w:color="auto"/>
                    <w:left w:val="none" w:sz="0" w:space="0" w:color="auto"/>
                    <w:bottom w:val="none" w:sz="0" w:space="0" w:color="auto"/>
                    <w:right w:val="none" w:sz="0" w:space="0" w:color="auto"/>
                  </w:divBdr>
                </w:div>
                <w:div w:id="1941717483">
                  <w:marLeft w:val="0"/>
                  <w:marRight w:val="0"/>
                  <w:marTop w:val="0"/>
                  <w:marBottom w:val="0"/>
                  <w:divBdr>
                    <w:top w:val="none" w:sz="0" w:space="0" w:color="auto"/>
                    <w:left w:val="none" w:sz="0" w:space="0" w:color="auto"/>
                    <w:bottom w:val="none" w:sz="0" w:space="0" w:color="auto"/>
                    <w:right w:val="none" w:sz="0" w:space="0" w:color="auto"/>
                  </w:divBdr>
                </w:div>
                <w:div w:id="2033528741">
                  <w:marLeft w:val="0"/>
                  <w:marRight w:val="0"/>
                  <w:marTop w:val="0"/>
                  <w:marBottom w:val="0"/>
                  <w:divBdr>
                    <w:top w:val="none" w:sz="0" w:space="0" w:color="auto"/>
                    <w:left w:val="none" w:sz="0" w:space="0" w:color="auto"/>
                    <w:bottom w:val="none" w:sz="0" w:space="0" w:color="auto"/>
                    <w:right w:val="none" w:sz="0" w:space="0" w:color="auto"/>
                  </w:divBdr>
                </w:div>
                <w:div w:id="1364791112">
                  <w:marLeft w:val="0"/>
                  <w:marRight w:val="0"/>
                  <w:marTop w:val="0"/>
                  <w:marBottom w:val="0"/>
                  <w:divBdr>
                    <w:top w:val="none" w:sz="0" w:space="0" w:color="auto"/>
                    <w:left w:val="none" w:sz="0" w:space="0" w:color="auto"/>
                    <w:bottom w:val="none" w:sz="0" w:space="0" w:color="auto"/>
                    <w:right w:val="none" w:sz="0" w:space="0" w:color="auto"/>
                  </w:divBdr>
                </w:div>
                <w:div w:id="1484812330">
                  <w:marLeft w:val="0"/>
                  <w:marRight w:val="0"/>
                  <w:marTop w:val="0"/>
                  <w:marBottom w:val="0"/>
                  <w:divBdr>
                    <w:top w:val="none" w:sz="0" w:space="0" w:color="auto"/>
                    <w:left w:val="none" w:sz="0" w:space="0" w:color="auto"/>
                    <w:bottom w:val="none" w:sz="0" w:space="0" w:color="auto"/>
                    <w:right w:val="none" w:sz="0" w:space="0" w:color="auto"/>
                  </w:divBdr>
                </w:div>
                <w:div w:id="899368798">
                  <w:marLeft w:val="0"/>
                  <w:marRight w:val="0"/>
                  <w:marTop w:val="0"/>
                  <w:marBottom w:val="0"/>
                  <w:divBdr>
                    <w:top w:val="none" w:sz="0" w:space="0" w:color="auto"/>
                    <w:left w:val="none" w:sz="0" w:space="0" w:color="auto"/>
                    <w:bottom w:val="none" w:sz="0" w:space="0" w:color="auto"/>
                    <w:right w:val="none" w:sz="0" w:space="0" w:color="auto"/>
                  </w:divBdr>
                </w:div>
                <w:div w:id="86661316">
                  <w:marLeft w:val="0"/>
                  <w:marRight w:val="0"/>
                  <w:marTop w:val="0"/>
                  <w:marBottom w:val="0"/>
                  <w:divBdr>
                    <w:top w:val="none" w:sz="0" w:space="0" w:color="auto"/>
                    <w:left w:val="none" w:sz="0" w:space="0" w:color="auto"/>
                    <w:bottom w:val="none" w:sz="0" w:space="0" w:color="auto"/>
                    <w:right w:val="none" w:sz="0" w:space="0" w:color="auto"/>
                  </w:divBdr>
                </w:div>
                <w:div w:id="138378371">
                  <w:marLeft w:val="0"/>
                  <w:marRight w:val="0"/>
                  <w:marTop w:val="0"/>
                  <w:marBottom w:val="0"/>
                  <w:divBdr>
                    <w:top w:val="none" w:sz="0" w:space="0" w:color="auto"/>
                    <w:left w:val="none" w:sz="0" w:space="0" w:color="auto"/>
                    <w:bottom w:val="none" w:sz="0" w:space="0" w:color="auto"/>
                    <w:right w:val="none" w:sz="0" w:space="0" w:color="auto"/>
                  </w:divBdr>
                </w:div>
                <w:div w:id="1378550223">
                  <w:marLeft w:val="0"/>
                  <w:marRight w:val="0"/>
                  <w:marTop w:val="0"/>
                  <w:marBottom w:val="0"/>
                  <w:divBdr>
                    <w:top w:val="none" w:sz="0" w:space="0" w:color="auto"/>
                    <w:left w:val="none" w:sz="0" w:space="0" w:color="auto"/>
                    <w:bottom w:val="none" w:sz="0" w:space="0" w:color="auto"/>
                    <w:right w:val="none" w:sz="0" w:space="0" w:color="auto"/>
                  </w:divBdr>
                </w:div>
                <w:div w:id="1519002076">
                  <w:marLeft w:val="0"/>
                  <w:marRight w:val="0"/>
                  <w:marTop w:val="0"/>
                  <w:marBottom w:val="0"/>
                  <w:divBdr>
                    <w:top w:val="none" w:sz="0" w:space="0" w:color="auto"/>
                    <w:left w:val="none" w:sz="0" w:space="0" w:color="auto"/>
                    <w:bottom w:val="none" w:sz="0" w:space="0" w:color="auto"/>
                    <w:right w:val="none" w:sz="0" w:space="0" w:color="auto"/>
                  </w:divBdr>
                </w:div>
                <w:div w:id="69893375">
                  <w:marLeft w:val="0"/>
                  <w:marRight w:val="0"/>
                  <w:marTop w:val="0"/>
                  <w:marBottom w:val="0"/>
                  <w:divBdr>
                    <w:top w:val="none" w:sz="0" w:space="0" w:color="auto"/>
                    <w:left w:val="none" w:sz="0" w:space="0" w:color="auto"/>
                    <w:bottom w:val="none" w:sz="0" w:space="0" w:color="auto"/>
                    <w:right w:val="none" w:sz="0" w:space="0" w:color="auto"/>
                  </w:divBdr>
                </w:div>
                <w:div w:id="2045473469">
                  <w:marLeft w:val="0"/>
                  <w:marRight w:val="0"/>
                  <w:marTop w:val="0"/>
                  <w:marBottom w:val="0"/>
                  <w:divBdr>
                    <w:top w:val="none" w:sz="0" w:space="0" w:color="auto"/>
                    <w:left w:val="none" w:sz="0" w:space="0" w:color="auto"/>
                    <w:bottom w:val="none" w:sz="0" w:space="0" w:color="auto"/>
                    <w:right w:val="none" w:sz="0" w:space="0" w:color="auto"/>
                  </w:divBdr>
                </w:div>
                <w:div w:id="18873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5652">
          <w:marLeft w:val="0"/>
          <w:marRight w:val="0"/>
          <w:marTop w:val="0"/>
          <w:marBottom w:val="0"/>
          <w:divBdr>
            <w:top w:val="none" w:sz="0" w:space="0" w:color="auto"/>
            <w:left w:val="none" w:sz="0" w:space="0" w:color="auto"/>
            <w:bottom w:val="none" w:sz="0" w:space="0" w:color="auto"/>
            <w:right w:val="none" w:sz="0" w:space="0" w:color="auto"/>
          </w:divBdr>
        </w:div>
        <w:div w:id="147065517">
          <w:marLeft w:val="0"/>
          <w:marRight w:val="0"/>
          <w:marTop w:val="0"/>
          <w:marBottom w:val="0"/>
          <w:divBdr>
            <w:top w:val="none" w:sz="0" w:space="0" w:color="auto"/>
            <w:left w:val="none" w:sz="0" w:space="0" w:color="auto"/>
            <w:bottom w:val="none" w:sz="0" w:space="0" w:color="auto"/>
            <w:right w:val="none" w:sz="0" w:space="0" w:color="auto"/>
          </w:divBdr>
        </w:div>
        <w:div w:id="135026073">
          <w:marLeft w:val="0"/>
          <w:marRight w:val="0"/>
          <w:marTop w:val="0"/>
          <w:marBottom w:val="0"/>
          <w:divBdr>
            <w:top w:val="none" w:sz="0" w:space="0" w:color="auto"/>
            <w:left w:val="none" w:sz="0" w:space="0" w:color="auto"/>
            <w:bottom w:val="none" w:sz="0" w:space="0" w:color="auto"/>
            <w:right w:val="none" w:sz="0" w:space="0" w:color="auto"/>
          </w:divBdr>
        </w:div>
        <w:div w:id="2132505075">
          <w:marLeft w:val="0"/>
          <w:marRight w:val="0"/>
          <w:marTop w:val="0"/>
          <w:marBottom w:val="0"/>
          <w:divBdr>
            <w:top w:val="none" w:sz="0" w:space="0" w:color="auto"/>
            <w:left w:val="none" w:sz="0" w:space="0" w:color="auto"/>
            <w:bottom w:val="none" w:sz="0" w:space="0" w:color="auto"/>
            <w:right w:val="none" w:sz="0" w:space="0" w:color="auto"/>
          </w:divBdr>
        </w:div>
        <w:div w:id="63753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Doctor%20of%20Philosophy\PAPERS\1.%20Phytoplankton%20composition%20and%20distribution\phyto%20abundance.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Nitzschia</a:t>
            </a:r>
            <a:endParaRPr lang="en-US" sz="1000">
              <a:latin typeface="Tahoma" pitchFamily="34" charset="0"/>
              <a:ea typeface="Tahoma" pitchFamily="34" charset="0"/>
              <a:cs typeface="Tahoma" pitchFamily="34" charset="0"/>
            </a:endParaRPr>
          </a:p>
        </c:rich>
      </c:tx>
      <c:layout>
        <c:manualLayout>
          <c:xMode val="edge"/>
          <c:yMode val="edge"/>
          <c:x val="0.32251225133161265"/>
          <c:y val="5.1230877293476786E-2"/>
        </c:manualLayout>
      </c:layout>
      <c:overlay val="0"/>
    </c:title>
    <c:autoTitleDeleted val="0"/>
    <c:plotArea>
      <c:layout>
        <c:manualLayout>
          <c:layoutTarget val="inner"/>
          <c:xMode val="edge"/>
          <c:yMode val="edge"/>
          <c:x val="0.20001240079365079"/>
          <c:y val="0.21368227703547923"/>
          <c:w val="0.80485707344412605"/>
          <c:h val="0.74163653406980912"/>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genera!$C$68:$F$68</c:f>
              <c:numCache>
                <c:formatCode>0</c:formatCode>
                <c:ptCount val="4"/>
                <c:pt idx="0">
                  <c:v>44.833333333333336</c:v>
                </c:pt>
                <c:pt idx="1">
                  <c:v>373.05555555555554</c:v>
                </c:pt>
                <c:pt idx="2">
                  <c:v>296.11111111111109</c:v>
                </c:pt>
                <c:pt idx="3">
                  <c:v>32.529411764705912</c:v>
                </c:pt>
              </c:numCache>
            </c:numRef>
          </c:val>
          <c:extLst>
            <c:ext xmlns:c16="http://schemas.microsoft.com/office/drawing/2014/chart" uri="{C3380CC4-5D6E-409C-BE32-E72D297353CC}">
              <c16:uniqueId val="{00000000-47B8-42E8-837E-5C00FFB82C95}"/>
            </c:ext>
          </c:extLst>
        </c:ser>
        <c:dLbls>
          <c:showLegendKey val="0"/>
          <c:showVal val="0"/>
          <c:showCatName val="0"/>
          <c:showSerName val="0"/>
          <c:showPercent val="0"/>
          <c:showBubbleSize val="0"/>
        </c:dLbls>
        <c:gapWidth val="80"/>
        <c:overlap val="37"/>
        <c:axId val="114438912"/>
        <c:axId val="114463872"/>
      </c:barChart>
      <c:catAx>
        <c:axId val="114438912"/>
        <c:scaling>
          <c:orientation val="minMax"/>
        </c:scaling>
        <c:delete val="0"/>
        <c:axPos val="b"/>
        <c:numFmt formatCode="General" sourceLinked="0"/>
        <c:majorTickMark val="none"/>
        <c:minorTickMark val="none"/>
        <c:tickLblPos val="none"/>
        <c:txPr>
          <a:bodyPr/>
          <a:lstStyle/>
          <a:p>
            <a:pPr>
              <a:defRPr lang="en-US">
                <a:latin typeface="Tahoma" pitchFamily="34" charset="0"/>
                <a:ea typeface="Tahoma" pitchFamily="34" charset="0"/>
                <a:cs typeface="Tahoma" pitchFamily="34" charset="0"/>
              </a:defRPr>
            </a:pPr>
            <a:endParaRPr lang="en-US"/>
          </a:p>
        </c:txPr>
        <c:crossAx val="114463872"/>
        <c:crosses val="autoZero"/>
        <c:auto val="1"/>
        <c:lblAlgn val="ctr"/>
        <c:lblOffset val="100"/>
        <c:noMultiLvlLbl val="0"/>
      </c:catAx>
      <c:valAx>
        <c:axId val="114463872"/>
        <c:scaling>
          <c:orientation val="minMax"/>
          <c:max val="400"/>
        </c:scaling>
        <c:delete val="0"/>
        <c:axPos val="l"/>
        <c:numFmt formatCode="0" sourceLinked="1"/>
        <c:majorTickMark val="out"/>
        <c:minorTickMark val="none"/>
        <c:tickLblPos val="nextTo"/>
        <c:txPr>
          <a:bodyPr/>
          <a:lstStyle/>
          <a:p>
            <a:pPr>
              <a:defRPr lang="en-US">
                <a:latin typeface="Tahoma" pitchFamily="34" charset="0"/>
                <a:ea typeface="Tahoma" pitchFamily="34" charset="0"/>
                <a:cs typeface="Tahoma" pitchFamily="34" charset="0"/>
              </a:defRPr>
            </a:pPr>
            <a:endParaRPr lang="en-US"/>
          </a:p>
        </c:txPr>
        <c:crossAx val="114438912"/>
        <c:crosses val="autoZero"/>
        <c:crossBetween val="between"/>
        <c:majorUnit val="100"/>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Rhizosolenia</a:t>
            </a:r>
            <a:r>
              <a:rPr lang="en-US" sz="1000" baseline="0">
                <a:latin typeface="Tahoma" pitchFamily="34" charset="0"/>
                <a:ea typeface="Tahoma" pitchFamily="34" charset="0"/>
                <a:cs typeface="Tahoma" pitchFamily="34" charset="0"/>
              </a:rPr>
              <a:t> *</a:t>
            </a:r>
            <a:endParaRPr lang="en-US" sz="1000">
              <a:latin typeface="Tahoma" pitchFamily="34" charset="0"/>
              <a:ea typeface="Tahoma" pitchFamily="34" charset="0"/>
              <a:cs typeface="Tahoma" pitchFamily="34" charset="0"/>
            </a:endParaRPr>
          </a:p>
        </c:rich>
      </c:tx>
      <c:layout>
        <c:manualLayout>
          <c:xMode val="edge"/>
          <c:yMode val="edge"/>
          <c:x val="0.21507779081568629"/>
          <c:y val="5.1230877293476786E-2"/>
        </c:manualLayout>
      </c:layout>
      <c:overlay val="0"/>
    </c:title>
    <c:autoTitleDeleted val="0"/>
    <c:plotArea>
      <c:layout>
        <c:manualLayout>
          <c:layoutTarget val="inner"/>
          <c:xMode val="edge"/>
          <c:yMode val="edge"/>
          <c:x val="8.3540703874866742E-2"/>
          <c:y val="0.18457610982496409"/>
          <c:w val="0.91645929612514065"/>
          <c:h val="0.76240672173313651"/>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genera!$C$70:$F$70</c:f>
              <c:numCache>
                <c:formatCode>0</c:formatCode>
                <c:ptCount val="4"/>
                <c:pt idx="0">
                  <c:v>23.833333333332789</c:v>
                </c:pt>
                <c:pt idx="1">
                  <c:v>260.27777777777669</c:v>
                </c:pt>
                <c:pt idx="2">
                  <c:v>372.44444444444446</c:v>
                </c:pt>
                <c:pt idx="3">
                  <c:v>38.529411764705912</c:v>
                </c:pt>
              </c:numCache>
            </c:numRef>
          </c:val>
          <c:extLst>
            <c:ext xmlns:c16="http://schemas.microsoft.com/office/drawing/2014/chart" uri="{C3380CC4-5D6E-409C-BE32-E72D297353CC}">
              <c16:uniqueId val="{00000000-A614-497E-A75A-0B40AD8EBF59}"/>
            </c:ext>
          </c:extLst>
        </c:ser>
        <c:dLbls>
          <c:showLegendKey val="0"/>
          <c:showVal val="0"/>
          <c:showCatName val="0"/>
          <c:showSerName val="0"/>
          <c:showPercent val="0"/>
          <c:showBubbleSize val="0"/>
        </c:dLbls>
        <c:gapWidth val="81"/>
        <c:axId val="114547328"/>
        <c:axId val="114594176"/>
      </c:barChart>
      <c:catAx>
        <c:axId val="114547328"/>
        <c:scaling>
          <c:orientation val="minMax"/>
        </c:scaling>
        <c:delete val="0"/>
        <c:axPos val="b"/>
        <c:numFmt formatCode="General" sourceLinked="0"/>
        <c:majorTickMark val="none"/>
        <c:minorTickMark val="none"/>
        <c:tickLblPos val="none"/>
        <c:txPr>
          <a:bodyPr/>
          <a:lstStyle/>
          <a:p>
            <a:pPr>
              <a:defRPr lang="en-US">
                <a:latin typeface="Tahoma" pitchFamily="34" charset="0"/>
                <a:ea typeface="Tahoma" pitchFamily="34" charset="0"/>
                <a:cs typeface="Tahoma" pitchFamily="34" charset="0"/>
              </a:defRPr>
            </a:pPr>
            <a:endParaRPr lang="en-US"/>
          </a:p>
        </c:txPr>
        <c:crossAx val="114594176"/>
        <c:crosses val="autoZero"/>
        <c:auto val="1"/>
        <c:lblAlgn val="ctr"/>
        <c:lblOffset val="100"/>
        <c:noMultiLvlLbl val="0"/>
      </c:catAx>
      <c:valAx>
        <c:axId val="114594176"/>
        <c:scaling>
          <c:orientation val="minMax"/>
          <c:max val="400"/>
        </c:scaling>
        <c:delete val="0"/>
        <c:axPos val="l"/>
        <c:numFmt formatCode="0" sourceLinked="1"/>
        <c:majorTickMark val="out"/>
        <c:minorTickMark val="none"/>
        <c:tickLblPos val="none"/>
        <c:txPr>
          <a:bodyPr/>
          <a:lstStyle/>
          <a:p>
            <a:pPr>
              <a:defRPr lang="en-US">
                <a:latin typeface="Tahoma" pitchFamily="34" charset="0"/>
                <a:ea typeface="Tahoma" pitchFamily="34" charset="0"/>
                <a:cs typeface="Tahoma" pitchFamily="34" charset="0"/>
              </a:defRPr>
            </a:pPr>
            <a:endParaRPr lang="en-US"/>
          </a:p>
        </c:txPr>
        <c:crossAx val="114547328"/>
        <c:crosses val="autoZero"/>
        <c:crossBetween val="between"/>
        <c:majorUnit val="100"/>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Leptocylindrus</a:t>
            </a:r>
            <a:endParaRPr lang="en-US" sz="1100">
              <a:latin typeface="Tahoma" pitchFamily="34" charset="0"/>
              <a:ea typeface="Tahoma" pitchFamily="34" charset="0"/>
              <a:cs typeface="Tahoma" pitchFamily="34" charset="0"/>
            </a:endParaRPr>
          </a:p>
        </c:rich>
      </c:tx>
      <c:layout>
        <c:manualLayout>
          <c:xMode val="edge"/>
          <c:yMode val="edge"/>
          <c:x val="0.19726227826542544"/>
          <c:y val="4.2979373660256767E-2"/>
        </c:manualLayout>
      </c:layout>
      <c:overlay val="0"/>
    </c:title>
    <c:autoTitleDeleted val="0"/>
    <c:plotArea>
      <c:layout>
        <c:manualLayout>
          <c:layoutTarget val="inner"/>
          <c:xMode val="edge"/>
          <c:yMode val="edge"/>
          <c:x val="3.8705082742316786E-2"/>
          <c:y val="0.18342353806406694"/>
          <c:w val="0.96129503492252477"/>
          <c:h val="0.76727012538960004"/>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genera!$C$67:$F$67</c:f>
              <c:numCache>
                <c:formatCode>0</c:formatCode>
                <c:ptCount val="4"/>
                <c:pt idx="0">
                  <c:v>138.72222222222223</c:v>
                </c:pt>
                <c:pt idx="1">
                  <c:v>109.27777777777735</c:v>
                </c:pt>
                <c:pt idx="2">
                  <c:v>377.77777777777669</c:v>
                </c:pt>
                <c:pt idx="3">
                  <c:v>4.9411764705882364</c:v>
                </c:pt>
              </c:numCache>
            </c:numRef>
          </c:val>
          <c:extLst>
            <c:ext xmlns:c16="http://schemas.microsoft.com/office/drawing/2014/chart" uri="{C3380CC4-5D6E-409C-BE32-E72D297353CC}">
              <c16:uniqueId val="{00000000-5AF5-4123-94AC-253B624124E3}"/>
            </c:ext>
          </c:extLst>
        </c:ser>
        <c:dLbls>
          <c:showLegendKey val="0"/>
          <c:showVal val="0"/>
          <c:showCatName val="0"/>
          <c:showSerName val="0"/>
          <c:showPercent val="0"/>
          <c:showBubbleSize val="0"/>
        </c:dLbls>
        <c:gapWidth val="81"/>
        <c:axId val="115430912"/>
        <c:axId val="115432448"/>
      </c:barChart>
      <c:catAx>
        <c:axId val="115430912"/>
        <c:scaling>
          <c:orientation val="minMax"/>
        </c:scaling>
        <c:delete val="0"/>
        <c:axPos val="b"/>
        <c:numFmt formatCode="General" sourceLinked="0"/>
        <c:majorTickMark val="none"/>
        <c:minorTickMark val="none"/>
        <c:tickLblPos val="none"/>
        <c:txPr>
          <a:bodyPr/>
          <a:lstStyle/>
          <a:p>
            <a:pPr>
              <a:defRPr lang="en-US">
                <a:latin typeface="Tahoma" pitchFamily="34" charset="0"/>
                <a:ea typeface="Tahoma" pitchFamily="34" charset="0"/>
                <a:cs typeface="Tahoma" pitchFamily="34" charset="0"/>
              </a:defRPr>
            </a:pPr>
            <a:endParaRPr lang="en-US"/>
          </a:p>
        </c:txPr>
        <c:crossAx val="115432448"/>
        <c:crosses val="autoZero"/>
        <c:auto val="1"/>
        <c:lblAlgn val="ctr"/>
        <c:lblOffset val="100"/>
        <c:noMultiLvlLbl val="0"/>
      </c:catAx>
      <c:valAx>
        <c:axId val="115432448"/>
        <c:scaling>
          <c:orientation val="minMax"/>
          <c:max val="400"/>
        </c:scaling>
        <c:delete val="0"/>
        <c:axPos val="l"/>
        <c:numFmt formatCode="0" sourceLinked="1"/>
        <c:majorTickMark val="out"/>
        <c:minorTickMark val="none"/>
        <c:tickLblPos val="none"/>
        <c:txPr>
          <a:bodyPr/>
          <a:lstStyle/>
          <a:p>
            <a:pPr>
              <a:defRPr lang="en-US">
                <a:latin typeface="Tahoma" pitchFamily="34" charset="0"/>
                <a:ea typeface="Tahoma" pitchFamily="34" charset="0"/>
                <a:cs typeface="Tahoma" pitchFamily="34" charset="0"/>
              </a:defRPr>
            </a:pPr>
            <a:endParaRPr lang="en-US"/>
          </a:p>
        </c:txPr>
        <c:crossAx val="115430912"/>
        <c:crosses val="autoZero"/>
        <c:crossBetween val="between"/>
        <c:majorUnit val="100"/>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Chaetocero</a:t>
            </a:r>
            <a:r>
              <a:rPr lang="en-US" sz="1000">
                <a:latin typeface="Tahoma" pitchFamily="34" charset="0"/>
                <a:ea typeface="Tahoma" pitchFamily="34" charset="0"/>
                <a:cs typeface="Tahoma" pitchFamily="34" charset="0"/>
              </a:rPr>
              <a:t>s</a:t>
            </a:r>
            <a:r>
              <a:rPr lang="en-US" sz="1000" baseline="0">
                <a:latin typeface="Tahoma" pitchFamily="34" charset="0"/>
                <a:ea typeface="Tahoma" pitchFamily="34" charset="0"/>
                <a:cs typeface="Tahoma" pitchFamily="34" charset="0"/>
              </a:rPr>
              <a:t> *</a:t>
            </a:r>
            <a:endParaRPr lang="en-US" sz="1000">
              <a:latin typeface="Tahoma" pitchFamily="34" charset="0"/>
              <a:ea typeface="Tahoma" pitchFamily="34" charset="0"/>
              <a:cs typeface="Tahoma" pitchFamily="34" charset="0"/>
            </a:endParaRPr>
          </a:p>
        </c:rich>
      </c:tx>
      <c:layout>
        <c:manualLayout>
          <c:xMode val="edge"/>
          <c:yMode val="edge"/>
          <c:x val="0.34295760233918132"/>
          <c:y val="6.8749034073808973E-2"/>
        </c:manualLayout>
      </c:layout>
      <c:overlay val="0"/>
    </c:title>
    <c:autoTitleDeleted val="0"/>
    <c:plotArea>
      <c:layout>
        <c:manualLayout>
          <c:layoutTarget val="inner"/>
          <c:xMode val="edge"/>
          <c:yMode val="edge"/>
          <c:x val="0.19695875845522456"/>
          <c:y val="0.1748217104559239"/>
          <c:w val="0.80304124154480006"/>
          <c:h val="0.77550833955846465"/>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genera!$C$65:$F$65</c:f>
              <c:numCache>
                <c:formatCode>0</c:formatCode>
                <c:ptCount val="4"/>
                <c:pt idx="0">
                  <c:v>76.888888888885674</c:v>
                </c:pt>
                <c:pt idx="1">
                  <c:v>176</c:v>
                </c:pt>
                <c:pt idx="2">
                  <c:v>57.055555555555557</c:v>
                </c:pt>
                <c:pt idx="3">
                  <c:v>3.5294117647058822</c:v>
                </c:pt>
              </c:numCache>
            </c:numRef>
          </c:val>
          <c:extLst>
            <c:ext xmlns:c16="http://schemas.microsoft.com/office/drawing/2014/chart" uri="{C3380CC4-5D6E-409C-BE32-E72D297353CC}">
              <c16:uniqueId val="{00000000-8AC0-47D0-AB71-DF313CBCF2D0}"/>
            </c:ext>
          </c:extLst>
        </c:ser>
        <c:dLbls>
          <c:showLegendKey val="0"/>
          <c:showVal val="0"/>
          <c:showCatName val="0"/>
          <c:showSerName val="0"/>
          <c:showPercent val="0"/>
          <c:showBubbleSize val="0"/>
        </c:dLbls>
        <c:gapWidth val="81"/>
        <c:axId val="127904768"/>
        <c:axId val="128201088"/>
      </c:barChart>
      <c:catAx>
        <c:axId val="127904768"/>
        <c:scaling>
          <c:orientation val="minMax"/>
        </c:scaling>
        <c:delete val="0"/>
        <c:axPos val="b"/>
        <c:numFmt formatCode="General" sourceLinked="0"/>
        <c:majorTickMark val="none"/>
        <c:minorTickMark val="none"/>
        <c:tickLblPos val="none"/>
        <c:txPr>
          <a:bodyPr/>
          <a:lstStyle/>
          <a:p>
            <a:pPr>
              <a:defRPr lang="en-US">
                <a:latin typeface="Tahoma" pitchFamily="34" charset="0"/>
                <a:ea typeface="Tahoma" pitchFamily="34" charset="0"/>
                <a:cs typeface="Tahoma" pitchFamily="34" charset="0"/>
              </a:defRPr>
            </a:pPr>
            <a:endParaRPr lang="en-US"/>
          </a:p>
        </c:txPr>
        <c:crossAx val="128201088"/>
        <c:crosses val="autoZero"/>
        <c:auto val="1"/>
        <c:lblAlgn val="ctr"/>
        <c:lblOffset val="100"/>
        <c:noMultiLvlLbl val="0"/>
      </c:catAx>
      <c:valAx>
        <c:axId val="128201088"/>
        <c:scaling>
          <c:orientation val="minMax"/>
          <c:max val="400"/>
        </c:scaling>
        <c:delete val="0"/>
        <c:axPos val="l"/>
        <c:numFmt formatCode="0" sourceLinked="1"/>
        <c:majorTickMark val="out"/>
        <c:minorTickMark val="none"/>
        <c:tickLblPos val="nextTo"/>
        <c:txPr>
          <a:bodyPr/>
          <a:lstStyle/>
          <a:p>
            <a:pPr>
              <a:defRPr lang="en-US">
                <a:latin typeface="Tahoma" pitchFamily="34" charset="0"/>
                <a:ea typeface="Tahoma" pitchFamily="34" charset="0"/>
                <a:cs typeface="Tahoma" pitchFamily="34" charset="0"/>
              </a:defRPr>
            </a:pPr>
            <a:endParaRPr lang="en-US"/>
          </a:p>
        </c:txPr>
        <c:crossAx val="127904768"/>
        <c:crosses val="autoZero"/>
        <c:crossBetween val="between"/>
        <c:majorUnit val="100"/>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Thalassionema</a:t>
            </a:r>
            <a:r>
              <a:rPr lang="en-US" sz="1000" baseline="0">
                <a:latin typeface="Tahoma" pitchFamily="34" charset="0"/>
                <a:ea typeface="Tahoma" pitchFamily="34" charset="0"/>
                <a:cs typeface="Tahoma" pitchFamily="34" charset="0"/>
              </a:rPr>
              <a:t> </a:t>
            </a:r>
            <a:endParaRPr lang="en-US" sz="1100">
              <a:latin typeface="Tahoma" pitchFamily="34" charset="0"/>
              <a:ea typeface="Tahoma" pitchFamily="34" charset="0"/>
              <a:cs typeface="Tahoma" pitchFamily="34" charset="0"/>
            </a:endParaRPr>
          </a:p>
        </c:rich>
      </c:tx>
      <c:layout>
        <c:manualLayout>
          <c:xMode val="edge"/>
          <c:yMode val="edge"/>
          <c:x val="0.19852607709750569"/>
          <c:y val="2.6570121919181518E-2"/>
        </c:manualLayout>
      </c:layout>
      <c:overlay val="0"/>
    </c:title>
    <c:autoTitleDeleted val="0"/>
    <c:plotArea>
      <c:layout>
        <c:manualLayout>
          <c:layoutTarget val="inner"/>
          <c:xMode val="edge"/>
          <c:yMode val="edge"/>
          <c:x val="5.6765508749826589E-2"/>
          <c:y val="0.14071771568684371"/>
          <c:w val="0.94218080905734847"/>
          <c:h val="0.81085264859504402"/>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genera!$C$71:$F$71</c:f>
              <c:numCache>
                <c:formatCode>0</c:formatCode>
                <c:ptCount val="4"/>
                <c:pt idx="0">
                  <c:v>35</c:v>
                </c:pt>
                <c:pt idx="1">
                  <c:v>44.166666666665975</c:v>
                </c:pt>
                <c:pt idx="2">
                  <c:v>40</c:v>
                </c:pt>
                <c:pt idx="3">
                  <c:v>6</c:v>
                </c:pt>
              </c:numCache>
            </c:numRef>
          </c:val>
          <c:extLst>
            <c:ext xmlns:c16="http://schemas.microsoft.com/office/drawing/2014/chart" uri="{C3380CC4-5D6E-409C-BE32-E72D297353CC}">
              <c16:uniqueId val="{00000000-2F4B-48E5-B2C4-333C0D92E2F5}"/>
            </c:ext>
          </c:extLst>
        </c:ser>
        <c:dLbls>
          <c:showLegendKey val="0"/>
          <c:showVal val="0"/>
          <c:showCatName val="0"/>
          <c:showSerName val="0"/>
          <c:showPercent val="0"/>
          <c:showBubbleSize val="0"/>
        </c:dLbls>
        <c:gapWidth val="81"/>
        <c:axId val="128212352"/>
        <c:axId val="128226432"/>
      </c:barChart>
      <c:catAx>
        <c:axId val="128212352"/>
        <c:scaling>
          <c:orientation val="minMax"/>
        </c:scaling>
        <c:delete val="0"/>
        <c:axPos val="b"/>
        <c:numFmt formatCode="General" sourceLinked="0"/>
        <c:majorTickMark val="none"/>
        <c:minorTickMark val="none"/>
        <c:tickLblPos val="none"/>
        <c:txPr>
          <a:bodyPr/>
          <a:lstStyle/>
          <a:p>
            <a:pPr>
              <a:defRPr lang="en-US">
                <a:latin typeface="Tahoma" pitchFamily="34" charset="0"/>
                <a:ea typeface="Tahoma" pitchFamily="34" charset="0"/>
                <a:cs typeface="Tahoma" pitchFamily="34" charset="0"/>
              </a:defRPr>
            </a:pPr>
            <a:endParaRPr lang="en-US"/>
          </a:p>
        </c:txPr>
        <c:crossAx val="128226432"/>
        <c:crosses val="autoZero"/>
        <c:auto val="1"/>
        <c:lblAlgn val="ctr"/>
        <c:lblOffset val="100"/>
        <c:noMultiLvlLbl val="0"/>
      </c:catAx>
      <c:valAx>
        <c:axId val="128226432"/>
        <c:scaling>
          <c:orientation val="minMax"/>
          <c:max val="400"/>
        </c:scaling>
        <c:delete val="0"/>
        <c:axPos val="l"/>
        <c:numFmt formatCode="0" sourceLinked="1"/>
        <c:majorTickMark val="out"/>
        <c:minorTickMark val="none"/>
        <c:tickLblPos val="none"/>
        <c:txPr>
          <a:bodyPr/>
          <a:lstStyle/>
          <a:p>
            <a:pPr>
              <a:defRPr lang="en-US">
                <a:latin typeface="Tahoma" pitchFamily="34" charset="0"/>
                <a:ea typeface="Tahoma" pitchFamily="34" charset="0"/>
                <a:cs typeface="Tahoma" pitchFamily="34" charset="0"/>
              </a:defRPr>
            </a:pPr>
            <a:endParaRPr lang="en-US"/>
          </a:p>
        </c:txPr>
        <c:crossAx val="128212352"/>
        <c:crosses val="autoZero"/>
        <c:crossBetween val="between"/>
        <c:majorUnit val="100"/>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Dinophysis</a:t>
            </a:r>
            <a:endParaRPr lang="en-US" sz="1000">
              <a:latin typeface="Tahoma" pitchFamily="34" charset="0"/>
              <a:ea typeface="Tahoma" pitchFamily="34" charset="0"/>
              <a:cs typeface="Tahoma" pitchFamily="34" charset="0"/>
            </a:endParaRPr>
          </a:p>
        </c:rich>
      </c:tx>
      <c:layout>
        <c:manualLayout>
          <c:xMode val="edge"/>
          <c:yMode val="edge"/>
          <c:x val="0.30399408983451748"/>
          <c:y val="5.7982036814008313E-2"/>
        </c:manualLayout>
      </c:layout>
      <c:overlay val="0"/>
    </c:title>
    <c:autoTitleDeleted val="0"/>
    <c:plotArea>
      <c:layout>
        <c:manualLayout>
          <c:layoutTarget val="inner"/>
          <c:xMode val="edge"/>
          <c:yMode val="edge"/>
          <c:x val="3.4640070921985816E-2"/>
          <c:y val="0.14755394319232831"/>
          <c:w val="0.96535986314439748"/>
          <c:h val="0.80408044624269015"/>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genera!$C$73:$F$73</c:f>
              <c:numCache>
                <c:formatCode>0</c:formatCode>
                <c:ptCount val="4"/>
                <c:pt idx="0">
                  <c:v>15.166666666666726</c:v>
                </c:pt>
                <c:pt idx="1">
                  <c:v>28.333333333332789</c:v>
                </c:pt>
                <c:pt idx="2">
                  <c:v>28.388888888888893</c:v>
                </c:pt>
                <c:pt idx="3">
                  <c:v>9.3529411764705888</c:v>
                </c:pt>
              </c:numCache>
            </c:numRef>
          </c:val>
          <c:extLst>
            <c:ext xmlns:c16="http://schemas.microsoft.com/office/drawing/2014/chart" uri="{C3380CC4-5D6E-409C-BE32-E72D297353CC}">
              <c16:uniqueId val="{00000000-D983-42FE-8193-545D791F2B88}"/>
            </c:ext>
          </c:extLst>
        </c:ser>
        <c:dLbls>
          <c:showLegendKey val="0"/>
          <c:showVal val="0"/>
          <c:showCatName val="0"/>
          <c:showSerName val="0"/>
          <c:showPercent val="0"/>
          <c:showBubbleSize val="0"/>
        </c:dLbls>
        <c:gapWidth val="81"/>
        <c:axId val="127676800"/>
        <c:axId val="127678336"/>
      </c:barChart>
      <c:catAx>
        <c:axId val="127676800"/>
        <c:scaling>
          <c:orientation val="minMax"/>
        </c:scaling>
        <c:delete val="0"/>
        <c:axPos val="b"/>
        <c:numFmt formatCode="General" sourceLinked="0"/>
        <c:majorTickMark val="none"/>
        <c:minorTickMark val="none"/>
        <c:tickLblPos val="none"/>
        <c:txPr>
          <a:bodyPr/>
          <a:lstStyle/>
          <a:p>
            <a:pPr>
              <a:defRPr lang="en-US">
                <a:latin typeface="Tahoma" pitchFamily="34" charset="0"/>
                <a:ea typeface="Tahoma" pitchFamily="34" charset="0"/>
                <a:cs typeface="Tahoma" pitchFamily="34" charset="0"/>
              </a:defRPr>
            </a:pPr>
            <a:endParaRPr lang="en-US"/>
          </a:p>
        </c:txPr>
        <c:crossAx val="127678336"/>
        <c:crosses val="autoZero"/>
        <c:auto val="1"/>
        <c:lblAlgn val="ctr"/>
        <c:lblOffset val="100"/>
        <c:noMultiLvlLbl val="0"/>
      </c:catAx>
      <c:valAx>
        <c:axId val="127678336"/>
        <c:scaling>
          <c:orientation val="minMax"/>
          <c:max val="400"/>
        </c:scaling>
        <c:delete val="0"/>
        <c:axPos val="l"/>
        <c:numFmt formatCode="0" sourceLinked="1"/>
        <c:majorTickMark val="out"/>
        <c:minorTickMark val="none"/>
        <c:tickLblPos val="none"/>
        <c:txPr>
          <a:bodyPr/>
          <a:lstStyle/>
          <a:p>
            <a:pPr>
              <a:defRPr lang="en-US">
                <a:latin typeface="Tahoma" pitchFamily="34" charset="0"/>
                <a:ea typeface="Tahoma" pitchFamily="34" charset="0"/>
                <a:cs typeface="Tahoma" pitchFamily="34" charset="0"/>
              </a:defRPr>
            </a:pPr>
            <a:endParaRPr lang="en-US"/>
          </a:p>
        </c:txPr>
        <c:crossAx val="127676800"/>
        <c:crosses val="autoZero"/>
        <c:crossBetween val="between"/>
        <c:majorUnit val="100"/>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Pleurosigma</a:t>
            </a:r>
            <a:r>
              <a:rPr lang="en-US" sz="1000" baseline="0">
                <a:latin typeface="Tahoma" pitchFamily="34" charset="0"/>
                <a:ea typeface="Tahoma" pitchFamily="34" charset="0"/>
                <a:cs typeface="Tahoma" pitchFamily="34" charset="0"/>
              </a:rPr>
              <a:t> </a:t>
            </a:r>
            <a:r>
              <a:rPr lang="en-US" sz="1100" baseline="0">
                <a:latin typeface="Tahoma" pitchFamily="34" charset="0"/>
                <a:ea typeface="Tahoma" pitchFamily="34" charset="0"/>
                <a:cs typeface="Tahoma" pitchFamily="34" charset="0"/>
              </a:rPr>
              <a:t>*</a:t>
            </a:r>
            <a:endParaRPr lang="en-US" sz="1100">
              <a:latin typeface="Tahoma" pitchFamily="34" charset="0"/>
              <a:ea typeface="Tahoma" pitchFamily="34" charset="0"/>
              <a:cs typeface="Tahoma" pitchFamily="34" charset="0"/>
            </a:endParaRPr>
          </a:p>
        </c:rich>
      </c:tx>
      <c:layout>
        <c:manualLayout>
          <c:xMode val="edge"/>
          <c:yMode val="edge"/>
          <c:x val="0.36717171717171732"/>
          <c:y val="8.2254266581187577E-2"/>
        </c:manualLayout>
      </c:layout>
      <c:overlay val="0"/>
    </c:title>
    <c:autoTitleDeleted val="0"/>
    <c:plotArea>
      <c:layout>
        <c:manualLayout>
          <c:layoutTarget val="inner"/>
          <c:xMode val="edge"/>
          <c:yMode val="edge"/>
          <c:x val="0.19979080741796751"/>
          <c:y val="0.18302457713449441"/>
          <c:w val="0.80020919258203693"/>
          <c:h val="0.66648543910690061"/>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genera!$C$69:$F$69</c:f>
              <c:numCache>
                <c:formatCode>0</c:formatCode>
                <c:ptCount val="4"/>
                <c:pt idx="0">
                  <c:v>38.777777777777779</c:v>
                </c:pt>
                <c:pt idx="1">
                  <c:v>12.555555555555886</c:v>
                </c:pt>
                <c:pt idx="2">
                  <c:v>11.555555555555886</c:v>
                </c:pt>
                <c:pt idx="3">
                  <c:v>3.3529411764705777</c:v>
                </c:pt>
              </c:numCache>
            </c:numRef>
          </c:val>
          <c:extLst>
            <c:ext xmlns:c16="http://schemas.microsoft.com/office/drawing/2014/chart" uri="{C3380CC4-5D6E-409C-BE32-E72D297353CC}">
              <c16:uniqueId val="{00000000-08D4-447C-AA6F-D0B255C415D7}"/>
            </c:ext>
          </c:extLst>
        </c:ser>
        <c:dLbls>
          <c:showLegendKey val="0"/>
          <c:showVal val="0"/>
          <c:showCatName val="0"/>
          <c:showSerName val="0"/>
          <c:showPercent val="0"/>
          <c:showBubbleSize val="0"/>
        </c:dLbls>
        <c:gapWidth val="91"/>
        <c:axId val="127722624"/>
        <c:axId val="127724160"/>
      </c:barChart>
      <c:catAx>
        <c:axId val="127722624"/>
        <c:scaling>
          <c:orientation val="minMax"/>
        </c:scaling>
        <c:delete val="0"/>
        <c:axPos val="b"/>
        <c:numFmt formatCode="General" sourceLinked="0"/>
        <c:majorTickMark val="none"/>
        <c:minorTickMark val="none"/>
        <c:tickLblPos val="nextTo"/>
        <c:txPr>
          <a:bodyPr/>
          <a:lstStyle/>
          <a:p>
            <a:pPr>
              <a:defRPr lang="en-US">
                <a:latin typeface="Tahoma" pitchFamily="34" charset="0"/>
                <a:ea typeface="Tahoma" pitchFamily="34" charset="0"/>
                <a:cs typeface="Tahoma" pitchFamily="34" charset="0"/>
              </a:defRPr>
            </a:pPr>
            <a:endParaRPr lang="en-US"/>
          </a:p>
        </c:txPr>
        <c:crossAx val="127724160"/>
        <c:crosses val="autoZero"/>
        <c:auto val="1"/>
        <c:lblAlgn val="ctr"/>
        <c:lblOffset val="100"/>
        <c:noMultiLvlLbl val="0"/>
      </c:catAx>
      <c:valAx>
        <c:axId val="127724160"/>
        <c:scaling>
          <c:orientation val="minMax"/>
          <c:max val="400"/>
        </c:scaling>
        <c:delete val="0"/>
        <c:axPos val="l"/>
        <c:numFmt formatCode="0" sourceLinked="1"/>
        <c:majorTickMark val="out"/>
        <c:minorTickMark val="none"/>
        <c:tickLblPos val="nextTo"/>
        <c:txPr>
          <a:bodyPr/>
          <a:lstStyle/>
          <a:p>
            <a:pPr>
              <a:defRPr lang="en-US">
                <a:latin typeface="Tahoma" pitchFamily="34" charset="0"/>
                <a:ea typeface="Tahoma" pitchFamily="34" charset="0"/>
                <a:cs typeface="Tahoma" pitchFamily="34" charset="0"/>
              </a:defRPr>
            </a:pPr>
            <a:endParaRPr lang="en-US"/>
          </a:p>
        </c:txPr>
        <c:crossAx val="127722624"/>
        <c:crosses val="autoZero"/>
        <c:crossBetween val="between"/>
        <c:majorUnit val="100"/>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1">
                <a:latin typeface="Tahoma" pitchFamily="34" charset="0"/>
                <a:ea typeface="Tahoma" pitchFamily="34" charset="0"/>
                <a:cs typeface="Tahoma" pitchFamily="34" charset="0"/>
              </a:rPr>
              <a:t>Ceratium</a:t>
            </a:r>
            <a:endParaRPr lang="en-US" sz="1000">
              <a:latin typeface="Tahoma" pitchFamily="34" charset="0"/>
              <a:ea typeface="Tahoma" pitchFamily="34" charset="0"/>
              <a:cs typeface="Tahoma" pitchFamily="34" charset="0"/>
            </a:endParaRPr>
          </a:p>
        </c:rich>
      </c:tx>
      <c:layout>
        <c:manualLayout>
          <c:xMode val="edge"/>
          <c:yMode val="edge"/>
          <c:x val="0.33950694444444768"/>
          <c:y val="6.604442922681189E-2"/>
        </c:manualLayout>
      </c:layout>
      <c:overlay val="0"/>
    </c:title>
    <c:autoTitleDeleted val="0"/>
    <c:plotArea>
      <c:layout>
        <c:manualLayout>
          <c:layoutTarget val="inner"/>
          <c:xMode val="edge"/>
          <c:yMode val="edge"/>
          <c:x val="6.9858557673314975E-2"/>
          <c:y val="0.17882311621156147"/>
          <c:w val="0.89203677450487684"/>
          <c:h val="0.67371180480621562"/>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genera!$C$72:$F$72</c:f>
              <c:numCache>
                <c:formatCode>0</c:formatCode>
                <c:ptCount val="4"/>
                <c:pt idx="0">
                  <c:v>12.722222222222221</c:v>
                </c:pt>
                <c:pt idx="1">
                  <c:v>17.611111111111235</c:v>
                </c:pt>
                <c:pt idx="2">
                  <c:v>6.9444444444444464</c:v>
                </c:pt>
                <c:pt idx="3">
                  <c:v>2.1176470588235294</c:v>
                </c:pt>
              </c:numCache>
            </c:numRef>
          </c:val>
          <c:extLst>
            <c:ext xmlns:c16="http://schemas.microsoft.com/office/drawing/2014/chart" uri="{C3380CC4-5D6E-409C-BE32-E72D297353CC}">
              <c16:uniqueId val="{00000000-73DB-418E-AF11-141056DC31D6}"/>
            </c:ext>
          </c:extLst>
        </c:ser>
        <c:dLbls>
          <c:showLegendKey val="0"/>
          <c:showVal val="0"/>
          <c:showCatName val="0"/>
          <c:showSerName val="0"/>
          <c:showPercent val="0"/>
          <c:showBubbleSize val="0"/>
        </c:dLbls>
        <c:gapWidth val="90"/>
        <c:axId val="127211392"/>
        <c:axId val="127212928"/>
      </c:barChart>
      <c:catAx>
        <c:axId val="127211392"/>
        <c:scaling>
          <c:orientation val="minMax"/>
        </c:scaling>
        <c:delete val="0"/>
        <c:axPos val="b"/>
        <c:numFmt formatCode="General" sourceLinked="0"/>
        <c:majorTickMark val="none"/>
        <c:minorTickMark val="none"/>
        <c:tickLblPos val="nextTo"/>
        <c:txPr>
          <a:bodyPr/>
          <a:lstStyle/>
          <a:p>
            <a:pPr>
              <a:defRPr lang="en-US">
                <a:latin typeface="Tahoma" pitchFamily="34" charset="0"/>
                <a:ea typeface="Tahoma" pitchFamily="34" charset="0"/>
                <a:cs typeface="Tahoma" pitchFamily="34" charset="0"/>
              </a:defRPr>
            </a:pPr>
            <a:endParaRPr lang="en-US"/>
          </a:p>
        </c:txPr>
        <c:crossAx val="127212928"/>
        <c:crosses val="autoZero"/>
        <c:auto val="1"/>
        <c:lblAlgn val="ctr"/>
        <c:lblOffset val="100"/>
        <c:noMultiLvlLbl val="0"/>
      </c:catAx>
      <c:valAx>
        <c:axId val="127212928"/>
        <c:scaling>
          <c:orientation val="minMax"/>
          <c:max val="400"/>
        </c:scaling>
        <c:delete val="0"/>
        <c:axPos val="l"/>
        <c:numFmt formatCode="0" sourceLinked="1"/>
        <c:majorTickMark val="out"/>
        <c:minorTickMark val="none"/>
        <c:tickLblPos val="none"/>
        <c:txPr>
          <a:bodyPr/>
          <a:lstStyle/>
          <a:p>
            <a:pPr>
              <a:defRPr lang="en-US">
                <a:latin typeface="Tahoma" pitchFamily="34" charset="0"/>
                <a:ea typeface="Tahoma" pitchFamily="34" charset="0"/>
                <a:cs typeface="Tahoma" pitchFamily="34" charset="0"/>
              </a:defRPr>
            </a:pPr>
            <a:endParaRPr lang="en-US"/>
          </a:p>
        </c:txPr>
        <c:crossAx val="127211392"/>
        <c:crosses val="autoZero"/>
        <c:crossBetween val="between"/>
        <c:majorUnit val="100"/>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000" i="0">
                <a:latin typeface="Tahoma" pitchFamily="34" charset="0"/>
                <a:ea typeface="Tahoma" pitchFamily="34" charset="0"/>
                <a:cs typeface="Tahoma" pitchFamily="34" charset="0"/>
              </a:rPr>
              <a:t>Codonella</a:t>
            </a:r>
            <a:endParaRPr lang="en-US" sz="1000">
              <a:latin typeface="Tahoma" pitchFamily="34" charset="0"/>
              <a:ea typeface="Tahoma" pitchFamily="34" charset="0"/>
              <a:cs typeface="Tahoma" pitchFamily="34" charset="0"/>
            </a:endParaRPr>
          </a:p>
        </c:rich>
      </c:tx>
      <c:layout>
        <c:manualLayout>
          <c:xMode val="edge"/>
          <c:yMode val="edge"/>
          <c:x val="0.30995543981481744"/>
          <c:y val="4.0032760253892123E-2"/>
        </c:manualLayout>
      </c:layout>
      <c:overlay val="0"/>
    </c:title>
    <c:autoTitleDeleted val="0"/>
    <c:plotArea>
      <c:layout>
        <c:manualLayout>
          <c:layoutTarget val="inner"/>
          <c:xMode val="edge"/>
          <c:yMode val="edge"/>
          <c:x val="1.4354953928510068E-2"/>
          <c:y val="0.12167096113543292"/>
          <c:w val="0.92104775339321088"/>
          <c:h val="0.72140095447983565"/>
        </c:manualLayout>
      </c:layout>
      <c:barChart>
        <c:barDir val="col"/>
        <c:grouping val="clustered"/>
        <c:varyColors val="0"/>
        <c:ser>
          <c:idx val="0"/>
          <c:order val="0"/>
          <c:spPr>
            <a:solidFill>
              <a:sysClr val="windowText" lastClr="000000"/>
            </a:solidFill>
          </c:spPr>
          <c:invertIfNegative val="0"/>
          <c:cat>
            <c:strRef>
              <c:f>genera!$C$64:$F$64</c:f>
              <c:strCache>
                <c:ptCount val="4"/>
                <c:pt idx="0">
                  <c:v>S1</c:v>
                </c:pt>
                <c:pt idx="1">
                  <c:v>S2</c:v>
                </c:pt>
                <c:pt idx="2">
                  <c:v>S3</c:v>
                </c:pt>
                <c:pt idx="3">
                  <c:v>S4</c:v>
                </c:pt>
              </c:strCache>
            </c:strRef>
          </c:cat>
          <c:val>
            <c:numRef>
              <c:f>genera!$C$66:$F$66</c:f>
              <c:numCache>
                <c:formatCode>0</c:formatCode>
                <c:ptCount val="4"/>
                <c:pt idx="0">
                  <c:v>8.6666666666666767</c:v>
                </c:pt>
                <c:pt idx="1">
                  <c:v>8.4444444444444446</c:v>
                </c:pt>
                <c:pt idx="2">
                  <c:v>5.8333333333333934</c:v>
                </c:pt>
                <c:pt idx="3">
                  <c:v>3.2941176470588251</c:v>
                </c:pt>
              </c:numCache>
            </c:numRef>
          </c:val>
          <c:extLst>
            <c:ext xmlns:c16="http://schemas.microsoft.com/office/drawing/2014/chart" uri="{C3380CC4-5D6E-409C-BE32-E72D297353CC}">
              <c16:uniqueId val="{00000000-EF73-44A9-BFE8-8AB66D681474}"/>
            </c:ext>
          </c:extLst>
        </c:ser>
        <c:dLbls>
          <c:showLegendKey val="0"/>
          <c:showVal val="0"/>
          <c:showCatName val="0"/>
          <c:showSerName val="0"/>
          <c:showPercent val="0"/>
          <c:showBubbleSize val="0"/>
        </c:dLbls>
        <c:gapWidth val="91"/>
        <c:axId val="127232640"/>
        <c:axId val="127259008"/>
      </c:barChart>
      <c:catAx>
        <c:axId val="127232640"/>
        <c:scaling>
          <c:orientation val="minMax"/>
        </c:scaling>
        <c:delete val="0"/>
        <c:axPos val="b"/>
        <c:numFmt formatCode="General" sourceLinked="0"/>
        <c:majorTickMark val="none"/>
        <c:minorTickMark val="none"/>
        <c:tickLblPos val="nextTo"/>
        <c:txPr>
          <a:bodyPr/>
          <a:lstStyle/>
          <a:p>
            <a:pPr>
              <a:defRPr lang="en-US">
                <a:latin typeface="Tahoma" pitchFamily="34" charset="0"/>
                <a:ea typeface="Tahoma" pitchFamily="34" charset="0"/>
                <a:cs typeface="Tahoma" pitchFamily="34" charset="0"/>
              </a:defRPr>
            </a:pPr>
            <a:endParaRPr lang="en-US"/>
          </a:p>
        </c:txPr>
        <c:crossAx val="127259008"/>
        <c:crosses val="autoZero"/>
        <c:auto val="1"/>
        <c:lblAlgn val="ctr"/>
        <c:lblOffset val="100"/>
        <c:noMultiLvlLbl val="0"/>
      </c:catAx>
      <c:valAx>
        <c:axId val="127259008"/>
        <c:scaling>
          <c:orientation val="minMax"/>
          <c:max val="400"/>
        </c:scaling>
        <c:delete val="0"/>
        <c:axPos val="l"/>
        <c:numFmt formatCode="0" sourceLinked="1"/>
        <c:majorTickMark val="out"/>
        <c:minorTickMark val="none"/>
        <c:tickLblPos val="none"/>
        <c:txPr>
          <a:bodyPr/>
          <a:lstStyle/>
          <a:p>
            <a:pPr>
              <a:defRPr lang="en-US">
                <a:latin typeface="Tahoma" pitchFamily="34" charset="0"/>
                <a:ea typeface="Tahoma" pitchFamily="34" charset="0"/>
                <a:cs typeface="Tahoma" pitchFamily="34" charset="0"/>
              </a:defRPr>
            </a:pPr>
            <a:endParaRPr lang="en-US"/>
          </a:p>
        </c:txPr>
        <c:crossAx val="127232640"/>
        <c:crosses val="autoZero"/>
        <c:crossBetween val="between"/>
        <c:majorUnit val="100"/>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7D89-D468-4DBD-A4C9-1AC70F5B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6670</Words>
  <Characters>38023</Characters>
  <Application>Microsoft Office Word</Application>
  <DocSecurity>0</DocSecurity>
  <Lines>316</Lines>
  <Paragraphs>89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AIMIMULIANI ADAM</dc:creator>
  <cp:lastModifiedBy>Gray, Andrew D.</cp:lastModifiedBy>
  <cp:revision>5</cp:revision>
  <dcterms:created xsi:type="dcterms:W3CDTF">2015-03-12T07:54:00Z</dcterms:created>
  <dcterms:modified xsi:type="dcterms:W3CDTF">2018-02-16T10:38:00Z</dcterms:modified>
</cp:coreProperties>
</file>