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CEA3" w14:textId="7498B519" w:rsidR="00D83EFD" w:rsidRDefault="00D83EFD">
      <w:pPr>
        <w:rPr>
          <w:rFonts w:ascii="Arial" w:hAnsi="Arial" w:cs="Arial"/>
          <w:b/>
          <w:sz w:val="28"/>
          <w:szCs w:val="28"/>
        </w:rPr>
      </w:pPr>
      <w:bookmarkStart w:id="0" w:name="_GoBack"/>
      <w:bookmarkEnd w:id="0"/>
      <w:r>
        <w:rPr>
          <w:rFonts w:ascii="Arial" w:hAnsi="Arial" w:cs="Arial"/>
          <w:b/>
          <w:sz w:val="28"/>
          <w:szCs w:val="28"/>
        </w:rPr>
        <w:t xml:space="preserve">Direct injection </w:t>
      </w:r>
      <w:r w:rsidRPr="006C7A0B">
        <w:rPr>
          <w:rFonts w:ascii="Arial" w:hAnsi="Arial" w:cs="Arial"/>
          <w:b/>
          <w:sz w:val="28"/>
          <w:szCs w:val="28"/>
        </w:rPr>
        <w:t>liquid chromatography high-resolution mass spectrometry</w:t>
      </w:r>
      <w:r>
        <w:rPr>
          <w:rFonts w:ascii="Arial" w:hAnsi="Arial" w:cs="Arial"/>
          <w:b/>
          <w:sz w:val="28"/>
          <w:szCs w:val="28"/>
        </w:rPr>
        <w:t xml:space="preserve"> for d</w:t>
      </w:r>
      <w:r w:rsidRPr="006C7A0B">
        <w:rPr>
          <w:rFonts w:ascii="Arial" w:hAnsi="Arial" w:cs="Arial"/>
          <w:b/>
          <w:sz w:val="28"/>
          <w:szCs w:val="28"/>
        </w:rPr>
        <w:t xml:space="preserve">etermination of primary and secondary terrestrial and marine biomarkers in </w:t>
      </w:r>
      <w:r>
        <w:rPr>
          <w:rFonts w:ascii="Arial" w:hAnsi="Arial" w:cs="Arial"/>
          <w:b/>
          <w:sz w:val="28"/>
          <w:szCs w:val="28"/>
        </w:rPr>
        <w:t xml:space="preserve">ice cores </w:t>
      </w:r>
      <w:r w:rsidR="00BE2B64">
        <w:rPr>
          <w:rFonts w:ascii="Arial" w:hAnsi="Arial" w:cs="Arial"/>
          <w:b/>
          <w:sz w:val="28"/>
          <w:szCs w:val="28"/>
        </w:rPr>
        <w:t xml:space="preserve"> </w:t>
      </w:r>
      <w:r w:rsidR="00E15F71">
        <w:rPr>
          <w:rFonts w:ascii="Arial" w:hAnsi="Arial" w:cs="Arial"/>
          <w:b/>
          <w:sz w:val="28"/>
          <w:szCs w:val="28"/>
        </w:rPr>
        <w:t xml:space="preserve"> </w:t>
      </w:r>
    </w:p>
    <w:p w14:paraId="33640A9F" w14:textId="77777777" w:rsidR="002A67DD" w:rsidRPr="002A67DD" w:rsidRDefault="002A67DD" w:rsidP="002A67DD">
      <w:pPr>
        <w:spacing w:after="0" w:line="360" w:lineRule="auto"/>
        <w:jc w:val="both"/>
        <w:rPr>
          <w:rFonts w:ascii="Arial" w:hAnsi="Arial" w:cs="Arial"/>
        </w:rPr>
      </w:pPr>
    </w:p>
    <w:p w14:paraId="1FF85393" w14:textId="1DEAF924" w:rsidR="002A67DD" w:rsidRPr="002A67DD" w:rsidRDefault="002A67DD" w:rsidP="002A67DD">
      <w:pPr>
        <w:spacing w:after="0" w:line="360" w:lineRule="auto"/>
        <w:jc w:val="both"/>
        <w:rPr>
          <w:rFonts w:ascii="Arial" w:hAnsi="Arial" w:cs="Arial"/>
        </w:rPr>
      </w:pPr>
      <w:r w:rsidRPr="002A67DD">
        <w:rPr>
          <w:rFonts w:ascii="Arial" w:hAnsi="Arial" w:cs="Arial"/>
        </w:rPr>
        <w:t>Amy</w:t>
      </w:r>
      <w:r w:rsidR="00726CC5">
        <w:rPr>
          <w:rFonts w:ascii="Arial" w:hAnsi="Arial" w:cs="Arial"/>
        </w:rPr>
        <w:t xml:space="preserve"> </w:t>
      </w:r>
      <w:r w:rsidRPr="002A67DD">
        <w:rPr>
          <w:rFonts w:ascii="Arial" w:hAnsi="Arial" w:cs="Arial"/>
        </w:rPr>
        <w:t>C.F.</w:t>
      </w:r>
      <w:r w:rsidR="00726CC5">
        <w:rPr>
          <w:rFonts w:ascii="Arial" w:hAnsi="Arial" w:cs="Arial"/>
        </w:rPr>
        <w:t xml:space="preserve"> </w:t>
      </w:r>
      <w:r w:rsidRPr="002A67DD">
        <w:rPr>
          <w:rFonts w:ascii="Arial" w:hAnsi="Arial" w:cs="Arial"/>
        </w:rPr>
        <w:t>King</w:t>
      </w:r>
      <w:r w:rsidRPr="002A67DD">
        <w:rPr>
          <w:rFonts w:ascii="Arial" w:hAnsi="Arial" w:cs="Arial"/>
          <w:vertAlign w:val="superscript"/>
        </w:rPr>
        <w:t>a,b</w:t>
      </w:r>
      <w:r w:rsidRPr="002A67DD">
        <w:rPr>
          <w:rFonts w:ascii="Arial" w:hAnsi="Arial" w:cs="Arial"/>
        </w:rPr>
        <w:t>*, Chiara Giorio</w:t>
      </w:r>
      <w:r w:rsidR="00A47512">
        <w:rPr>
          <w:rFonts w:ascii="Arial" w:hAnsi="Arial" w:cs="Arial"/>
          <w:vertAlign w:val="superscript"/>
        </w:rPr>
        <w:t>b</w:t>
      </w:r>
      <w:r w:rsidR="00726CC5">
        <w:rPr>
          <w:rFonts w:ascii="Arial" w:hAnsi="Arial" w:cs="Arial"/>
          <w:vertAlign w:val="superscript"/>
        </w:rPr>
        <w:t>,c</w:t>
      </w:r>
      <w:r w:rsidR="009645A7">
        <w:rPr>
          <w:rFonts w:ascii="Arial" w:hAnsi="Arial" w:cs="Arial"/>
        </w:rPr>
        <w:t>*</w:t>
      </w:r>
      <w:r w:rsidR="00D24816">
        <w:rPr>
          <w:rFonts w:ascii="Arial" w:hAnsi="Arial" w:cs="Arial"/>
        </w:rPr>
        <w:t>*</w:t>
      </w:r>
      <w:r w:rsidRPr="002A67DD">
        <w:rPr>
          <w:rFonts w:ascii="Arial" w:hAnsi="Arial" w:cs="Arial"/>
        </w:rPr>
        <w:t xml:space="preserve">, Eric </w:t>
      </w:r>
      <w:r w:rsidR="00726CC5" w:rsidRPr="002A67DD">
        <w:rPr>
          <w:rFonts w:ascii="Arial" w:hAnsi="Arial" w:cs="Arial"/>
        </w:rPr>
        <w:t>Wolff</w:t>
      </w:r>
      <w:r w:rsidR="00726CC5">
        <w:rPr>
          <w:rFonts w:ascii="Arial" w:hAnsi="Arial" w:cs="Arial"/>
          <w:vertAlign w:val="superscript"/>
        </w:rPr>
        <w:t>d</w:t>
      </w:r>
      <w:r w:rsidRPr="002A67DD">
        <w:rPr>
          <w:rFonts w:ascii="Arial" w:hAnsi="Arial" w:cs="Arial"/>
        </w:rPr>
        <w:t>, Elizabeth Thomas</w:t>
      </w:r>
      <w:r w:rsidR="00A47512">
        <w:rPr>
          <w:rFonts w:ascii="Arial" w:hAnsi="Arial" w:cs="Arial"/>
          <w:vertAlign w:val="superscript"/>
        </w:rPr>
        <w:t>a</w:t>
      </w:r>
      <w:r w:rsidRPr="002A67DD">
        <w:rPr>
          <w:rFonts w:ascii="Arial" w:hAnsi="Arial" w:cs="Arial"/>
        </w:rPr>
        <w:t xml:space="preserve">, Marco </w:t>
      </w:r>
      <w:r w:rsidR="00726CC5" w:rsidRPr="002A67DD">
        <w:rPr>
          <w:rFonts w:ascii="Arial" w:hAnsi="Arial" w:cs="Arial"/>
        </w:rPr>
        <w:t>Roverso</w:t>
      </w:r>
      <w:r w:rsidR="00726CC5">
        <w:rPr>
          <w:rFonts w:ascii="Arial" w:hAnsi="Arial" w:cs="Arial"/>
          <w:vertAlign w:val="superscript"/>
        </w:rPr>
        <w:t>c</w:t>
      </w:r>
      <w:r w:rsidRPr="002A67DD">
        <w:rPr>
          <w:rFonts w:ascii="Arial" w:hAnsi="Arial" w:cs="Arial"/>
        </w:rPr>
        <w:t>, Margit Schwikowski</w:t>
      </w:r>
      <w:r>
        <w:rPr>
          <w:rFonts w:ascii="Arial" w:hAnsi="Arial" w:cs="Arial"/>
          <w:vertAlign w:val="superscript"/>
        </w:rPr>
        <w:t>e</w:t>
      </w:r>
      <w:r w:rsidRPr="002A67DD">
        <w:rPr>
          <w:rFonts w:ascii="Arial" w:hAnsi="Arial" w:cs="Arial"/>
        </w:rPr>
        <w:t xml:space="preserve">, Andrea </w:t>
      </w:r>
      <w:r w:rsidR="00726CC5" w:rsidRPr="002A67DD">
        <w:rPr>
          <w:rFonts w:ascii="Arial" w:hAnsi="Arial" w:cs="Arial"/>
        </w:rPr>
        <w:t>Tapparo</w:t>
      </w:r>
      <w:r w:rsidR="00726CC5">
        <w:rPr>
          <w:rFonts w:ascii="Arial" w:hAnsi="Arial" w:cs="Arial"/>
          <w:vertAlign w:val="superscript"/>
        </w:rPr>
        <w:t>c</w:t>
      </w:r>
      <w:r w:rsidRPr="002A67DD">
        <w:rPr>
          <w:rFonts w:ascii="Arial" w:hAnsi="Arial" w:cs="Arial"/>
        </w:rPr>
        <w:t xml:space="preserve">, </w:t>
      </w:r>
      <w:r w:rsidR="004833F1">
        <w:rPr>
          <w:rFonts w:ascii="Arial" w:hAnsi="Arial" w:cs="Arial"/>
        </w:rPr>
        <w:t>Sara Bogialli</w:t>
      </w:r>
      <w:r w:rsidR="00726CC5">
        <w:rPr>
          <w:rFonts w:ascii="Arial" w:hAnsi="Arial" w:cs="Arial"/>
          <w:vertAlign w:val="superscript"/>
        </w:rPr>
        <w:t>c</w:t>
      </w:r>
      <w:r w:rsidR="004833F1">
        <w:rPr>
          <w:rFonts w:ascii="Arial" w:hAnsi="Arial" w:cs="Arial"/>
        </w:rPr>
        <w:t xml:space="preserve">, </w:t>
      </w:r>
      <w:r w:rsidRPr="002A67DD">
        <w:rPr>
          <w:rFonts w:ascii="Arial" w:hAnsi="Arial" w:cs="Arial"/>
        </w:rPr>
        <w:t>Markus Kalberer</w:t>
      </w:r>
      <w:r w:rsidR="00A47512">
        <w:rPr>
          <w:rFonts w:ascii="Arial" w:hAnsi="Arial" w:cs="Arial"/>
          <w:vertAlign w:val="superscript"/>
        </w:rPr>
        <w:t>b</w:t>
      </w:r>
      <w:r w:rsidR="00926165">
        <w:rPr>
          <w:rFonts w:ascii="Arial" w:hAnsi="Arial" w:cs="Arial"/>
          <w:vertAlign w:val="superscript"/>
        </w:rPr>
        <w:t>,</w:t>
      </w:r>
      <w:r w:rsidR="006A3B57">
        <w:rPr>
          <w:rFonts w:ascii="Arial" w:hAnsi="Arial" w:cs="Arial"/>
          <w:vertAlign w:val="superscript"/>
        </w:rPr>
        <w:t>f</w:t>
      </w:r>
    </w:p>
    <w:p w14:paraId="14AAF1C4" w14:textId="77777777" w:rsidR="002A67DD" w:rsidRPr="002A67DD" w:rsidRDefault="002A67DD" w:rsidP="002A67DD">
      <w:pPr>
        <w:spacing w:after="0" w:line="360" w:lineRule="auto"/>
        <w:jc w:val="both"/>
        <w:rPr>
          <w:rFonts w:ascii="Arial" w:hAnsi="Arial" w:cs="Arial"/>
          <w:vertAlign w:val="superscript"/>
        </w:rPr>
      </w:pPr>
    </w:p>
    <w:p w14:paraId="7D09AAFD" w14:textId="77777777" w:rsidR="002A67DD" w:rsidRPr="002A67DD" w:rsidRDefault="002A67DD" w:rsidP="002A67DD">
      <w:pPr>
        <w:spacing w:after="0" w:line="360" w:lineRule="auto"/>
        <w:jc w:val="both"/>
        <w:rPr>
          <w:rFonts w:ascii="Arial" w:hAnsi="Arial" w:cs="Arial"/>
        </w:rPr>
      </w:pPr>
    </w:p>
    <w:p w14:paraId="76F1B45A" w14:textId="5BCFF48D" w:rsidR="002A67DD" w:rsidRPr="002A67DD" w:rsidRDefault="002A67DD" w:rsidP="002A67DD">
      <w:pPr>
        <w:spacing w:after="0" w:line="360" w:lineRule="auto"/>
        <w:jc w:val="both"/>
        <w:rPr>
          <w:rFonts w:ascii="Arial" w:hAnsi="Arial" w:cs="Arial"/>
        </w:rPr>
      </w:pPr>
      <w:r w:rsidRPr="002A67DD">
        <w:rPr>
          <w:rFonts w:ascii="Arial" w:hAnsi="Arial" w:cs="Arial"/>
          <w:vertAlign w:val="superscript"/>
        </w:rPr>
        <w:t>a</w:t>
      </w:r>
      <w:r w:rsidR="00A47512" w:rsidRPr="002A67DD">
        <w:rPr>
          <w:rFonts w:ascii="Arial" w:hAnsi="Arial" w:cs="Arial"/>
        </w:rPr>
        <w:t>British Antarctic Survey, High Cross, Madingley Road, Cambridge, CB3 0ET, United Kingdom</w:t>
      </w:r>
    </w:p>
    <w:p w14:paraId="31A0D80F" w14:textId="53E5BDB5" w:rsidR="002A67DD" w:rsidRPr="002A67DD" w:rsidRDefault="002A67DD" w:rsidP="002A67DD">
      <w:pPr>
        <w:spacing w:after="0" w:line="360" w:lineRule="auto"/>
        <w:jc w:val="both"/>
        <w:rPr>
          <w:rFonts w:ascii="Arial" w:hAnsi="Arial" w:cs="Arial"/>
        </w:rPr>
      </w:pPr>
      <w:r w:rsidRPr="002A67DD">
        <w:rPr>
          <w:rFonts w:ascii="Arial" w:hAnsi="Arial" w:cs="Arial"/>
          <w:vertAlign w:val="superscript"/>
        </w:rPr>
        <w:t>b</w:t>
      </w:r>
      <w:r w:rsidR="00A47512" w:rsidRPr="002A67DD">
        <w:rPr>
          <w:rFonts w:ascii="Arial" w:hAnsi="Arial" w:cs="Arial"/>
        </w:rPr>
        <w:t>Department of Chemistry, University of Cambridge, Lensfield Road, Cambridge, CB2 1EW, United Kingdom</w:t>
      </w:r>
    </w:p>
    <w:p w14:paraId="0857003C" w14:textId="53B3EACB" w:rsidR="002A67DD" w:rsidRPr="002A67DD" w:rsidRDefault="009645A7" w:rsidP="002A67DD">
      <w:pPr>
        <w:spacing w:after="0" w:line="360" w:lineRule="auto"/>
        <w:jc w:val="both"/>
        <w:rPr>
          <w:rFonts w:ascii="Arial" w:hAnsi="Arial" w:cs="Arial"/>
        </w:rPr>
      </w:pPr>
      <w:r>
        <w:rPr>
          <w:rFonts w:ascii="Arial" w:hAnsi="Arial" w:cs="Arial"/>
          <w:vertAlign w:val="superscript"/>
        </w:rPr>
        <w:t>c</w:t>
      </w:r>
      <w:r w:rsidR="002A67DD" w:rsidRPr="002A67DD">
        <w:rPr>
          <w:rFonts w:ascii="Arial" w:hAnsi="Arial" w:cs="Arial"/>
        </w:rPr>
        <w:t>D</w:t>
      </w:r>
      <w:r w:rsidR="004833F1">
        <w:rPr>
          <w:rFonts w:ascii="Arial" w:hAnsi="Arial" w:cs="Arial"/>
        </w:rPr>
        <w:t>i</w:t>
      </w:r>
      <w:r w:rsidR="002A67DD" w:rsidRPr="002A67DD">
        <w:rPr>
          <w:rFonts w:ascii="Arial" w:hAnsi="Arial" w:cs="Arial"/>
        </w:rPr>
        <w:t>partimento di Scienze Chimiche, Universit</w:t>
      </w:r>
      <w:r w:rsidR="004833F1">
        <w:rPr>
          <w:rFonts w:ascii="Arial" w:hAnsi="Arial" w:cs="Arial"/>
        </w:rPr>
        <w:t>à</w:t>
      </w:r>
      <w:r w:rsidR="002A67DD" w:rsidRPr="002A67DD">
        <w:rPr>
          <w:rFonts w:ascii="Arial" w:hAnsi="Arial" w:cs="Arial"/>
        </w:rPr>
        <w:t xml:space="preserve"> degli Studi d</w:t>
      </w:r>
      <w:r w:rsidR="004833F1">
        <w:rPr>
          <w:rFonts w:ascii="Arial" w:hAnsi="Arial" w:cs="Arial"/>
        </w:rPr>
        <w:t>i</w:t>
      </w:r>
      <w:r w:rsidR="002A67DD" w:rsidRPr="002A67DD">
        <w:rPr>
          <w:rFonts w:ascii="Arial" w:hAnsi="Arial" w:cs="Arial"/>
        </w:rPr>
        <w:t xml:space="preserve"> Padova, Via Marzolo 1, 35131 Padova, Italy</w:t>
      </w:r>
    </w:p>
    <w:p w14:paraId="5290F94F" w14:textId="77777777" w:rsidR="00726CC5" w:rsidRPr="002A67DD" w:rsidRDefault="00726CC5" w:rsidP="00726CC5">
      <w:pPr>
        <w:spacing w:after="0" w:line="360" w:lineRule="auto"/>
        <w:jc w:val="both"/>
        <w:rPr>
          <w:rFonts w:ascii="Arial" w:hAnsi="Arial" w:cs="Arial"/>
        </w:rPr>
      </w:pPr>
      <w:r>
        <w:rPr>
          <w:rFonts w:ascii="Arial" w:hAnsi="Arial" w:cs="Arial"/>
          <w:vertAlign w:val="superscript"/>
        </w:rPr>
        <w:t>d</w:t>
      </w:r>
      <w:r w:rsidRPr="002A67DD">
        <w:rPr>
          <w:rFonts w:ascii="Arial" w:hAnsi="Arial" w:cs="Arial"/>
        </w:rPr>
        <w:t>Department of Earth Sciences, University of Cambridge, Downing Street, Cambridge CB2 3EQ, United Kingdom</w:t>
      </w:r>
    </w:p>
    <w:p w14:paraId="0CB0C210" w14:textId="77777777" w:rsidR="002A67DD" w:rsidRDefault="002A67DD" w:rsidP="002A67DD">
      <w:pPr>
        <w:spacing w:after="0" w:line="360" w:lineRule="auto"/>
        <w:rPr>
          <w:rFonts w:ascii="Arial" w:eastAsia="Times New Roman" w:hAnsi="Arial" w:cs="Arial"/>
          <w:color w:val="000000" w:themeColor="text1"/>
          <w:shd w:val="clear" w:color="auto" w:fill="FFFFFF"/>
        </w:rPr>
      </w:pPr>
      <w:r w:rsidRPr="006A3B57">
        <w:rPr>
          <w:rFonts w:ascii="Arial" w:hAnsi="Arial" w:cs="Arial"/>
          <w:vertAlign w:val="superscript"/>
        </w:rPr>
        <w:t>e</w:t>
      </w:r>
      <w:r w:rsidRPr="006A3B57">
        <w:rPr>
          <w:rFonts w:ascii="Arial" w:hAnsi="Arial" w:cs="Arial"/>
        </w:rPr>
        <w:t xml:space="preserve">Paul Scherrer Institut, </w:t>
      </w:r>
      <w:r w:rsidRPr="006A3B57">
        <w:rPr>
          <w:rFonts w:ascii="Arial" w:eastAsia="Times New Roman" w:hAnsi="Arial" w:cs="Arial"/>
          <w:color w:val="000000" w:themeColor="text1"/>
          <w:shd w:val="clear" w:color="auto" w:fill="FFFFFF"/>
        </w:rPr>
        <w:t>OFLB/109</w:t>
      </w:r>
      <w:r w:rsidRPr="006A3B57">
        <w:rPr>
          <w:rFonts w:ascii="Arial" w:eastAsia="Times New Roman" w:hAnsi="Arial" w:cs="Arial"/>
          <w:color w:val="000000" w:themeColor="text1"/>
        </w:rPr>
        <w:t xml:space="preserve">, </w:t>
      </w:r>
      <w:r w:rsidRPr="006A3B57">
        <w:rPr>
          <w:rFonts w:ascii="Arial" w:eastAsia="Times New Roman" w:hAnsi="Arial" w:cs="Arial"/>
          <w:color w:val="000000" w:themeColor="text1"/>
          <w:shd w:val="clear" w:color="auto" w:fill="FFFFFF"/>
        </w:rPr>
        <w:t>5232 Villigen PSI, Switzerland </w:t>
      </w:r>
    </w:p>
    <w:p w14:paraId="106AA0B4" w14:textId="6BE5B9D6" w:rsidR="006A3B57" w:rsidRPr="006A3B57" w:rsidRDefault="006A3B57" w:rsidP="002C6AF3">
      <w:pPr>
        <w:rPr>
          <w:rFonts w:ascii="Arial" w:eastAsia="Times New Roman" w:hAnsi="Arial" w:cs="Arial"/>
          <w:color w:val="000000" w:themeColor="text1"/>
          <w:shd w:val="clear" w:color="auto" w:fill="FFFFFF"/>
        </w:rPr>
      </w:pPr>
      <w:r w:rsidRPr="006A3B57">
        <w:rPr>
          <w:rFonts w:ascii="Arial" w:eastAsia="Times New Roman" w:hAnsi="Arial" w:cs="Arial"/>
          <w:color w:val="000000" w:themeColor="text1"/>
          <w:shd w:val="clear" w:color="auto" w:fill="FFFFFF"/>
          <w:vertAlign w:val="superscript"/>
        </w:rPr>
        <w:t xml:space="preserve">f </w:t>
      </w:r>
      <w:r w:rsidRPr="006A3B57">
        <w:rPr>
          <w:rFonts w:ascii="Arial" w:eastAsia="Times New Roman" w:hAnsi="Arial" w:cs="Arial"/>
          <w:color w:val="000000"/>
          <w:lang w:eastAsia="en-GB"/>
        </w:rPr>
        <w:t>Department of Environmental Sciences, University of Basel, Klingelbergstrasse 27, 4056 Basel, Switzerland</w:t>
      </w:r>
    </w:p>
    <w:p w14:paraId="74119620" w14:textId="77777777" w:rsidR="002A67DD" w:rsidRPr="006A3B57" w:rsidRDefault="002A67DD" w:rsidP="002A67DD">
      <w:pPr>
        <w:spacing w:after="0" w:line="360" w:lineRule="auto"/>
        <w:jc w:val="both"/>
        <w:rPr>
          <w:rFonts w:ascii="Arial" w:hAnsi="Arial" w:cs="Arial"/>
        </w:rPr>
      </w:pPr>
    </w:p>
    <w:p w14:paraId="61B92EA8" w14:textId="77777777" w:rsidR="002A67DD" w:rsidRPr="002A67DD" w:rsidRDefault="002A67DD" w:rsidP="002A67DD">
      <w:pPr>
        <w:spacing w:after="0" w:line="360" w:lineRule="auto"/>
        <w:jc w:val="both"/>
        <w:rPr>
          <w:rFonts w:ascii="Arial" w:hAnsi="Arial" w:cs="Arial"/>
        </w:rPr>
      </w:pPr>
      <w:r w:rsidRPr="002A67DD">
        <w:rPr>
          <w:rFonts w:ascii="Arial" w:hAnsi="Arial" w:cs="Arial"/>
        </w:rPr>
        <w:t>Email addresses in order of authorship;</w:t>
      </w:r>
    </w:p>
    <w:p w14:paraId="183FBEAC" w14:textId="77777777" w:rsidR="002A67DD" w:rsidRPr="002A67DD" w:rsidRDefault="002A67DD" w:rsidP="002A67DD">
      <w:pPr>
        <w:spacing w:after="0" w:line="360" w:lineRule="auto"/>
        <w:jc w:val="both"/>
        <w:rPr>
          <w:rFonts w:ascii="Arial" w:hAnsi="Arial" w:cs="Arial"/>
        </w:rPr>
      </w:pPr>
    </w:p>
    <w:p w14:paraId="60828594" w14:textId="649E16CD" w:rsidR="002A67DD" w:rsidRPr="007C708F" w:rsidRDefault="002A67DD" w:rsidP="002A67DD">
      <w:pPr>
        <w:spacing w:after="0" w:line="360" w:lineRule="auto"/>
        <w:jc w:val="both"/>
        <w:rPr>
          <w:rFonts w:ascii="Arial" w:hAnsi="Arial" w:cs="Arial"/>
        </w:rPr>
      </w:pPr>
      <w:r w:rsidRPr="007C708F">
        <w:rPr>
          <w:rFonts w:ascii="Arial" w:hAnsi="Arial" w:cs="Arial"/>
        </w:rPr>
        <w:t xml:space="preserve">acfk2@cam.ac.uk; chiara.giorio@unipd.it; ew428@cam.ac.uk; lith@bas.ac.uk; marco.roverso@unipd.it; margit.schwikowski@psi.ch; andrea.tapparo@unipd.it; </w:t>
      </w:r>
      <w:r w:rsidR="008D4E8D" w:rsidRPr="009645A7">
        <w:rPr>
          <w:rFonts w:ascii="Arial" w:hAnsi="Arial" w:cs="Arial"/>
        </w:rPr>
        <w:t>sara.bogialli@unipd.it</w:t>
      </w:r>
      <w:r w:rsidR="00BE5B15" w:rsidRPr="007C708F">
        <w:rPr>
          <w:rFonts w:ascii="Arial" w:hAnsi="Arial" w:cs="Arial"/>
        </w:rPr>
        <w:t xml:space="preserve">; </w:t>
      </w:r>
      <w:r w:rsidRPr="007C708F">
        <w:rPr>
          <w:rFonts w:ascii="Arial" w:hAnsi="Arial" w:cs="Arial"/>
        </w:rPr>
        <w:t>mk594@cam.ac.uk</w:t>
      </w:r>
    </w:p>
    <w:p w14:paraId="0A4B6858" w14:textId="77777777" w:rsidR="002A67DD" w:rsidRPr="002A67DD" w:rsidRDefault="002A67DD" w:rsidP="002A67DD">
      <w:pPr>
        <w:spacing w:after="0" w:line="360" w:lineRule="auto"/>
        <w:jc w:val="both"/>
        <w:rPr>
          <w:rFonts w:ascii="Arial" w:hAnsi="Arial" w:cs="Arial"/>
        </w:rPr>
      </w:pPr>
    </w:p>
    <w:p w14:paraId="09EEA8D3" w14:textId="77777777" w:rsidR="002A67DD" w:rsidRPr="002A67DD" w:rsidRDefault="002A67DD" w:rsidP="002A67DD">
      <w:pPr>
        <w:spacing w:after="0" w:line="360" w:lineRule="auto"/>
        <w:jc w:val="both"/>
        <w:rPr>
          <w:rFonts w:ascii="Arial" w:hAnsi="Arial" w:cs="Arial"/>
        </w:rPr>
      </w:pPr>
    </w:p>
    <w:p w14:paraId="7CB505FE" w14:textId="77777777" w:rsidR="00D24816" w:rsidRDefault="00D24816" w:rsidP="002A67DD">
      <w:pPr>
        <w:spacing w:after="0" w:line="360" w:lineRule="auto"/>
        <w:jc w:val="both"/>
        <w:rPr>
          <w:rFonts w:ascii="Arial" w:hAnsi="Arial" w:cs="Arial"/>
        </w:rPr>
      </w:pPr>
      <w:r>
        <w:rPr>
          <w:rFonts w:ascii="Arial" w:hAnsi="Arial" w:cs="Arial"/>
        </w:rPr>
        <w:t xml:space="preserve">*Corresponding author </w:t>
      </w:r>
      <w:r w:rsidR="002A67DD" w:rsidRPr="002A67DD">
        <w:rPr>
          <w:rFonts w:ascii="Arial" w:hAnsi="Arial" w:cs="Arial"/>
        </w:rPr>
        <w:t xml:space="preserve">Amy C.F.King, </w:t>
      </w:r>
      <w:hyperlink r:id="rId8" w:history="1">
        <w:r w:rsidR="009645A7" w:rsidRPr="00473E0C">
          <w:rPr>
            <w:rFonts w:ascii="Arial" w:hAnsi="Arial" w:cs="Arial"/>
          </w:rPr>
          <w:t>acfk2@cam.ac.uk</w:t>
        </w:r>
      </w:hyperlink>
      <w:r w:rsidR="009645A7">
        <w:rPr>
          <w:rFonts w:ascii="Arial" w:hAnsi="Arial" w:cs="Arial"/>
        </w:rPr>
        <w:t xml:space="preserve"> </w:t>
      </w:r>
    </w:p>
    <w:p w14:paraId="23CF6A9D" w14:textId="643DEF9D" w:rsidR="002A67DD" w:rsidRPr="002A67DD" w:rsidRDefault="00D24816" w:rsidP="002A67DD">
      <w:pPr>
        <w:spacing w:after="0" w:line="360" w:lineRule="auto"/>
        <w:jc w:val="both"/>
        <w:rPr>
          <w:rFonts w:ascii="Arial" w:hAnsi="Arial" w:cs="Arial"/>
        </w:rPr>
      </w:pPr>
      <w:r>
        <w:rPr>
          <w:rFonts w:ascii="Arial" w:hAnsi="Arial" w:cs="Arial"/>
        </w:rPr>
        <w:t xml:space="preserve">**Corresponding author </w:t>
      </w:r>
      <w:r w:rsidR="00473E0C">
        <w:rPr>
          <w:rFonts w:ascii="Arial" w:hAnsi="Arial" w:cs="Arial"/>
        </w:rPr>
        <w:t xml:space="preserve">Chiara Giorio, </w:t>
      </w:r>
      <w:r w:rsidR="009645A7" w:rsidRPr="007C708F">
        <w:rPr>
          <w:rFonts w:ascii="Arial" w:hAnsi="Arial" w:cs="Arial"/>
        </w:rPr>
        <w:t>chiara.giorio@unipd.it</w:t>
      </w:r>
    </w:p>
    <w:p w14:paraId="6739D935" w14:textId="77777777" w:rsidR="002A67DD" w:rsidRPr="002A67DD" w:rsidRDefault="002A67DD" w:rsidP="002A67DD">
      <w:pPr>
        <w:spacing w:after="0" w:line="360" w:lineRule="auto"/>
        <w:jc w:val="both"/>
        <w:rPr>
          <w:rFonts w:ascii="Arial" w:hAnsi="Arial" w:cs="Arial"/>
        </w:rPr>
      </w:pPr>
    </w:p>
    <w:p w14:paraId="314EADBB" w14:textId="77777777" w:rsidR="002A67DD" w:rsidRPr="002A67DD" w:rsidRDefault="002A67DD" w:rsidP="002A67DD">
      <w:pPr>
        <w:spacing w:after="0" w:line="360" w:lineRule="auto"/>
        <w:rPr>
          <w:rFonts w:ascii="Arial" w:hAnsi="Arial" w:cs="Arial"/>
          <w:color w:val="000000" w:themeColor="text1"/>
        </w:rPr>
      </w:pPr>
      <w:r w:rsidRPr="002A67DD">
        <w:rPr>
          <w:rFonts w:ascii="Arial" w:hAnsi="Arial" w:cs="Arial"/>
          <w:color w:val="000000" w:themeColor="text1"/>
        </w:rPr>
        <w:t>Declarations of interest: none</w:t>
      </w:r>
    </w:p>
    <w:p w14:paraId="326BB2DB" w14:textId="12EE6387" w:rsidR="002A67DD" w:rsidRDefault="002A67DD" w:rsidP="002A67DD">
      <w:pPr>
        <w:spacing w:after="0" w:line="360" w:lineRule="auto"/>
        <w:rPr>
          <w:rFonts w:ascii="Arial" w:hAnsi="Arial" w:cs="Arial"/>
          <w:sz w:val="20"/>
          <w:szCs w:val="20"/>
        </w:rPr>
      </w:pPr>
    </w:p>
    <w:p w14:paraId="5E6CDB41" w14:textId="36C1F0D4" w:rsidR="00DA0557" w:rsidRDefault="00DA0557" w:rsidP="002A67DD">
      <w:pPr>
        <w:spacing w:after="0" w:line="360" w:lineRule="auto"/>
        <w:rPr>
          <w:rFonts w:ascii="Arial" w:hAnsi="Arial" w:cs="Arial"/>
          <w:sz w:val="20"/>
          <w:szCs w:val="20"/>
        </w:rPr>
      </w:pPr>
    </w:p>
    <w:p w14:paraId="4940BBD3" w14:textId="299EB9E6" w:rsidR="00DA0557" w:rsidRDefault="00DA0557" w:rsidP="002A67DD">
      <w:pPr>
        <w:spacing w:after="0" w:line="360" w:lineRule="auto"/>
        <w:rPr>
          <w:rFonts w:ascii="Arial" w:hAnsi="Arial" w:cs="Arial"/>
          <w:sz w:val="20"/>
          <w:szCs w:val="20"/>
        </w:rPr>
      </w:pPr>
    </w:p>
    <w:p w14:paraId="2A2E2438" w14:textId="77777777" w:rsidR="00DA0557" w:rsidRPr="002A67DD" w:rsidRDefault="00DA0557" w:rsidP="002A67DD">
      <w:pPr>
        <w:spacing w:after="0" w:line="360" w:lineRule="auto"/>
        <w:rPr>
          <w:rFonts w:ascii="Arial" w:hAnsi="Arial" w:cs="Arial"/>
          <w:sz w:val="20"/>
          <w:szCs w:val="20"/>
        </w:rPr>
      </w:pPr>
    </w:p>
    <w:p w14:paraId="69EFA761" w14:textId="43032709" w:rsidR="00D83EFD" w:rsidRDefault="00D83EFD" w:rsidP="00152877">
      <w:pPr>
        <w:pStyle w:val="Heading1"/>
        <w:spacing w:line="360" w:lineRule="auto"/>
        <w:rPr>
          <w:rFonts w:ascii="Arial" w:hAnsi="Arial" w:cs="Arial"/>
          <w:color w:val="000000" w:themeColor="text1"/>
          <w:sz w:val="22"/>
          <w:szCs w:val="22"/>
        </w:rPr>
      </w:pPr>
      <w:r w:rsidRPr="00D83EFD">
        <w:rPr>
          <w:rFonts w:ascii="Arial" w:hAnsi="Arial" w:cs="Arial"/>
          <w:color w:val="000000" w:themeColor="text1"/>
          <w:sz w:val="22"/>
          <w:szCs w:val="22"/>
        </w:rPr>
        <w:lastRenderedPageBreak/>
        <w:t>Abstract</w:t>
      </w:r>
    </w:p>
    <w:p w14:paraId="6AFD4F7F" w14:textId="77777777" w:rsidR="00152877" w:rsidRPr="00152877" w:rsidRDefault="00152877" w:rsidP="00152877"/>
    <w:p w14:paraId="6F9F11A5" w14:textId="11BCD505" w:rsidR="00D83EFD" w:rsidRPr="00D74D02" w:rsidRDefault="002E6B5B" w:rsidP="00152877">
      <w:pPr>
        <w:spacing w:line="360" w:lineRule="auto"/>
        <w:jc w:val="both"/>
        <w:rPr>
          <w:rFonts w:ascii="Arial" w:hAnsi="Arial" w:cs="Arial"/>
          <w:strike/>
        </w:rPr>
      </w:pPr>
      <w:r>
        <w:rPr>
          <w:rFonts w:ascii="Arial" w:hAnsi="Arial" w:cs="Arial"/>
        </w:rPr>
        <w:t>Many atmospheric organic compounds</w:t>
      </w:r>
      <w:r w:rsidR="00DF1262">
        <w:rPr>
          <w:rFonts w:ascii="Arial" w:hAnsi="Arial" w:cs="Arial"/>
        </w:rPr>
        <w:t xml:space="preserve"> are long-lived enough to be transported </w:t>
      </w:r>
      <w:r w:rsidR="00897991">
        <w:rPr>
          <w:rFonts w:ascii="Arial" w:hAnsi="Arial" w:cs="Arial"/>
        </w:rPr>
        <w:t xml:space="preserve">from their sources </w:t>
      </w:r>
      <w:r w:rsidR="001E1CFC">
        <w:rPr>
          <w:rFonts w:ascii="Arial" w:hAnsi="Arial" w:cs="Arial"/>
        </w:rPr>
        <w:t>to p</w:t>
      </w:r>
      <w:r w:rsidR="00220B17">
        <w:rPr>
          <w:rFonts w:ascii="Arial" w:hAnsi="Arial" w:cs="Arial"/>
        </w:rPr>
        <w:t xml:space="preserve">olar </w:t>
      </w:r>
      <w:r w:rsidR="001E1CFC">
        <w:rPr>
          <w:rFonts w:ascii="Arial" w:hAnsi="Arial" w:cs="Arial"/>
        </w:rPr>
        <w:t>r</w:t>
      </w:r>
      <w:r w:rsidR="00DF1262">
        <w:rPr>
          <w:rFonts w:ascii="Arial" w:hAnsi="Arial" w:cs="Arial"/>
        </w:rPr>
        <w:t>egions and high mountain</w:t>
      </w:r>
      <w:r w:rsidR="001E11AA">
        <w:rPr>
          <w:rFonts w:ascii="Arial" w:hAnsi="Arial" w:cs="Arial"/>
        </w:rPr>
        <w:t xml:space="preserve"> environments where they can be trapped in</w:t>
      </w:r>
      <w:r w:rsidR="001C5A30">
        <w:rPr>
          <w:rFonts w:ascii="Arial" w:hAnsi="Arial" w:cs="Arial"/>
        </w:rPr>
        <w:t xml:space="preserve"> ice archives</w:t>
      </w:r>
      <w:r w:rsidR="009D1F05">
        <w:rPr>
          <w:rFonts w:ascii="Arial" w:hAnsi="Arial" w:cs="Arial"/>
        </w:rPr>
        <w:t xml:space="preserve">. While inorganic components in ice archives </w:t>
      </w:r>
      <w:r w:rsidR="009D1F05" w:rsidRPr="008875D2">
        <w:rPr>
          <w:rFonts w:ascii="Arial" w:hAnsi="Arial" w:cs="Arial"/>
        </w:rPr>
        <w:t xml:space="preserve">have been </w:t>
      </w:r>
      <w:r w:rsidR="008875D2">
        <w:rPr>
          <w:rFonts w:ascii="Arial" w:hAnsi="Arial" w:cs="Arial"/>
        </w:rPr>
        <w:t>studied</w:t>
      </w:r>
      <w:r w:rsidR="009D1F05">
        <w:rPr>
          <w:rFonts w:ascii="Arial" w:hAnsi="Arial" w:cs="Arial"/>
        </w:rPr>
        <w:t xml:space="preserve"> extensively to identify past climate changes, organic compounds </w:t>
      </w:r>
      <w:r w:rsidR="009D1F05" w:rsidRPr="008875D2">
        <w:rPr>
          <w:rFonts w:ascii="Arial" w:hAnsi="Arial" w:cs="Arial"/>
        </w:rPr>
        <w:t>have rarely been used</w:t>
      </w:r>
      <w:r w:rsidR="009D1F05">
        <w:rPr>
          <w:rFonts w:ascii="Arial" w:hAnsi="Arial" w:cs="Arial"/>
        </w:rPr>
        <w:t xml:space="preserve"> to assess paleo-environmental changes</w:t>
      </w:r>
      <w:r w:rsidR="00DB5C29">
        <w:rPr>
          <w:rFonts w:ascii="Arial" w:hAnsi="Arial" w:cs="Arial"/>
        </w:rPr>
        <w:t>,</w:t>
      </w:r>
      <w:r w:rsidR="009D1F05">
        <w:rPr>
          <w:rFonts w:ascii="Arial" w:hAnsi="Arial" w:cs="Arial"/>
        </w:rPr>
        <w:t xml:space="preserve"> mainly due to the lack of </w:t>
      </w:r>
      <w:r w:rsidR="00DB5C29">
        <w:rPr>
          <w:rFonts w:ascii="Arial" w:hAnsi="Arial" w:cs="Arial"/>
        </w:rPr>
        <w:t>suitable</w:t>
      </w:r>
      <w:r w:rsidR="009D1F05">
        <w:rPr>
          <w:rFonts w:ascii="Arial" w:hAnsi="Arial" w:cs="Arial"/>
        </w:rPr>
        <w:t xml:space="preserve"> analytical methods</w:t>
      </w:r>
      <w:r w:rsidR="001C5A30">
        <w:rPr>
          <w:rFonts w:ascii="Arial" w:hAnsi="Arial" w:cs="Arial"/>
        </w:rPr>
        <w:t>.</w:t>
      </w:r>
      <w:r w:rsidR="001E11AA">
        <w:rPr>
          <w:rFonts w:ascii="Arial" w:hAnsi="Arial" w:cs="Arial"/>
        </w:rPr>
        <w:t xml:space="preserve"> </w:t>
      </w:r>
      <w:r w:rsidR="00386475" w:rsidRPr="00386475">
        <w:rPr>
          <w:rFonts w:ascii="Arial" w:hAnsi="Arial" w:cs="Arial"/>
        </w:rPr>
        <w:t>This study presents a</w:t>
      </w:r>
      <w:r w:rsidR="00975082">
        <w:rPr>
          <w:rFonts w:ascii="Arial" w:hAnsi="Arial" w:cs="Arial"/>
        </w:rPr>
        <w:t xml:space="preserve"> </w:t>
      </w:r>
      <w:r w:rsidR="0015338D">
        <w:rPr>
          <w:rFonts w:ascii="Arial" w:hAnsi="Arial" w:cs="Arial"/>
        </w:rPr>
        <w:t xml:space="preserve">new </w:t>
      </w:r>
      <w:r w:rsidR="00975082">
        <w:rPr>
          <w:rFonts w:ascii="Arial" w:hAnsi="Arial" w:cs="Arial"/>
        </w:rPr>
        <w:t xml:space="preserve">method of </w:t>
      </w:r>
      <w:r w:rsidR="00386475" w:rsidRPr="00386475">
        <w:rPr>
          <w:rFonts w:ascii="Arial" w:hAnsi="Arial" w:cs="Arial"/>
        </w:rPr>
        <w:t>direct injection HPLC-MS analysis</w:t>
      </w:r>
      <w:r w:rsidR="00DD3BB4">
        <w:rPr>
          <w:rFonts w:ascii="Arial" w:hAnsi="Arial" w:cs="Arial"/>
        </w:rPr>
        <w:t>, without the need of pre-concentrating the melted ice,</w:t>
      </w:r>
      <w:r w:rsidR="00386475" w:rsidRPr="00386475">
        <w:rPr>
          <w:rFonts w:ascii="Arial" w:hAnsi="Arial" w:cs="Arial"/>
        </w:rPr>
        <w:t xml:space="preserve"> for </w:t>
      </w:r>
      <w:r w:rsidR="00973EEA">
        <w:rPr>
          <w:rFonts w:ascii="Arial" w:hAnsi="Arial" w:cs="Arial"/>
        </w:rPr>
        <w:t xml:space="preserve">the determination of </w:t>
      </w:r>
      <w:r w:rsidR="00386475" w:rsidRPr="00386475">
        <w:rPr>
          <w:rFonts w:ascii="Arial" w:hAnsi="Arial" w:cs="Arial"/>
        </w:rPr>
        <w:t>a series of novel biomarkers in ice-core samples</w:t>
      </w:r>
      <w:r w:rsidR="00897991">
        <w:rPr>
          <w:rFonts w:ascii="Arial" w:hAnsi="Arial" w:cs="Arial"/>
        </w:rPr>
        <w:t xml:space="preserve"> indicative of primary and secondary terrestrial and marine organic aerosol sources</w:t>
      </w:r>
      <w:r w:rsidR="00386475" w:rsidRPr="00386475">
        <w:rPr>
          <w:rFonts w:ascii="Arial" w:hAnsi="Arial" w:cs="Arial"/>
        </w:rPr>
        <w:t xml:space="preserve">. </w:t>
      </w:r>
      <w:r w:rsidR="006D500C">
        <w:rPr>
          <w:rFonts w:ascii="Arial" w:hAnsi="Arial" w:cs="Arial"/>
        </w:rPr>
        <w:t>E</w:t>
      </w:r>
      <w:r w:rsidR="000445EF" w:rsidRPr="00386475">
        <w:rPr>
          <w:rFonts w:ascii="Arial" w:hAnsi="Arial" w:cs="Arial"/>
        </w:rPr>
        <w:t xml:space="preserve">liminating </w:t>
      </w:r>
      <w:r w:rsidR="0080735F">
        <w:rPr>
          <w:rFonts w:ascii="Arial" w:hAnsi="Arial" w:cs="Arial"/>
        </w:rPr>
        <w:t xml:space="preserve">a preconcentration </w:t>
      </w:r>
      <w:r w:rsidR="000445EF" w:rsidRPr="00386475">
        <w:rPr>
          <w:rFonts w:ascii="Arial" w:hAnsi="Arial" w:cs="Arial"/>
        </w:rPr>
        <w:t>step</w:t>
      </w:r>
      <w:r w:rsidR="006D500C">
        <w:rPr>
          <w:rFonts w:ascii="Arial" w:hAnsi="Arial" w:cs="Arial"/>
        </w:rPr>
        <w:t xml:space="preserve"> </w:t>
      </w:r>
      <w:r w:rsidR="000445EF" w:rsidRPr="00386475">
        <w:rPr>
          <w:rFonts w:ascii="Arial" w:hAnsi="Arial" w:cs="Arial"/>
        </w:rPr>
        <w:t>reduc</w:t>
      </w:r>
      <w:r w:rsidR="006D500C">
        <w:rPr>
          <w:rFonts w:ascii="Arial" w:hAnsi="Arial" w:cs="Arial"/>
        </w:rPr>
        <w:t>es</w:t>
      </w:r>
      <w:r w:rsidR="000445EF" w:rsidRPr="00386475">
        <w:rPr>
          <w:rFonts w:ascii="Arial" w:hAnsi="Arial" w:cs="Arial"/>
        </w:rPr>
        <w:t xml:space="preserve"> contamination potential</w:t>
      </w:r>
      <w:r w:rsidR="00473E0C">
        <w:rPr>
          <w:rFonts w:ascii="Arial" w:hAnsi="Arial" w:cs="Arial"/>
        </w:rPr>
        <w:t xml:space="preserve"> and</w:t>
      </w:r>
      <w:r w:rsidR="0080735F">
        <w:rPr>
          <w:rFonts w:ascii="Arial" w:hAnsi="Arial" w:cs="Arial"/>
        </w:rPr>
        <w:t xml:space="preserve"> </w:t>
      </w:r>
      <w:r w:rsidR="000445EF" w:rsidRPr="00386475">
        <w:rPr>
          <w:rFonts w:ascii="Arial" w:hAnsi="Arial" w:cs="Arial"/>
        </w:rPr>
        <w:t>decreas</w:t>
      </w:r>
      <w:r w:rsidR="006D500C">
        <w:rPr>
          <w:rFonts w:ascii="Arial" w:hAnsi="Arial" w:cs="Arial"/>
        </w:rPr>
        <w:t xml:space="preserve">es the </w:t>
      </w:r>
      <w:r w:rsidR="000445EF" w:rsidRPr="00386475">
        <w:rPr>
          <w:rFonts w:ascii="Arial" w:hAnsi="Arial" w:cs="Arial"/>
        </w:rPr>
        <w:t>required sample volume</w:t>
      </w:r>
      <w:r w:rsidR="0080735F">
        <w:rPr>
          <w:rFonts w:ascii="Arial" w:hAnsi="Arial" w:cs="Arial"/>
        </w:rPr>
        <w:t xml:space="preserve"> thus </w:t>
      </w:r>
      <w:r w:rsidR="00220B17">
        <w:rPr>
          <w:rFonts w:ascii="Arial" w:hAnsi="Arial" w:cs="Arial"/>
        </w:rPr>
        <w:t>allowing</w:t>
      </w:r>
      <w:r w:rsidR="0080735F">
        <w:rPr>
          <w:rFonts w:ascii="Arial" w:hAnsi="Arial" w:cs="Arial"/>
        </w:rPr>
        <w:t xml:space="preserve"> </w:t>
      </w:r>
      <w:r w:rsidR="00BB05E5">
        <w:rPr>
          <w:rFonts w:ascii="Arial" w:hAnsi="Arial" w:cs="Arial"/>
        </w:rPr>
        <w:t xml:space="preserve">a </w:t>
      </w:r>
      <w:r w:rsidR="00897991">
        <w:rPr>
          <w:rFonts w:ascii="Arial" w:hAnsi="Arial" w:cs="Arial"/>
        </w:rPr>
        <w:t>higher time resolution i</w:t>
      </w:r>
      <w:r w:rsidR="00BB05E5">
        <w:rPr>
          <w:rFonts w:ascii="Arial" w:hAnsi="Arial" w:cs="Arial"/>
        </w:rPr>
        <w:t>n the archives</w:t>
      </w:r>
      <w:r w:rsidR="000445EF" w:rsidRPr="00386475">
        <w:rPr>
          <w:rFonts w:ascii="Arial" w:hAnsi="Arial" w:cs="Arial"/>
        </w:rPr>
        <w:t>.</w:t>
      </w:r>
      <w:r w:rsidR="00BB05E5">
        <w:rPr>
          <w:rFonts w:ascii="Arial" w:hAnsi="Arial" w:cs="Arial"/>
        </w:rPr>
        <w:t xml:space="preserve"> </w:t>
      </w:r>
      <w:r w:rsidR="00386475" w:rsidRPr="00386475">
        <w:rPr>
          <w:rFonts w:ascii="Arial" w:hAnsi="Arial" w:cs="Arial"/>
        </w:rPr>
        <w:t xml:space="preserve">The method is </w:t>
      </w:r>
      <w:r w:rsidR="003804E0">
        <w:rPr>
          <w:rFonts w:ascii="Arial" w:hAnsi="Arial" w:cs="Arial"/>
        </w:rPr>
        <w:t xml:space="preserve">characterised by limits of detections (LODs) in the range of </w:t>
      </w:r>
      <w:r w:rsidR="00D624F6">
        <w:rPr>
          <w:rFonts w:ascii="Arial" w:hAnsi="Arial" w:cs="Arial"/>
        </w:rPr>
        <w:t>0.01</w:t>
      </w:r>
      <w:r w:rsidR="003804E0">
        <w:rPr>
          <w:rFonts w:ascii="Arial" w:hAnsi="Arial" w:cs="Arial"/>
        </w:rPr>
        <w:t>-</w:t>
      </w:r>
      <w:r w:rsidR="00D624F6">
        <w:rPr>
          <w:rFonts w:ascii="Arial" w:hAnsi="Arial" w:cs="Arial"/>
        </w:rPr>
        <w:t xml:space="preserve">15 ppb, depending on the analyte, </w:t>
      </w:r>
      <w:r w:rsidR="00473E0C">
        <w:rPr>
          <w:rFonts w:ascii="Arial" w:hAnsi="Arial" w:cs="Arial"/>
        </w:rPr>
        <w:t xml:space="preserve">and </w:t>
      </w:r>
      <w:r w:rsidR="006A3855">
        <w:rPr>
          <w:rFonts w:ascii="Arial" w:hAnsi="Arial" w:cs="Arial"/>
        </w:rPr>
        <w:t xml:space="preserve">accuracy </w:t>
      </w:r>
      <w:r w:rsidR="005A7FFD">
        <w:rPr>
          <w:rFonts w:ascii="Arial" w:hAnsi="Arial" w:cs="Arial"/>
        </w:rPr>
        <w:t>evaluated through an interlaboratory comparison</w:t>
      </w:r>
      <w:r w:rsidR="00386475" w:rsidRPr="00386475">
        <w:rPr>
          <w:rFonts w:ascii="Arial" w:hAnsi="Arial" w:cs="Arial"/>
        </w:rPr>
        <w:t xml:space="preserve">. </w:t>
      </w:r>
      <w:r w:rsidR="00386475">
        <w:rPr>
          <w:rFonts w:ascii="Arial" w:hAnsi="Arial" w:cs="Arial"/>
        </w:rPr>
        <w:t xml:space="preserve">We </w:t>
      </w:r>
      <w:r w:rsidR="00BB05E5">
        <w:rPr>
          <w:rFonts w:ascii="Arial" w:hAnsi="Arial" w:cs="Arial"/>
        </w:rPr>
        <w:t xml:space="preserve">find </w:t>
      </w:r>
      <w:r w:rsidR="00386475">
        <w:rPr>
          <w:rFonts w:ascii="Arial" w:hAnsi="Arial" w:cs="Arial"/>
        </w:rPr>
        <w:t xml:space="preserve">that many </w:t>
      </w:r>
      <w:r w:rsidR="00B83060">
        <w:rPr>
          <w:rFonts w:ascii="Arial" w:hAnsi="Arial" w:cs="Arial"/>
        </w:rPr>
        <w:t xml:space="preserve">components in </w:t>
      </w:r>
      <w:r w:rsidR="00386475">
        <w:rPr>
          <w:rFonts w:ascii="Arial" w:hAnsi="Arial" w:cs="Arial"/>
        </w:rPr>
        <w:t xml:space="preserve">secondary </w:t>
      </w:r>
      <w:r w:rsidR="00220B17">
        <w:rPr>
          <w:rFonts w:ascii="Arial" w:hAnsi="Arial" w:cs="Arial"/>
        </w:rPr>
        <w:t>organic</w:t>
      </w:r>
      <w:r w:rsidR="00386475">
        <w:rPr>
          <w:rFonts w:ascii="Arial" w:hAnsi="Arial" w:cs="Arial"/>
        </w:rPr>
        <w:t xml:space="preserve"> aerosols (SOA) are clearly detectable at concentration</w:t>
      </w:r>
      <w:r w:rsidR="00494DD4">
        <w:rPr>
          <w:rFonts w:ascii="Arial" w:hAnsi="Arial" w:cs="Arial"/>
        </w:rPr>
        <w:t>s</w:t>
      </w:r>
      <w:r w:rsidR="00386475">
        <w:rPr>
          <w:rFonts w:ascii="Arial" w:hAnsi="Arial" w:cs="Arial"/>
        </w:rPr>
        <w:t xml:space="preserve"> comparable to those previously observed</w:t>
      </w:r>
      <w:r w:rsidR="00975082">
        <w:rPr>
          <w:rFonts w:ascii="Arial" w:hAnsi="Arial" w:cs="Arial"/>
        </w:rPr>
        <w:t xml:space="preserve"> in replicate </w:t>
      </w:r>
      <w:r w:rsidR="00494DD4">
        <w:rPr>
          <w:rFonts w:ascii="Arial" w:hAnsi="Arial" w:cs="Arial"/>
        </w:rPr>
        <w:t xml:space="preserve">preconcentrated </w:t>
      </w:r>
      <w:r w:rsidR="00975082">
        <w:rPr>
          <w:rFonts w:ascii="Arial" w:hAnsi="Arial" w:cs="Arial"/>
        </w:rPr>
        <w:t xml:space="preserve">ice samples from the Belukha glacier, Russian Altai </w:t>
      </w:r>
      <w:r w:rsidR="00494DD4">
        <w:rPr>
          <w:rFonts w:ascii="Arial" w:hAnsi="Arial" w:cs="Arial"/>
        </w:rPr>
        <w:t>Mountains</w:t>
      </w:r>
      <w:r w:rsidR="00975082">
        <w:rPr>
          <w:rFonts w:ascii="Arial" w:hAnsi="Arial" w:cs="Arial"/>
        </w:rPr>
        <w:t>.</w:t>
      </w:r>
      <w:r w:rsidR="00386475">
        <w:rPr>
          <w:rFonts w:ascii="Arial" w:hAnsi="Arial" w:cs="Arial"/>
        </w:rPr>
        <w:t xml:space="preserve"> </w:t>
      </w:r>
      <w:r w:rsidR="00602D19">
        <w:rPr>
          <w:rFonts w:ascii="Arial" w:hAnsi="Arial" w:cs="Arial"/>
        </w:rPr>
        <w:t xml:space="preserve">Some compounds with low recoveries in preconcentration steps are </w:t>
      </w:r>
      <w:r w:rsidR="00BA5438">
        <w:rPr>
          <w:rFonts w:ascii="Arial" w:hAnsi="Arial" w:cs="Arial"/>
        </w:rPr>
        <w:t>now</w:t>
      </w:r>
      <w:r w:rsidR="00602D19">
        <w:rPr>
          <w:rFonts w:ascii="Arial" w:hAnsi="Arial" w:cs="Arial"/>
        </w:rPr>
        <w:t xml:space="preserve"> detectable in samples with this </w:t>
      </w:r>
      <w:r w:rsidR="00BA5438">
        <w:rPr>
          <w:rFonts w:ascii="Arial" w:hAnsi="Arial" w:cs="Arial"/>
        </w:rPr>
        <w:t xml:space="preserve">new </w:t>
      </w:r>
      <w:r w:rsidR="00602D19">
        <w:rPr>
          <w:rFonts w:ascii="Arial" w:hAnsi="Arial" w:cs="Arial"/>
        </w:rPr>
        <w:t>direct injection method</w:t>
      </w:r>
      <w:r w:rsidR="00D74D02">
        <w:rPr>
          <w:rFonts w:ascii="Arial" w:hAnsi="Arial" w:cs="Arial"/>
        </w:rPr>
        <w:t xml:space="preserve"> significantly increasing the range of environmental processes and sources that become accessible for paleo-climate studies</w:t>
      </w:r>
      <w:r w:rsidR="00602D19">
        <w:rPr>
          <w:rFonts w:ascii="Arial" w:hAnsi="Arial" w:cs="Arial"/>
        </w:rPr>
        <w:t xml:space="preserve">. </w:t>
      </w:r>
    </w:p>
    <w:p w14:paraId="4474CC2B" w14:textId="77777777" w:rsidR="00D83EFD" w:rsidRPr="00D83EFD" w:rsidRDefault="00D83EFD" w:rsidP="00D83EFD"/>
    <w:p w14:paraId="7EDD5127" w14:textId="77680CA6" w:rsidR="00D83EFD" w:rsidRDefault="00D83EFD" w:rsidP="00D96F8D">
      <w:pPr>
        <w:pStyle w:val="Heading1"/>
        <w:spacing w:line="360" w:lineRule="auto"/>
        <w:rPr>
          <w:rFonts w:ascii="Arial" w:hAnsi="Arial" w:cs="Arial"/>
          <w:color w:val="000000" w:themeColor="text1"/>
          <w:sz w:val="22"/>
          <w:szCs w:val="22"/>
        </w:rPr>
      </w:pPr>
      <w:r>
        <w:rPr>
          <w:rFonts w:ascii="Arial" w:hAnsi="Arial" w:cs="Arial"/>
          <w:color w:val="000000" w:themeColor="text1"/>
          <w:sz w:val="22"/>
          <w:szCs w:val="22"/>
        </w:rPr>
        <w:t>Keywords</w:t>
      </w:r>
    </w:p>
    <w:p w14:paraId="6DBA2281" w14:textId="77777777" w:rsidR="00D96F8D" w:rsidRPr="00D96F8D" w:rsidRDefault="00D96F8D" w:rsidP="00D96F8D"/>
    <w:p w14:paraId="0B7F4839" w14:textId="1480E6ED" w:rsidR="00D83EFD" w:rsidRPr="008155AC" w:rsidRDefault="00152877" w:rsidP="008155AC">
      <w:pPr>
        <w:spacing w:line="360" w:lineRule="auto"/>
        <w:jc w:val="both"/>
        <w:rPr>
          <w:rFonts w:ascii="Arial" w:hAnsi="Arial" w:cs="Arial"/>
        </w:rPr>
      </w:pPr>
      <w:r w:rsidRPr="008155AC">
        <w:rPr>
          <w:rFonts w:ascii="Arial" w:hAnsi="Arial" w:cs="Arial"/>
        </w:rPr>
        <w:t>Ice core, Biomarker, Organic Aerosol, Liquid Chromatography, Mass Spectrometry, Paleoclimate</w:t>
      </w:r>
    </w:p>
    <w:p w14:paraId="12F85745" w14:textId="7B0AD353" w:rsidR="00D83EFD" w:rsidRDefault="00D83EFD" w:rsidP="00D83EFD"/>
    <w:p w14:paraId="0E4F6317" w14:textId="77777777" w:rsidR="0006484B" w:rsidRDefault="0006484B" w:rsidP="00D83EFD"/>
    <w:p w14:paraId="06171548" w14:textId="036F8E0D" w:rsidR="0006484B" w:rsidRDefault="0006484B" w:rsidP="00D83EFD"/>
    <w:p w14:paraId="69A9306F" w14:textId="0A14676F" w:rsidR="00F062CD" w:rsidRDefault="00F062CD" w:rsidP="00D83EFD"/>
    <w:p w14:paraId="4BD0B855" w14:textId="77777777" w:rsidR="00F062CD" w:rsidRDefault="00F062CD" w:rsidP="00D83EFD"/>
    <w:p w14:paraId="5C38B8F2" w14:textId="53E8B61F" w:rsidR="00D83EFD" w:rsidRDefault="00D83EFD" w:rsidP="002509EC">
      <w:pPr>
        <w:pStyle w:val="Heading1"/>
        <w:numPr>
          <w:ilvl w:val="0"/>
          <w:numId w:val="1"/>
        </w:numPr>
        <w:spacing w:line="360" w:lineRule="auto"/>
        <w:rPr>
          <w:rFonts w:ascii="Arial" w:hAnsi="Arial" w:cs="Arial"/>
          <w:color w:val="000000" w:themeColor="text1"/>
          <w:sz w:val="22"/>
          <w:szCs w:val="22"/>
        </w:rPr>
      </w:pPr>
      <w:r>
        <w:rPr>
          <w:rFonts w:ascii="Arial" w:hAnsi="Arial" w:cs="Arial"/>
          <w:color w:val="000000" w:themeColor="text1"/>
          <w:sz w:val="22"/>
          <w:szCs w:val="22"/>
        </w:rPr>
        <w:lastRenderedPageBreak/>
        <w:t>Introduction</w:t>
      </w:r>
    </w:p>
    <w:p w14:paraId="219F97EF" w14:textId="77777777" w:rsidR="00D96F8D" w:rsidRPr="00D96F8D" w:rsidRDefault="00D96F8D" w:rsidP="00D96F8D"/>
    <w:p w14:paraId="071C15AD" w14:textId="6543DAC0" w:rsidR="00D83EFD" w:rsidRDefault="00D83EFD" w:rsidP="0026097A">
      <w:pPr>
        <w:spacing w:line="360" w:lineRule="auto"/>
        <w:jc w:val="both"/>
        <w:rPr>
          <w:rFonts w:ascii="Arial" w:hAnsi="Arial" w:cs="Arial"/>
        </w:rPr>
      </w:pPr>
      <w:r>
        <w:rPr>
          <w:rFonts w:ascii="Arial" w:hAnsi="Arial" w:cs="Arial"/>
        </w:rPr>
        <w:t xml:space="preserve">The analysis and quantification of </w:t>
      </w:r>
      <w:r w:rsidR="00D21B3D">
        <w:rPr>
          <w:rFonts w:ascii="Arial" w:hAnsi="Arial" w:cs="Arial"/>
        </w:rPr>
        <w:t>non-anthropogeni</w:t>
      </w:r>
      <w:r w:rsidR="00FE58DB">
        <w:rPr>
          <w:rFonts w:ascii="Arial" w:hAnsi="Arial" w:cs="Arial"/>
        </w:rPr>
        <w:t>c</w:t>
      </w:r>
      <w:r w:rsidR="00D21B3D">
        <w:rPr>
          <w:rFonts w:ascii="Arial" w:hAnsi="Arial" w:cs="Arial"/>
        </w:rPr>
        <w:t xml:space="preserve"> marine and terrestrial </w:t>
      </w:r>
      <w:r>
        <w:rPr>
          <w:rFonts w:ascii="Arial" w:hAnsi="Arial" w:cs="Arial"/>
        </w:rPr>
        <w:t>organic compounds in ice cores is a developing field presenting a</w:t>
      </w:r>
      <w:r w:rsidR="00FC6FEC">
        <w:rPr>
          <w:rFonts w:ascii="Arial" w:hAnsi="Arial" w:cs="Arial"/>
        </w:rPr>
        <w:t xml:space="preserve"> new</w:t>
      </w:r>
      <w:r>
        <w:rPr>
          <w:rFonts w:ascii="Arial" w:hAnsi="Arial" w:cs="Arial"/>
        </w:rPr>
        <w:t xml:space="preserve"> suit</w:t>
      </w:r>
      <w:r w:rsidR="000916B6">
        <w:rPr>
          <w:rFonts w:ascii="Arial" w:hAnsi="Arial" w:cs="Arial"/>
        </w:rPr>
        <w:t>e</w:t>
      </w:r>
      <w:r>
        <w:rPr>
          <w:rFonts w:ascii="Arial" w:hAnsi="Arial" w:cs="Arial"/>
        </w:rPr>
        <w:t xml:space="preserve"> of compounds potentially applicable to </w:t>
      </w:r>
      <w:r w:rsidR="000916B6">
        <w:rPr>
          <w:rFonts w:ascii="Arial" w:hAnsi="Arial" w:cs="Arial"/>
        </w:rPr>
        <w:t>palaeo</w:t>
      </w:r>
      <w:r w:rsidR="00FC6FEC">
        <w:rPr>
          <w:rFonts w:ascii="Arial" w:hAnsi="Arial" w:cs="Arial"/>
        </w:rPr>
        <w:t>environmental</w:t>
      </w:r>
      <w:r>
        <w:rPr>
          <w:rFonts w:ascii="Arial" w:hAnsi="Arial" w:cs="Arial"/>
        </w:rPr>
        <w:t xml:space="preserve"> reconstruction </w:t>
      </w:r>
      <w:r>
        <w:rPr>
          <w:rFonts w:ascii="Arial" w:hAnsi="Arial" w:cs="Arial"/>
        </w:rPr>
        <w:fldChar w:fldCharType="begin" w:fldLock="1"/>
      </w:r>
      <w:r w:rsidR="009C6FFE">
        <w:rPr>
          <w:rFonts w:ascii="Arial" w:hAnsi="Arial" w:cs="Arial"/>
        </w:rPr>
        <w:instrText>ADDIN CSL_CITATION {"citationItems":[{"id":"ITEM-1","itemData":{"DOI":"10.1016/j.quascirev.2018.01.007","ISSN":"02773791","abstract":"Polar ice cores provide information about past climate and environmental changes over periods ranging from a few years up to 800,000 years. The majority of chemical studies have focused on determining inorganic components, such as major ions and trace elements as well as on their isotopic fingerprint. In this paper, we review the different classes of organic compounds that might yield environmental information, discussing existing research and what is needed to improve knowledge. We also discuss the problems of sampling, analysis and interpretation of organic molecules in ice. This review highlights the great potential for organic compounds to be used as proxies for anthropogenic activities, past fire events from different types of biomass, terrestrial biogenic emissions and marine biological activity, along with the possibility of inferring past temperature fluctuations and even large-scale climate variability. In parallel, comprehensive research needs to be done to assess the atmospheric stability of these compounds, their ability to be transported long distances in the atmosphere, and their stability in the archive in order to better interpret their fluxes in ice cores. In addition, specific decontamination procedures, analytical methods with low detection limits (ng/L or lower), fast analysis time and low sample requests need to be developed in order to ensure a good time resolution in the archive.","author":[{"dropping-particle":"","family":"Giorio","given":"Chiara","non-dropping-particle":"","parse-names":false,"suffix":""},{"dropping-particle":"","family":"Kehrwald","given":"Natalie","non-dropping-particle":"","parse-names":false,"suffix":""},{"dropping-particle":"","family":"Barbante","given":"Carlo","non-dropping-particle":"","parse-names":false,"suffix":""},{"dropping-particle":"","family":"Kalberer","given":"Markus","non-dropping-particle":"","parse-names":false,"suffix":""},{"dropping-particle":"","family":"King","given":"Amy C.F.","non-dropping-particle":"","parse-names":false,"suffix":""},{"dropping-particle":"","family":"Thomas","given":"Elizabeth R.","non-dropping-particle":"","parse-names":false,"suffix":""},{"dropping-particle":"","family":"Wolff","given":"Eric W.","non-dropping-particle":"","parse-names":false,"suffix":""},{"dropping-particle":"","family":"Zennaro","given":"Piero","non-dropping-particle":"","parse-names":false,"suffix":""}],"container-title":"Quaternary Science Reviews","id":"ITEM-1","issued":{"date-parts":[["2018"]]},"page":"1-22","title":"Prospects for reconstructing paleoenvironmental conditions from organic compounds in polar snow and ice","type":"article-journal","volume":"183"},"uris":["http://www.mendeley.com/documents/?uuid=6d2e8c84-2d44-4bd2-8dc6-1b9957e0e9a0"]}],"mendeley":{"formattedCitation":"&lt;sup&gt;1&lt;/sup&gt;","plainTextFormattedCitation":"1","previouslyFormattedCitation":"&lt;sup&gt;1&lt;/sup&gt;"},"properties":{"noteIndex":0},"schema":"https://github.com/citation-style-language/schema/raw/master/csl-citation.json"}</w:instrText>
      </w:r>
      <w:r>
        <w:rPr>
          <w:rFonts w:ascii="Arial" w:hAnsi="Arial" w:cs="Arial"/>
        </w:rPr>
        <w:fldChar w:fldCharType="separate"/>
      </w:r>
      <w:r w:rsidR="002B34DF" w:rsidRPr="002B34DF">
        <w:rPr>
          <w:rFonts w:ascii="Arial" w:hAnsi="Arial" w:cs="Arial"/>
          <w:noProof/>
          <w:vertAlign w:val="superscript"/>
        </w:rPr>
        <w:t>1</w:t>
      </w:r>
      <w:r>
        <w:rPr>
          <w:rFonts w:ascii="Arial" w:hAnsi="Arial" w:cs="Arial"/>
        </w:rPr>
        <w:fldChar w:fldCharType="end"/>
      </w:r>
      <w:r>
        <w:rPr>
          <w:rFonts w:ascii="Arial" w:hAnsi="Arial" w:cs="Arial"/>
        </w:rPr>
        <w:t xml:space="preserve">. </w:t>
      </w:r>
      <w:r w:rsidR="00E863AF">
        <w:rPr>
          <w:rFonts w:ascii="Arial" w:hAnsi="Arial" w:cs="Arial"/>
        </w:rPr>
        <w:t>A</w:t>
      </w:r>
      <w:r>
        <w:rPr>
          <w:rFonts w:ascii="Arial" w:hAnsi="Arial" w:cs="Arial"/>
        </w:rPr>
        <w:t xml:space="preserve"> small selection of studies </w:t>
      </w:r>
      <w:r w:rsidR="00E863AF">
        <w:rPr>
          <w:rFonts w:ascii="Arial" w:hAnsi="Arial" w:cs="Arial"/>
        </w:rPr>
        <w:t>obtaining</w:t>
      </w:r>
      <w:r>
        <w:rPr>
          <w:rFonts w:ascii="Arial" w:hAnsi="Arial" w:cs="Arial"/>
        </w:rPr>
        <w:t xml:space="preserve"> new records of various novel organic compounds in ice</w:t>
      </w:r>
      <w:r w:rsidR="00E863AF">
        <w:rPr>
          <w:rFonts w:ascii="Arial" w:hAnsi="Arial" w:cs="Arial"/>
        </w:rPr>
        <w:t xml:space="preserve"> ha</w:t>
      </w:r>
      <w:r w:rsidR="00FC6FEC">
        <w:rPr>
          <w:rFonts w:ascii="Arial" w:hAnsi="Arial" w:cs="Arial"/>
        </w:rPr>
        <w:t>s</w:t>
      </w:r>
      <w:r w:rsidR="00E863AF">
        <w:rPr>
          <w:rFonts w:ascii="Arial" w:hAnsi="Arial" w:cs="Arial"/>
        </w:rPr>
        <w:t xml:space="preserve"> proven the concept; Kawamura et al.</w:t>
      </w:r>
      <w:r>
        <w:rPr>
          <w:rFonts w:ascii="Arial" w:hAnsi="Arial" w:cs="Arial"/>
        </w:rPr>
        <w:t xml:space="preserve"> </w:t>
      </w:r>
      <w:r w:rsidR="000916B6">
        <w:rPr>
          <w:rFonts w:ascii="Arial" w:hAnsi="Arial" w:cs="Arial"/>
        </w:rPr>
        <w:fldChar w:fldCharType="begin" w:fldLock="1"/>
      </w:r>
      <w:r w:rsidR="009C6FFE">
        <w:rPr>
          <w:rFonts w:ascii="Arial" w:hAnsi="Arial" w:cs="Arial"/>
        </w:rPr>
        <w:instrText>ADDIN CSL_CITATION {"citationItems":[{"id":"ITEM-1","itemData":{"DOI":"10.1029/96gl02428","ISBN":"0094-8276","ISSN":"00948276","PMID":"2036175","abstract":"Fatty acids have been studied in the ice core taken from Site-J, Greenland using a capillary gas chromatography and mass spectrometry. Their molecular distributions suggest that","author":[{"dropping-particle":"","family":"Kawamura","given":"K","non-dropping-particle":"","parse-names":false,"suffix":""},{"dropping-particle":"","family":"Suzuki","given":"Ikuko","non-dropping-particle":"","parse-names":false,"suffix":""},{"dropping-particle":"","family":"Fujii","given":"Yoshiyuki","non-dropping-particle":"","parse-names":false,"suffix":""},{"dropping-particle":"","family":"Watanabe","given":"Okitsugu","non-dropping-particle":"","parse-names":false,"suffix":""}],"container-title":"Geophysical Research Letters","id":"ITEM-1","issue":"19","issued":{"date-parts":[["1996"]]},"page":"2665-2668","title":"Ice core record of fatty acids over the past 450 years in Greenland","type":"article-journal","volume":"23"},"uris":["http://www.mendeley.com/documents/?uuid=2c12518f-3b86-38b6-9932-6b06051ccb17","http://www.mendeley.com/documents/?uuid=3a67c14f-b070-40ae-b434-3482e3245799"]}],"mendeley":{"formattedCitation":"&lt;sup&gt;2&lt;/sup&gt;","plainTextFormattedCitation":"2","previouslyFormattedCitation":"&lt;sup&gt;2&lt;/sup&gt;"},"properties":{"noteIndex":0},"schema":"https://github.com/citation-style-language/schema/raw/master/csl-citation.json"}</w:instrText>
      </w:r>
      <w:r w:rsidR="000916B6">
        <w:rPr>
          <w:rFonts w:ascii="Arial" w:hAnsi="Arial" w:cs="Arial"/>
        </w:rPr>
        <w:fldChar w:fldCharType="separate"/>
      </w:r>
      <w:r w:rsidR="002B34DF" w:rsidRPr="002B34DF">
        <w:rPr>
          <w:rFonts w:ascii="Arial" w:hAnsi="Arial" w:cs="Arial"/>
          <w:noProof/>
          <w:vertAlign w:val="superscript"/>
        </w:rPr>
        <w:t>2</w:t>
      </w:r>
      <w:r w:rsidR="000916B6">
        <w:rPr>
          <w:rFonts w:ascii="Arial" w:hAnsi="Arial" w:cs="Arial"/>
        </w:rPr>
        <w:fldChar w:fldCharType="end"/>
      </w:r>
      <w:r w:rsidR="00E863AF">
        <w:rPr>
          <w:rFonts w:ascii="Arial" w:hAnsi="Arial" w:cs="Arial"/>
        </w:rPr>
        <w:t xml:space="preserve">  detected </w:t>
      </w:r>
      <w:r w:rsidR="000916B6" w:rsidRPr="00B33469">
        <w:rPr>
          <w:rFonts w:ascii="Arial" w:hAnsi="Arial" w:cs="Arial"/>
        </w:rPr>
        <w:t>lipid compounds in snow layers dating back 450 years at Site J, Greenland</w:t>
      </w:r>
      <w:r w:rsidR="00E863AF">
        <w:rPr>
          <w:rFonts w:ascii="Arial" w:hAnsi="Arial" w:cs="Arial"/>
        </w:rPr>
        <w:t>, using gas chromatography – mass spectrometry (GC-MS)</w:t>
      </w:r>
      <w:r w:rsidR="000916B6">
        <w:rPr>
          <w:rFonts w:ascii="Arial" w:hAnsi="Arial" w:cs="Arial"/>
        </w:rPr>
        <w:t>,</w:t>
      </w:r>
      <w:r w:rsidR="00E863AF">
        <w:rPr>
          <w:rFonts w:ascii="Arial" w:hAnsi="Arial" w:cs="Arial"/>
        </w:rPr>
        <w:t xml:space="preserve"> Pokhrel et al.</w:t>
      </w:r>
      <w:r w:rsidR="000916B6">
        <w:rPr>
          <w:rFonts w:ascii="Arial" w:hAnsi="Arial" w:cs="Arial"/>
        </w:rPr>
        <w:t xml:space="preserve"> </w:t>
      </w:r>
      <w:r w:rsidR="000916B6">
        <w:rPr>
          <w:rFonts w:ascii="Arial" w:hAnsi="Arial" w:cs="Arial"/>
        </w:rPr>
        <w:fldChar w:fldCharType="begin" w:fldLock="1"/>
      </w:r>
      <w:r w:rsidR="009C6FFE">
        <w:rPr>
          <w:rFonts w:ascii="Arial" w:hAnsi="Arial" w:cs="Arial"/>
        </w:rPr>
        <w:instrText>ADDIN CSL_CITATION {"citationItems":[{"id":"ITEM-1","itemData":{"DOI":"10.1016/j.atmosenv.2015.09.063","ISSN":"18732844","abstract":"Monoterpene and isoprene secondary organic aerosol (SOA) tracers are reported for the first time in an Alaskan ice core to better understand the biological source strength before and after the industrial revolution in the Northern Hemisphere. We found significantly high concentrations of monoterpene- and isoprene-SOA tracers (e.g., pinic, pinonic, and 2-methylglyceric acids, 2-methylthreitol and 2-methylerythritol) in the ice core, which show historical trends with good correlation to each other since 1660s. They show positive correlations with sugar compounds (e.g., mannitol, fructose, glucose, inositol and sucrose), and anti-correlations with ??-dicarbonyls (glyoxal and methylglyoxal) and fatty acids (e.g., C18:1) in the same ice core. These results suggest similar sources and transport pathways for monoterpene- and isoprene-SOA tracers. In addition, we found that concentrations of C5-alkene triols (e.g., 3-methyl-2,3,4-trihydroxy-1-butene, cis-2-methyl 1,3,4-trihydroxy-1-butene and trans-2-methyl-1,3,4-trihydroxy-1-butene) in the ice core have increased after the Great Pacific Climate Shift (late 1970s). They show positive correlations with ??-dicarbonyls and fatty acids (e.g., C18:1) in the ice core, suggesting that enhanced oceanic emissions of biogenic organic compounds through the marine boundary layer are recorded in the ice core from Alaska. Photochemical oxidation process for these monoterpene- and isoprene-/sesquiterpene-SOA tracers are suggested to be linked with the periodicity of multi-decadal climate oscillations and retreat of sea ice in the Northern Hemisphere.","author":[{"dropping-particle":"","family":"Pokhrel","given":"Ambarish","non-dropping-particle":"","parse-names":false,"suffix":""},{"dropping-particle":"","family":"Kawamura","given":"Kimitaka","non-dropping-particle":"","parse-names":false,"suffix":""},{"dropping-particle":"","family":"Ono","given":"Kaori","non-dropping-particle":"","parse-names":false,"suffix":""},{"dropping-particle":"","family":"Seki","given":"Osamu","non-dropping-particle":"","parse-names":false,"suffix":""},{"dropping-particle":"","family":"Fu","given":"Pingqing","non-dropping-particle":"","parse-names":false,"suffix":""},{"dropping-particle":"","family":"Matoba","given":"Sumio","non-dropping-particle":"","parse-names":false,"suffix":""},{"dropping-particle":"","family":"Shiraiwa","given":"Takayuki","non-dropping-particle":"","parse-names":false,"suffix":""}],"container-title":"Atmospheric Environment","id":"ITEM-1","issued":{"date-parts":[["2015"]]},"page":"105-112","publisher":"Elsevier Ltd","title":"Ice core records of monoterpene- and isoprene-SOA tracers from Aurora Peak in Alaska since 1660s: Implication for climate change variability in the North Pacific Rim","type":"article-journal","volume":"130"},"uris":["http://www.mendeley.com/documents/?uuid=68822afe-19b3-4a1a-a48b-7379cdbe6a21"]}],"mendeley":{"formattedCitation":"&lt;sup&gt;3&lt;/sup&gt;","plainTextFormattedCitation":"3","previouslyFormattedCitation":"&lt;sup&gt;3&lt;/sup&gt;"},"properties":{"noteIndex":0},"schema":"https://github.com/citation-style-language/schema/raw/master/csl-citation.json"}</w:instrText>
      </w:r>
      <w:r w:rsidR="000916B6">
        <w:rPr>
          <w:rFonts w:ascii="Arial" w:hAnsi="Arial" w:cs="Arial"/>
        </w:rPr>
        <w:fldChar w:fldCharType="separate"/>
      </w:r>
      <w:r w:rsidR="002B34DF" w:rsidRPr="002B34DF">
        <w:rPr>
          <w:rFonts w:ascii="Arial" w:hAnsi="Arial" w:cs="Arial"/>
          <w:noProof/>
          <w:vertAlign w:val="superscript"/>
        </w:rPr>
        <w:t>3</w:t>
      </w:r>
      <w:r w:rsidR="000916B6">
        <w:rPr>
          <w:rFonts w:ascii="Arial" w:hAnsi="Arial" w:cs="Arial"/>
        </w:rPr>
        <w:fldChar w:fldCharType="end"/>
      </w:r>
      <w:r w:rsidR="00E863AF">
        <w:rPr>
          <w:rFonts w:ascii="Arial" w:hAnsi="Arial" w:cs="Arial"/>
        </w:rPr>
        <w:t xml:space="preserve"> detected </w:t>
      </w:r>
      <w:r w:rsidR="000916B6" w:rsidRPr="00B33469">
        <w:rPr>
          <w:rFonts w:ascii="Arial" w:hAnsi="Arial" w:cs="Arial"/>
        </w:rPr>
        <w:t>oxidation products of isoprene and monoterpenes in ice up to 350 years old in Alaska</w:t>
      </w:r>
      <w:r w:rsidR="00E863AF">
        <w:rPr>
          <w:rFonts w:ascii="Arial" w:hAnsi="Arial" w:cs="Arial"/>
        </w:rPr>
        <w:t xml:space="preserve"> using GC-MS</w:t>
      </w:r>
      <w:r w:rsidR="004C77B1">
        <w:rPr>
          <w:rFonts w:ascii="Arial" w:hAnsi="Arial" w:cs="Arial"/>
        </w:rPr>
        <w:t xml:space="preserve"> on rotary evaporation-preconcentrated samples</w:t>
      </w:r>
      <w:r w:rsidR="00E863AF">
        <w:rPr>
          <w:rFonts w:ascii="Arial" w:hAnsi="Arial" w:cs="Arial"/>
        </w:rPr>
        <w:t>,</w:t>
      </w:r>
      <w:r w:rsidR="000916B6">
        <w:rPr>
          <w:rFonts w:ascii="Arial" w:hAnsi="Arial" w:cs="Arial"/>
        </w:rPr>
        <w:t xml:space="preserve"> and</w:t>
      </w:r>
      <w:r w:rsidR="00E863AF">
        <w:rPr>
          <w:rFonts w:ascii="Arial" w:hAnsi="Arial" w:cs="Arial"/>
        </w:rPr>
        <w:t xml:space="preserve"> Muller-Tautges et al.</w:t>
      </w:r>
      <w:r w:rsidR="000916B6">
        <w:rPr>
          <w:rFonts w:ascii="Arial" w:hAnsi="Arial" w:cs="Arial"/>
        </w:rPr>
        <w:t xml:space="preserve"> </w:t>
      </w:r>
      <w:r w:rsidR="000916B6">
        <w:rPr>
          <w:rFonts w:ascii="Arial" w:hAnsi="Arial" w:cs="Arial"/>
        </w:rPr>
        <w:fldChar w:fldCharType="begin" w:fldLock="1"/>
      </w:r>
      <w:r w:rsidR="009C6FFE">
        <w:rPr>
          <w:rFonts w:ascii="Arial" w:hAnsi="Arial" w:cs="Arial"/>
        </w:rPr>
        <w:instrText>ADDIN CSL_CITATION {"citationItems":[{"id":"ITEM-1","itemData":{"DOI":"10.5194/acp-16-1029-2016","ISSN":"16807324","abstract":"Historic records of α-dicarbonyls (glyoxal, methylglyoxal), carboxylic acids (C6–C12 dicarboxylic acids, pinic acid, p-hydroxybenzoic acid, phthalic acid, 4-methylphthalic acid), and ions (oxalate, formate, calcium) were determined with annual resolution in an ice core from Grenzgletscher in the southern Swiss Alps, covering the time period from 1942 to 1993. Chemical analysis of the organic compounds was conducted using ultra-high-performance liquid chromatography (UHPLC) coupled to electrospray ionization high-resolution mass spectrometry (ESI-HRMS) for dicarbonyls and long-chain carboxylic acids and ion chromatography for short-chain carboxylates. Long-term records of the carboxylic acids and dicarbonyls, as well as their source apportionment, are reported for western Europe. This is the first study comprising long-term trends of dicarbonyls and long-chain dicarboxylic acids (C6–C12) in Alpine precipitation. Source assignment of the organic species present in the ice core was performed using principal component analysis. Our results suggest biomass burning, anthropogenic emissions, and transport of mineral dust to be the main parameters influencing the concentration of organic compounds. Ice core records of several highly correlated compounds (e.g., p-hydroxybenzoic acid, pinic acid, pimelic, and suberic acids) can be related to the forest fire history in southern Switzerland. P-hydroxybenzoic acid was found to be the best organic fire tracer in the study area, revealing the highest correlation with the burned area from fires. Historical records of methylglyoxal, phthalic acid, and dicarboxylic acids adipic acid, sebacic acid, and dodecanedioic acid are comparable with that of anthropogenic emissions of volatile organic compounds (VOCs). The small organic acids, oxalic acid and formic acid, are both highly correlated with calcium, suggesting their records to be affected by changing mineral dust transport to the drilling site.","author":[{"dropping-particle":"","family":"Müller-Tautges","given":"Christina","non-dropping-particle":"","parse-names":false,"suffix":""},{"dropping-particle":"","family":"Eichler","given":"Anja","non-dropping-particle":"","parse-names":false,"suffix":""},{"dropping-particle":"","family":"Schwikowski","given":"Margit","non-dropping-particle":"","parse-names":false,"suffix":""},{"dropping-particle":"","family":"Pezzatti","given":"G. B.","non-dropping-particle":"","parse-names":false,"suffix":""},{"dropping-particle":"","family":"Conedera","given":"M.","non-dropping-particle":"","parse-names":false,"suffix":""},{"dropping-particle":"","family":"Hoffmann","given":"T.","non-dropping-particle":"","parse-names":false,"suffix":""}],"container-title":"Atmospheric Chemistry and Physics","id":"ITEM-1","issue":"2","issued":{"date-parts":[["2016"]]},"page":"1029-1043","title":"Historic records of organic compounds from a high Alpine glacier: Influences of biomass burning, anthropogenic emissions, and dust transport","type":"article-journal","volume":"16"},"uris":["http://www.mendeley.com/documents/?uuid=be1f0118-6c0f-4b91-9c7f-e61b5724be8d","http://www.mendeley.com/documents/?uuid=f03ad587-6896-4f6b-8308-cc074c7a9f14"]}],"mendeley":{"formattedCitation":"&lt;sup&gt;4&lt;/sup&gt;","plainTextFormattedCitation":"4","previouslyFormattedCitation":"&lt;sup&gt;4&lt;/sup&gt;"},"properties":{"noteIndex":0},"schema":"https://github.com/citation-style-language/schema/raw/master/csl-citation.json"}</w:instrText>
      </w:r>
      <w:r w:rsidR="000916B6">
        <w:rPr>
          <w:rFonts w:ascii="Arial" w:hAnsi="Arial" w:cs="Arial"/>
        </w:rPr>
        <w:fldChar w:fldCharType="separate"/>
      </w:r>
      <w:r w:rsidR="002B34DF" w:rsidRPr="002B34DF">
        <w:rPr>
          <w:rFonts w:ascii="Arial" w:hAnsi="Arial" w:cs="Arial"/>
          <w:noProof/>
          <w:vertAlign w:val="superscript"/>
        </w:rPr>
        <w:t>4</w:t>
      </w:r>
      <w:r w:rsidR="000916B6">
        <w:rPr>
          <w:rFonts w:ascii="Arial" w:hAnsi="Arial" w:cs="Arial"/>
        </w:rPr>
        <w:fldChar w:fldCharType="end"/>
      </w:r>
      <w:r w:rsidR="00E863AF">
        <w:rPr>
          <w:rFonts w:ascii="Arial" w:hAnsi="Arial" w:cs="Arial"/>
        </w:rPr>
        <w:t xml:space="preserve">  detected </w:t>
      </w:r>
      <w:r w:rsidR="000916B6" w:rsidRPr="00B33469">
        <w:rPr>
          <w:rFonts w:ascii="Arial" w:hAnsi="Arial" w:cs="Arial"/>
        </w:rPr>
        <w:t>carboxylic acids and inorganic ions between 1942-1993 from Grenzgletscher (Monte Rosa Massif) in the southern Swiss Alps</w:t>
      </w:r>
      <w:r w:rsidR="00E863AF">
        <w:rPr>
          <w:rFonts w:ascii="Arial" w:hAnsi="Arial" w:cs="Arial"/>
        </w:rPr>
        <w:t xml:space="preserve"> </w:t>
      </w:r>
      <w:r w:rsidR="00E863AF" w:rsidRPr="00E855B0">
        <w:rPr>
          <w:rFonts w:ascii="Arial" w:hAnsi="Arial" w:cs="Arial"/>
        </w:rPr>
        <w:t>using high performance liquid chromatography-mass spectrometry (HPLC-MS)</w:t>
      </w:r>
      <w:r w:rsidR="004C77B1">
        <w:rPr>
          <w:rFonts w:ascii="Arial" w:hAnsi="Arial" w:cs="Arial"/>
        </w:rPr>
        <w:t xml:space="preserve"> on </w:t>
      </w:r>
      <w:r w:rsidR="00895B9D">
        <w:rPr>
          <w:rFonts w:ascii="Arial" w:hAnsi="Arial" w:cs="Arial"/>
        </w:rPr>
        <w:t xml:space="preserve">stir-bar </w:t>
      </w:r>
      <w:r w:rsidR="004C77B1">
        <w:rPr>
          <w:rFonts w:ascii="Arial" w:hAnsi="Arial" w:cs="Arial"/>
        </w:rPr>
        <w:t>preconcentrated samples</w:t>
      </w:r>
      <w:r w:rsidR="00E863AF" w:rsidRPr="00E855B0">
        <w:rPr>
          <w:rFonts w:ascii="Arial" w:hAnsi="Arial" w:cs="Arial"/>
        </w:rPr>
        <w:t>. Following this,</w:t>
      </w:r>
      <w:r w:rsidR="000916B6" w:rsidRPr="00E855B0">
        <w:rPr>
          <w:rFonts w:ascii="Arial" w:hAnsi="Arial" w:cs="Arial"/>
        </w:rPr>
        <w:t xml:space="preserve"> </w:t>
      </w:r>
      <w:r w:rsidR="00DE3A31" w:rsidRPr="00473E0C">
        <w:rPr>
          <w:rFonts w:ascii="Arial" w:hAnsi="Arial" w:cs="Arial"/>
        </w:rPr>
        <w:t>King et al.</w:t>
      </w:r>
      <w:r w:rsidR="000916B6">
        <w:rPr>
          <w:rFonts w:ascii="Arial" w:hAnsi="Arial" w:cs="Arial"/>
        </w:rPr>
        <w:t xml:space="preserve"> </w:t>
      </w:r>
      <w:r w:rsidR="00E855B0">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89647759-cbd7-4ec1-8214-d096d2119170","http://www.mendeley.com/documents/?uuid=b31002da-47b0-4c42-b3bb-79c5bd14097f"]}],"mendeley":{"formattedCitation":"&lt;sup&gt;5&lt;/sup&gt;","plainTextFormattedCitation":"5","previouslyFormattedCitation":"&lt;sup&gt;5&lt;/sup&gt;"},"properties":{"noteIndex":0},"schema":"https://github.com/citation-style-language/schema/raw/master/csl-citation.json"}</w:instrText>
      </w:r>
      <w:r w:rsidR="00E855B0">
        <w:rPr>
          <w:rFonts w:ascii="Arial" w:hAnsi="Arial" w:cs="Arial"/>
        </w:rPr>
        <w:fldChar w:fldCharType="separate"/>
      </w:r>
      <w:r w:rsidR="002B34DF" w:rsidRPr="002B34DF">
        <w:rPr>
          <w:rFonts w:ascii="Arial" w:hAnsi="Arial" w:cs="Arial"/>
          <w:noProof/>
          <w:vertAlign w:val="superscript"/>
        </w:rPr>
        <w:t>5</w:t>
      </w:r>
      <w:r w:rsidR="00E855B0">
        <w:rPr>
          <w:rFonts w:ascii="Arial" w:hAnsi="Arial" w:cs="Arial"/>
        </w:rPr>
        <w:fldChar w:fldCharType="end"/>
      </w:r>
      <w:r w:rsidR="00E855B0">
        <w:rPr>
          <w:rFonts w:ascii="Arial" w:hAnsi="Arial" w:cs="Arial"/>
        </w:rPr>
        <w:t xml:space="preserve"> </w:t>
      </w:r>
      <w:r w:rsidR="000916B6">
        <w:rPr>
          <w:rFonts w:ascii="Arial" w:hAnsi="Arial" w:cs="Arial"/>
        </w:rPr>
        <w:t xml:space="preserve">developed a method of </w:t>
      </w:r>
      <w:r w:rsidR="00E863AF">
        <w:rPr>
          <w:rFonts w:ascii="Arial" w:hAnsi="Arial" w:cs="Arial"/>
        </w:rPr>
        <w:t>HPLC-MS</w:t>
      </w:r>
      <w:r w:rsidR="000916B6">
        <w:rPr>
          <w:rFonts w:ascii="Arial" w:hAnsi="Arial" w:cs="Arial"/>
        </w:rPr>
        <w:t xml:space="preserve"> analysis for </w:t>
      </w:r>
      <w:r w:rsidR="00895B9D">
        <w:rPr>
          <w:rFonts w:ascii="Arial" w:hAnsi="Arial" w:cs="Arial"/>
        </w:rPr>
        <w:t>rotary evaporation-</w:t>
      </w:r>
      <w:r w:rsidR="000916B6">
        <w:rPr>
          <w:rFonts w:ascii="Arial" w:hAnsi="Arial" w:cs="Arial"/>
        </w:rPr>
        <w:t>preconcentrated ice samples</w:t>
      </w:r>
      <w:r w:rsidR="00BF17D2">
        <w:rPr>
          <w:rFonts w:ascii="Arial" w:hAnsi="Arial" w:cs="Arial"/>
        </w:rPr>
        <w:t>.</w:t>
      </w:r>
      <w:r w:rsidR="00E863AF">
        <w:rPr>
          <w:rFonts w:ascii="Arial" w:hAnsi="Arial" w:cs="Arial"/>
        </w:rPr>
        <w:t xml:space="preserve"> </w:t>
      </w:r>
      <w:r w:rsidR="00B83060">
        <w:rPr>
          <w:rFonts w:ascii="Arial" w:hAnsi="Arial" w:cs="Arial"/>
        </w:rPr>
        <w:t>We</w:t>
      </w:r>
      <w:r w:rsidR="00BF17D2">
        <w:rPr>
          <w:rFonts w:ascii="Arial" w:hAnsi="Arial" w:cs="Arial"/>
        </w:rPr>
        <w:t xml:space="preserve"> </w:t>
      </w:r>
      <w:r w:rsidR="000916B6">
        <w:rPr>
          <w:rFonts w:ascii="Arial" w:hAnsi="Arial" w:cs="Arial"/>
        </w:rPr>
        <w:t>quantif</w:t>
      </w:r>
      <w:r w:rsidR="00BF17D2">
        <w:rPr>
          <w:rFonts w:ascii="Arial" w:hAnsi="Arial" w:cs="Arial"/>
        </w:rPr>
        <w:t>ied</w:t>
      </w:r>
      <w:r w:rsidR="000916B6">
        <w:rPr>
          <w:rFonts w:ascii="Arial" w:hAnsi="Arial" w:cs="Arial"/>
        </w:rPr>
        <w:t xml:space="preserve"> concentrations of a </w:t>
      </w:r>
      <w:r w:rsidR="00B83060">
        <w:rPr>
          <w:rFonts w:ascii="Arial" w:hAnsi="Arial" w:cs="Arial"/>
        </w:rPr>
        <w:t>wide range</w:t>
      </w:r>
      <w:r w:rsidR="000916B6">
        <w:rPr>
          <w:rFonts w:ascii="Arial" w:hAnsi="Arial" w:cs="Arial"/>
        </w:rPr>
        <w:t xml:space="preserve"> of </w:t>
      </w:r>
      <w:r w:rsidR="00E863AF">
        <w:rPr>
          <w:rFonts w:ascii="Arial" w:hAnsi="Arial" w:cs="Arial"/>
        </w:rPr>
        <w:t xml:space="preserve">novel organic </w:t>
      </w:r>
      <w:r w:rsidR="000916B6">
        <w:rPr>
          <w:rFonts w:ascii="Arial" w:hAnsi="Arial" w:cs="Arial"/>
        </w:rPr>
        <w:t xml:space="preserve">compounds in ice core samples </w:t>
      </w:r>
      <w:r w:rsidR="00E863AF">
        <w:rPr>
          <w:rFonts w:ascii="Arial" w:hAnsi="Arial" w:cs="Arial"/>
        </w:rPr>
        <w:t xml:space="preserve">which had shown good potential for survival </w:t>
      </w:r>
      <w:r w:rsidR="00FC6FEC">
        <w:rPr>
          <w:rFonts w:ascii="Arial" w:hAnsi="Arial" w:cs="Arial"/>
        </w:rPr>
        <w:t xml:space="preserve">during </w:t>
      </w:r>
      <w:r w:rsidR="00BF17D2">
        <w:rPr>
          <w:rFonts w:ascii="Arial" w:hAnsi="Arial" w:cs="Arial"/>
        </w:rPr>
        <w:t xml:space="preserve">transport </w:t>
      </w:r>
      <w:r w:rsidR="00E863AF">
        <w:rPr>
          <w:rFonts w:ascii="Arial" w:hAnsi="Arial" w:cs="Arial"/>
        </w:rPr>
        <w:t>to</w:t>
      </w:r>
      <w:r w:rsidR="00BF17D2">
        <w:rPr>
          <w:rFonts w:ascii="Arial" w:hAnsi="Arial" w:cs="Arial"/>
        </w:rPr>
        <w:t>,</w:t>
      </w:r>
      <w:r w:rsidR="00E863AF">
        <w:rPr>
          <w:rFonts w:ascii="Arial" w:hAnsi="Arial" w:cs="Arial"/>
        </w:rPr>
        <w:t xml:space="preserve"> and </w:t>
      </w:r>
      <w:r w:rsidR="00BF17D2">
        <w:rPr>
          <w:rFonts w:ascii="Arial" w:hAnsi="Arial" w:cs="Arial"/>
        </w:rPr>
        <w:t xml:space="preserve">preservation within, </w:t>
      </w:r>
      <w:r w:rsidR="00E863AF">
        <w:rPr>
          <w:rFonts w:ascii="Arial" w:hAnsi="Arial" w:cs="Arial"/>
        </w:rPr>
        <w:t>ice core records, and relationships to environmental conditions</w:t>
      </w:r>
      <w:r w:rsidR="000959FE">
        <w:rPr>
          <w:rFonts w:ascii="Arial" w:hAnsi="Arial" w:cs="Arial"/>
        </w:rPr>
        <w:t xml:space="preserve"> </w:t>
      </w:r>
      <w:r w:rsidR="007C708F">
        <w:rPr>
          <w:rFonts w:ascii="Arial" w:hAnsi="Arial" w:cs="Arial"/>
        </w:rPr>
        <w:fldChar w:fldCharType="begin" w:fldLock="1"/>
      </w:r>
      <w:r w:rsidR="009C6FFE">
        <w:rPr>
          <w:rFonts w:ascii="Arial" w:hAnsi="Arial" w:cs="Arial"/>
        </w:rPr>
        <w:instrText>ADDIN CSL_CITATION {"citationItems":[{"id":"ITEM-1","itemData":{"DOI":"10.1016/j.quascirev.2018.01.007","ISSN":"02773791","abstract":"Polar ice cores provide information about past climate and environmental changes over periods ranging from a few years up to 800,000 years. The majority of chemical studies have focused on determining inorganic components, such as major ions and trace elements as well as on their isotopic fingerprint. In this paper, we review the different classes of organic compounds that might yield environmental information, discussing existing research and what is needed to improve knowledge. We also discuss the problems of sampling, analysis and interpretation of organic molecules in ice. This review highlights the great potential for organic compounds to be used as proxies for anthropogenic activities, past fire events from different types of biomass, terrestrial biogenic emissions and marine biological activity, along with the possibility of inferring past temperature fluctuations and even large-scale climate variability. In parallel, comprehensive research needs to be done to assess the atmospheric stability of these compounds, their ability to be transported long distances in the atmosphere, and their stability in the archive in order to better interpret their fluxes in ice cores. In addition, specific decontamination procedures, analytical methods with low detection limits (ng/L or lower), fast analysis time and low sample requests need to be developed in order to ensure a good time resolution in the archive.","author":[{"dropping-particle":"","family":"Giorio","given":"Chiara","non-dropping-particle":"","parse-names":false,"suffix":""},{"dropping-particle":"","family":"Kehrwald","given":"Natalie","non-dropping-particle":"","parse-names":false,"suffix":""},{"dropping-particle":"","family":"Barbante","given":"Carlo","non-dropping-particle":"","parse-names":false,"suffix":""},{"dropping-particle":"","family":"Kalberer","given":"Markus","non-dropping-particle":"","parse-names":false,"suffix":""},{"dropping-particle":"","family":"King","given":"Amy C.F.","non-dropping-particle":"","parse-names":false,"suffix":""},{"dropping-particle":"","family":"Thomas","given":"Elizabeth R.","non-dropping-particle":"","parse-names":false,"suffix":""},{"dropping-particle":"","family":"Wolff","given":"Eric W.","non-dropping-particle":"","parse-names":false,"suffix":""},{"dropping-particle":"","family":"Zennaro","given":"Piero","non-dropping-particle":"","parse-names":false,"suffix":""}],"container-title":"Quaternary Science Reviews","id":"ITEM-1","issued":{"date-parts":[["2018"]]},"page":"1-22","title":"Prospects for reconstructing paleoenvironmental conditions from organic compounds in polar snow and ice","type":"article-journal","volume":"183"},"uris":["http://www.mendeley.com/documents/?uuid=6d2e8c84-2d44-4bd2-8dc6-1b9957e0e9a0"]}],"mendeley":{"formattedCitation":"&lt;sup&gt;1&lt;/sup&gt;","plainTextFormattedCitation":"1","previouslyFormattedCitation":"&lt;sup&gt;1&lt;/sup&gt;"},"properties":{"noteIndex":0},"schema":"https://github.com/citation-style-language/schema/raw/master/csl-citation.json"}</w:instrText>
      </w:r>
      <w:r w:rsidR="007C708F">
        <w:rPr>
          <w:rFonts w:ascii="Arial" w:hAnsi="Arial" w:cs="Arial"/>
        </w:rPr>
        <w:fldChar w:fldCharType="separate"/>
      </w:r>
      <w:r w:rsidR="002B34DF" w:rsidRPr="002B34DF">
        <w:rPr>
          <w:rFonts w:ascii="Arial" w:hAnsi="Arial" w:cs="Arial"/>
          <w:noProof/>
          <w:vertAlign w:val="superscript"/>
        </w:rPr>
        <w:t>1</w:t>
      </w:r>
      <w:r w:rsidR="007C708F">
        <w:rPr>
          <w:rFonts w:ascii="Arial" w:hAnsi="Arial" w:cs="Arial"/>
        </w:rPr>
        <w:fldChar w:fldCharType="end"/>
      </w:r>
      <w:r w:rsidR="00E863AF">
        <w:rPr>
          <w:rFonts w:ascii="Arial" w:hAnsi="Arial" w:cs="Arial"/>
        </w:rPr>
        <w:t xml:space="preserve">. These included </w:t>
      </w:r>
      <w:r w:rsidR="000916B6">
        <w:rPr>
          <w:rFonts w:ascii="Arial" w:hAnsi="Arial" w:cs="Arial"/>
        </w:rPr>
        <w:t>a range of fatty aci</w:t>
      </w:r>
      <w:r w:rsidR="00FC6FEC">
        <w:rPr>
          <w:rFonts w:ascii="Arial" w:hAnsi="Arial" w:cs="Arial"/>
        </w:rPr>
        <w:t>ds, secondary oxidation aerosol compounds, and primary biogenic molecules</w:t>
      </w:r>
      <w:r w:rsidR="000916B6">
        <w:rPr>
          <w:rFonts w:ascii="Arial" w:hAnsi="Arial" w:cs="Arial"/>
        </w:rPr>
        <w:t xml:space="preserve"> at both detectable and reproducible </w:t>
      </w:r>
      <w:r w:rsidR="00BF17D2">
        <w:rPr>
          <w:rFonts w:ascii="Arial" w:hAnsi="Arial" w:cs="Arial"/>
        </w:rPr>
        <w:t>concentrations</w:t>
      </w:r>
      <w:r w:rsidR="000916B6">
        <w:rPr>
          <w:rFonts w:ascii="Arial" w:hAnsi="Arial" w:cs="Arial"/>
        </w:rPr>
        <w:t xml:space="preserve">. </w:t>
      </w:r>
    </w:p>
    <w:p w14:paraId="482F5AAF" w14:textId="01E7656D" w:rsidR="00650C7C" w:rsidRDefault="007A5C76" w:rsidP="00436C39">
      <w:pPr>
        <w:spacing w:line="360" w:lineRule="auto"/>
        <w:jc w:val="both"/>
        <w:rPr>
          <w:rFonts w:ascii="Arial" w:hAnsi="Arial" w:cs="Arial"/>
        </w:rPr>
      </w:pPr>
      <w:r>
        <w:rPr>
          <w:rFonts w:ascii="Arial" w:hAnsi="Arial" w:cs="Arial"/>
        </w:rPr>
        <w:t>Adaptation of methods towards those not requiring preconcentration has been previously successfully applied</w:t>
      </w:r>
      <w:r w:rsidR="0067098E">
        <w:rPr>
          <w:rFonts w:ascii="Arial" w:hAnsi="Arial" w:cs="Arial"/>
        </w:rPr>
        <w:t xml:space="preserve"> to l</w:t>
      </w:r>
      <w:r>
        <w:rPr>
          <w:rFonts w:ascii="Arial" w:hAnsi="Arial" w:cs="Arial"/>
        </w:rPr>
        <w:t xml:space="preserve">evoglucosan, an organic compound </w:t>
      </w:r>
      <w:r w:rsidR="00220B17">
        <w:rPr>
          <w:rFonts w:ascii="Arial" w:hAnsi="Arial" w:cs="Arial"/>
        </w:rPr>
        <w:t xml:space="preserve">produced by combustion of cellulose and </w:t>
      </w:r>
      <w:r>
        <w:rPr>
          <w:rFonts w:ascii="Arial" w:hAnsi="Arial" w:cs="Arial"/>
        </w:rPr>
        <w:t>used to indicate past biomass burning trends from ice core analysis.</w:t>
      </w:r>
      <w:r w:rsidR="00436C39">
        <w:rPr>
          <w:rFonts w:ascii="Arial" w:hAnsi="Arial" w:cs="Arial"/>
        </w:rPr>
        <w:t xml:space="preserve"> </w:t>
      </w:r>
      <w:r w:rsidR="00232931" w:rsidRPr="00232931">
        <w:rPr>
          <w:rFonts w:ascii="Arial" w:hAnsi="Arial" w:cs="Arial"/>
        </w:rPr>
        <w:t xml:space="preserve">In order to both circumnavigate the need for preconcentration and to avoid more time consuming GC-MS methods, </w:t>
      </w:r>
      <w:r w:rsidR="00436C39">
        <w:rPr>
          <w:rFonts w:ascii="Arial" w:hAnsi="Arial" w:cs="Arial"/>
        </w:rPr>
        <w:t>Gambaro et al.</w:t>
      </w:r>
      <w:r>
        <w:rPr>
          <w:rFonts w:ascii="Arial" w:hAnsi="Arial" w:cs="Arial"/>
        </w:rPr>
        <w:t xml:space="preserve"> </w:t>
      </w:r>
      <w:r w:rsidR="00436C39">
        <w:rPr>
          <w:rFonts w:ascii="Arial" w:hAnsi="Arial" w:cs="Arial"/>
        </w:rPr>
        <w:fldChar w:fldCharType="begin" w:fldLock="1"/>
      </w:r>
      <w:r w:rsidR="009C6FFE">
        <w:rPr>
          <w:rFonts w:ascii="Arial" w:hAnsi="Arial" w:cs="Arial"/>
        </w:rPr>
        <w:instrText>ADDIN CSL_CITATION {"citationItems":[{"id":"ITEM-1","itemData":{"DOI":"10.1021/ac701655x","author":[{"dropping-particle":"","family":"Gambaro","given":"Andrea","non-dropping-particle":"","parse-names":false,"suffix":""},{"dropping-particle":"","family":"Zangrando","given":"Roberta","non-dropping-particle":"","parse-names":false,"suffix":""},{"dropping-particle":"","family":"Gabrielli","given":"Paolo","non-dropping-particle":"","parse-names":false,"suffix":""},{"dropping-particle":"","family":"Barbante","given":"Carlo","non-dropping-particle":"","parse-names":false,"suffix":""},{"dropping-particle":"","family":"Cescon","given":"Paolo","non-dropping-particle":"","parse-names":false,"suffix":""}],"id":"ITEM-1","issue":"5","issued":{"date-parts":[["2008"]]},"page":"1649-1655","title":"Direct Determination of Levoglucosan at the Picogram per Milliliter Level in Antarctic Ice by High-Performance Liquid Chromatography / Electrospray Ionization Triple Quadrupole Mass Spectrometry","type":"article-journal","volume":"80"},"uris":["http://www.mendeley.com/documents/?uuid=8da1ad6c-4d74-4e65-b0cc-8abded4557ac"]}],"mendeley":{"formattedCitation":"&lt;sup&gt;6&lt;/sup&gt;","plainTextFormattedCitation":"6","previouslyFormattedCitation":"&lt;sup&gt;6&lt;/sup&gt;"},"properties":{"noteIndex":0},"schema":"https://github.com/citation-style-language/schema/raw/master/csl-citation.json"}</w:instrText>
      </w:r>
      <w:r w:rsidR="00436C39">
        <w:rPr>
          <w:rFonts w:ascii="Arial" w:hAnsi="Arial" w:cs="Arial"/>
        </w:rPr>
        <w:fldChar w:fldCharType="separate"/>
      </w:r>
      <w:r w:rsidR="002B34DF" w:rsidRPr="002B34DF">
        <w:rPr>
          <w:rFonts w:ascii="Arial" w:hAnsi="Arial" w:cs="Arial"/>
          <w:noProof/>
          <w:vertAlign w:val="superscript"/>
        </w:rPr>
        <w:t>6</w:t>
      </w:r>
      <w:r w:rsidR="00436C39">
        <w:rPr>
          <w:rFonts w:ascii="Arial" w:hAnsi="Arial" w:cs="Arial"/>
        </w:rPr>
        <w:fldChar w:fldCharType="end"/>
      </w:r>
      <w:r>
        <w:rPr>
          <w:rFonts w:ascii="Arial" w:hAnsi="Arial" w:cs="Arial"/>
        </w:rPr>
        <w:t xml:space="preserve"> </w:t>
      </w:r>
      <w:r w:rsidR="00436C39">
        <w:rPr>
          <w:rFonts w:ascii="Arial" w:hAnsi="Arial" w:cs="Arial"/>
        </w:rPr>
        <w:t xml:space="preserve">developed </w:t>
      </w:r>
      <w:r w:rsidR="0067098E">
        <w:rPr>
          <w:rFonts w:ascii="Arial" w:hAnsi="Arial" w:cs="Arial"/>
        </w:rPr>
        <w:t>the first</w:t>
      </w:r>
      <w:r w:rsidR="00436C39">
        <w:rPr>
          <w:rFonts w:ascii="Arial" w:hAnsi="Arial" w:cs="Arial"/>
        </w:rPr>
        <w:t xml:space="preserve"> method of direct injection HPLC</w:t>
      </w:r>
      <w:r w:rsidR="00232931">
        <w:rPr>
          <w:rFonts w:ascii="Arial" w:hAnsi="Arial" w:cs="Arial"/>
        </w:rPr>
        <w:t>-</w:t>
      </w:r>
      <w:r w:rsidR="00436C39">
        <w:rPr>
          <w:rFonts w:ascii="Arial" w:hAnsi="Arial" w:cs="Arial"/>
        </w:rPr>
        <w:t xml:space="preserve">triple </w:t>
      </w:r>
      <w:r w:rsidR="00436C39" w:rsidRPr="00436C39">
        <w:rPr>
          <w:rFonts w:ascii="Arial" w:hAnsi="Arial" w:cs="Arial"/>
        </w:rPr>
        <w:t>quadrupole mass spectrometry (HPLC/ESI-MS/MS)</w:t>
      </w:r>
      <w:r w:rsidR="0067098E">
        <w:rPr>
          <w:rFonts w:ascii="Arial" w:hAnsi="Arial" w:cs="Arial"/>
        </w:rPr>
        <w:t xml:space="preserve"> for quantification of l</w:t>
      </w:r>
      <w:r w:rsidR="00436C39">
        <w:rPr>
          <w:rFonts w:ascii="Arial" w:hAnsi="Arial" w:cs="Arial"/>
        </w:rPr>
        <w:t>evoglucosan in Antarctic ice samples, where concentration</w:t>
      </w:r>
      <w:r w:rsidR="009F02BE">
        <w:rPr>
          <w:rFonts w:ascii="Arial" w:hAnsi="Arial" w:cs="Arial"/>
        </w:rPr>
        <w:t>s</w:t>
      </w:r>
      <w:r w:rsidR="00436C39">
        <w:rPr>
          <w:rFonts w:ascii="Arial" w:hAnsi="Arial" w:cs="Arial"/>
        </w:rPr>
        <w:t xml:space="preserve"> are expected to be very low. They achieved detection limits as low as 0.003ppb in samples as small as 1mL, reproducible at 20-50%, while lowering analysis time and contamination risk, demonstrating the potential benefits of this process.</w:t>
      </w:r>
    </w:p>
    <w:p w14:paraId="5B7847B1" w14:textId="03E27A7A" w:rsidR="000174F3" w:rsidRDefault="00E65944" w:rsidP="0026097A">
      <w:pPr>
        <w:spacing w:line="360" w:lineRule="auto"/>
        <w:jc w:val="both"/>
        <w:rPr>
          <w:rFonts w:ascii="Arial" w:hAnsi="Arial" w:cs="Arial"/>
        </w:rPr>
      </w:pPr>
      <w:r>
        <w:rPr>
          <w:rFonts w:ascii="Arial" w:hAnsi="Arial" w:cs="Arial"/>
        </w:rPr>
        <w:t xml:space="preserve">In this study we </w:t>
      </w:r>
      <w:r w:rsidR="00826587">
        <w:rPr>
          <w:rFonts w:ascii="Arial" w:hAnsi="Arial" w:cs="Arial"/>
        </w:rPr>
        <w:t>compare</w:t>
      </w:r>
      <w:r>
        <w:rPr>
          <w:rFonts w:ascii="Arial" w:hAnsi="Arial" w:cs="Arial"/>
        </w:rPr>
        <w:t xml:space="preserve"> </w:t>
      </w:r>
      <w:r w:rsidR="00B83060">
        <w:rPr>
          <w:rFonts w:ascii="Arial" w:hAnsi="Arial" w:cs="Arial"/>
        </w:rPr>
        <w:t>our previous</w:t>
      </w:r>
      <w:r>
        <w:rPr>
          <w:rFonts w:ascii="Arial" w:hAnsi="Arial" w:cs="Arial"/>
        </w:rPr>
        <w:t xml:space="preserve"> method </w:t>
      </w:r>
      <w:r>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Pr>
          <w:rFonts w:ascii="Arial" w:hAnsi="Arial" w:cs="Arial"/>
        </w:rPr>
        <w:fldChar w:fldCharType="separate"/>
      </w:r>
      <w:r w:rsidR="002B34DF" w:rsidRPr="002B34DF">
        <w:rPr>
          <w:rFonts w:ascii="Arial" w:hAnsi="Arial" w:cs="Arial"/>
          <w:noProof/>
          <w:vertAlign w:val="superscript"/>
        </w:rPr>
        <w:t>5</w:t>
      </w:r>
      <w:r>
        <w:rPr>
          <w:rFonts w:ascii="Arial" w:hAnsi="Arial" w:cs="Arial"/>
        </w:rPr>
        <w:fldChar w:fldCharType="end"/>
      </w:r>
      <w:r>
        <w:rPr>
          <w:rFonts w:ascii="Arial" w:hAnsi="Arial" w:cs="Arial"/>
        </w:rPr>
        <w:t xml:space="preserve"> for preconcentrated </w:t>
      </w:r>
      <w:r w:rsidR="00826587">
        <w:rPr>
          <w:rFonts w:ascii="Arial" w:hAnsi="Arial" w:cs="Arial"/>
        </w:rPr>
        <w:t xml:space="preserve">samples with a similar one for use on non-preconcentrated </w:t>
      </w:r>
      <w:r>
        <w:rPr>
          <w:rFonts w:ascii="Arial" w:hAnsi="Arial" w:cs="Arial"/>
        </w:rPr>
        <w:t xml:space="preserve">snow and ice samples, i.e. direct injection HPLC-MS, for an identical compound list (Table 1). </w:t>
      </w:r>
    </w:p>
    <w:p w14:paraId="1A771B3F" w14:textId="19E1FC4A" w:rsidR="00F062CD" w:rsidRDefault="000916B6" w:rsidP="00F062CD">
      <w:pPr>
        <w:spacing w:line="360" w:lineRule="auto"/>
        <w:jc w:val="both"/>
        <w:rPr>
          <w:rFonts w:ascii="Arial" w:hAnsi="Arial" w:cs="Arial"/>
        </w:rPr>
      </w:pPr>
      <w:r>
        <w:rPr>
          <w:rFonts w:ascii="Arial" w:hAnsi="Arial" w:cs="Arial"/>
        </w:rPr>
        <w:t xml:space="preserve">While preconcentration is still </w:t>
      </w:r>
      <w:r w:rsidR="00220B17">
        <w:rPr>
          <w:rFonts w:ascii="Arial" w:hAnsi="Arial" w:cs="Arial"/>
        </w:rPr>
        <w:t>needed</w:t>
      </w:r>
      <w:r>
        <w:rPr>
          <w:rFonts w:ascii="Arial" w:hAnsi="Arial" w:cs="Arial"/>
        </w:rPr>
        <w:t xml:space="preserve"> in many cases due to the very low levels of organic compound</w:t>
      </w:r>
      <w:r w:rsidR="001D66B9">
        <w:rPr>
          <w:rFonts w:ascii="Arial" w:hAnsi="Arial" w:cs="Arial"/>
        </w:rPr>
        <w:t>s</w:t>
      </w:r>
      <w:r>
        <w:rPr>
          <w:rFonts w:ascii="Arial" w:hAnsi="Arial" w:cs="Arial"/>
        </w:rPr>
        <w:t xml:space="preserve"> in polar and alpine ice samples</w:t>
      </w:r>
      <w:r w:rsidR="0026097A">
        <w:rPr>
          <w:rFonts w:ascii="Arial" w:hAnsi="Arial" w:cs="Arial"/>
        </w:rPr>
        <w:t xml:space="preserve"> (typically parts per trillion</w:t>
      </w:r>
      <w:r w:rsidR="00BE5B15">
        <w:rPr>
          <w:rFonts w:ascii="Arial" w:hAnsi="Arial" w:cs="Arial"/>
        </w:rPr>
        <w:t xml:space="preserve"> </w:t>
      </w:r>
      <w:r w:rsidR="0026097A">
        <w:rPr>
          <w:rFonts w:ascii="Arial" w:hAnsi="Arial" w:cs="Arial"/>
        </w:rPr>
        <w:t>(ppt</w:t>
      </w:r>
      <w:r w:rsidR="005004C7">
        <w:rPr>
          <w:rFonts w:ascii="Arial" w:hAnsi="Arial" w:cs="Arial"/>
        </w:rPr>
        <w:t xml:space="preserve">, equivalent to </w:t>
      </w:r>
      <w:r w:rsidR="001E1CFC">
        <w:rPr>
          <w:rFonts w:ascii="Arial" w:hAnsi="Arial" w:cs="Arial"/>
        </w:rPr>
        <w:t>n</w:t>
      </w:r>
      <w:r w:rsidR="005004C7">
        <w:rPr>
          <w:rFonts w:ascii="Arial" w:hAnsi="Arial" w:cs="Arial"/>
        </w:rPr>
        <w:t>g/L</w:t>
      </w:r>
      <w:r w:rsidR="0026097A">
        <w:rPr>
          <w:rFonts w:ascii="Arial" w:hAnsi="Arial" w:cs="Arial"/>
        </w:rPr>
        <w:t xml:space="preserve">) – </w:t>
      </w:r>
      <w:r w:rsidR="0026097A">
        <w:rPr>
          <w:rFonts w:ascii="Arial" w:hAnsi="Arial" w:cs="Arial"/>
        </w:rPr>
        <w:lastRenderedPageBreak/>
        <w:t>parts per billion</w:t>
      </w:r>
      <w:r w:rsidR="00BE5B15">
        <w:rPr>
          <w:rFonts w:ascii="Arial" w:hAnsi="Arial" w:cs="Arial"/>
        </w:rPr>
        <w:t xml:space="preserve"> </w:t>
      </w:r>
      <w:r w:rsidR="0026097A">
        <w:rPr>
          <w:rFonts w:ascii="Arial" w:hAnsi="Arial" w:cs="Arial"/>
        </w:rPr>
        <w:t>(ppb</w:t>
      </w:r>
      <w:r w:rsidR="005004C7">
        <w:rPr>
          <w:rFonts w:ascii="Arial" w:hAnsi="Arial" w:cs="Arial"/>
        </w:rPr>
        <w:t xml:space="preserve">, equivalent to </w:t>
      </w:r>
      <w:r w:rsidR="001E1CFC">
        <w:rPr>
          <w:rFonts w:ascii="Arial" w:hAnsi="Arial" w:cs="Arial"/>
        </w:rPr>
        <w:t>μ</w:t>
      </w:r>
      <w:r w:rsidR="005004C7">
        <w:rPr>
          <w:rFonts w:ascii="Arial" w:hAnsi="Arial" w:cs="Arial"/>
        </w:rPr>
        <w:t>g/L</w:t>
      </w:r>
      <w:r w:rsidR="0026097A">
        <w:rPr>
          <w:rFonts w:ascii="Arial" w:hAnsi="Arial" w:cs="Arial"/>
        </w:rPr>
        <w:t>))</w:t>
      </w:r>
      <w:r>
        <w:rPr>
          <w:rFonts w:ascii="Arial" w:hAnsi="Arial" w:cs="Arial"/>
        </w:rPr>
        <w:t xml:space="preserve">, some samples closer to source location may </w:t>
      </w:r>
      <w:r w:rsidR="003F3499">
        <w:rPr>
          <w:rFonts w:ascii="Arial" w:hAnsi="Arial" w:cs="Arial"/>
        </w:rPr>
        <w:t>contain</w:t>
      </w:r>
      <w:r>
        <w:rPr>
          <w:rFonts w:ascii="Arial" w:hAnsi="Arial" w:cs="Arial"/>
        </w:rPr>
        <w:t xml:space="preserve"> higher </w:t>
      </w:r>
      <w:r w:rsidR="0026097A">
        <w:rPr>
          <w:rFonts w:ascii="Arial" w:hAnsi="Arial" w:cs="Arial"/>
        </w:rPr>
        <w:t xml:space="preserve">compound concentrations detectable without </w:t>
      </w:r>
      <w:r w:rsidR="003F3499">
        <w:rPr>
          <w:rFonts w:ascii="Arial" w:hAnsi="Arial" w:cs="Arial"/>
        </w:rPr>
        <w:t>requiring such a</w:t>
      </w:r>
      <w:r w:rsidR="0026097A">
        <w:rPr>
          <w:rFonts w:ascii="Arial" w:hAnsi="Arial" w:cs="Arial"/>
        </w:rPr>
        <w:t xml:space="preserve"> step. Alternatively, </w:t>
      </w:r>
      <w:r w:rsidR="00932492">
        <w:rPr>
          <w:rFonts w:ascii="Arial" w:hAnsi="Arial" w:cs="Arial"/>
        </w:rPr>
        <w:t>new instrumentation</w:t>
      </w:r>
      <w:r w:rsidR="0026097A">
        <w:rPr>
          <w:rFonts w:ascii="Arial" w:hAnsi="Arial" w:cs="Arial"/>
        </w:rPr>
        <w:t xml:space="preserve"> present</w:t>
      </w:r>
      <w:r w:rsidR="00932492">
        <w:rPr>
          <w:rFonts w:ascii="Arial" w:hAnsi="Arial" w:cs="Arial"/>
        </w:rPr>
        <w:t>s</w:t>
      </w:r>
      <w:r w:rsidR="0026097A">
        <w:rPr>
          <w:rFonts w:ascii="Arial" w:hAnsi="Arial" w:cs="Arial"/>
        </w:rPr>
        <w:t xml:space="preserve"> the opportunity to analyse samples at detection levels as low </w:t>
      </w:r>
      <w:r w:rsidR="00932492">
        <w:rPr>
          <w:rFonts w:ascii="Arial" w:hAnsi="Arial" w:cs="Arial"/>
        </w:rPr>
        <w:t xml:space="preserve">as </w:t>
      </w:r>
      <w:r w:rsidR="0026097A">
        <w:rPr>
          <w:rFonts w:ascii="Arial" w:hAnsi="Arial" w:cs="Arial"/>
        </w:rPr>
        <w:t>ppt</w:t>
      </w:r>
      <w:r w:rsidR="001D66B9">
        <w:rPr>
          <w:rFonts w:ascii="Arial" w:hAnsi="Arial" w:cs="Arial"/>
        </w:rPr>
        <w:t>,</w:t>
      </w:r>
      <w:r w:rsidR="002509EC">
        <w:rPr>
          <w:rFonts w:ascii="Arial" w:hAnsi="Arial" w:cs="Arial"/>
        </w:rPr>
        <w:t xml:space="preserve"> </w:t>
      </w:r>
      <w:r w:rsidR="00BF17D2">
        <w:rPr>
          <w:rFonts w:ascii="Arial" w:hAnsi="Arial" w:cs="Arial"/>
        </w:rPr>
        <w:t>thus removing the need for preconcentration</w:t>
      </w:r>
      <w:r w:rsidR="0026097A">
        <w:rPr>
          <w:rFonts w:ascii="Arial" w:hAnsi="Arial" w:cs="Arial"/>
        </w:rPr>
        <w:t xml:space="preserve">. The elimination of </w:t>
      </w:r>
      <w:r w:rsidR="00E73450">
        <w:rPr>
          <w:rFonts w:ascii="Arial" w:hAnsi="Arial" w:cs="Arial"/>
        </w:rPr>
        <w:t xml:space="preserve">a preconcentration </w:t>
      </w:r>
      <w:r w:rsidR="0026097A">
        <w:rPr>
          <w:rFonts w:ascii="Arial" w:hAnsi="Arial" w:cs="Arial"/>
        </w:rPr>
        <w:t xml:space="preserve">step </w:t>
      </w:r>
      <w:r w:rsidR="00E73450">
        <w:rPr>
          <w:rFonts w:ascii="Arial" w:hAnsi="Arial" w:cs="Arial"/>
        </w:rPr>
        <w:t xml:space="preserve">would </w:t>
      </w:r>
      <w:r w:rsidR="0026097A">
        <w:rPr>
          <w:rFonts w:ascii="Arial" w:hAnsi="Arial" w:cs="Arial"/>
        </w:rPr>
        <w:t xml:space="preserve">be beneficial </w:t>
      </w:r>
      <w:r w:rsidR="003F3499">
        <w:rPr>
          <w:rFonts w:ascii="Arial" w:hAnsi="Arial" w:cs="Arial"/>
        </w:rPr>
        <w:t xml:space="preserve">for </w:t>
      </w:r>
      <w:r w:rsidR="00023D77">
        <w:rPr>
          <w:rFonts w:ascii="Arial" w:hAnsi="Arial" w:cs="Arial"/>
        </w:rPr>
        <w:t xml:space="preserve">several </w:t>
      </w:r>
      <w:r w:rsidR="003F3499">
        <w:rPr>
          <w:rFonts w:ascii="Arial" w:hAnsi="Arial" w:cs="Arial"/>
        </w:rPr>
        <w:t>reasons</w:t>
      </w:r>
      <w:r w:rsidR="0026097A">
        <w:rPr>
          <w:rFonts w:ascii="Arial" w:hAnsi="Arial" w:cs="Arial"/>
        </w:rPr>
        <w:t xml:space="preserve">; reducing the processing </w:t>
      </w:r>
      <w:r w:rsidR="00E73450">
        <w:rPr>
          <w:rFonts w:ascii="Arial" w:hAnsi="Arial" w:cs="Arial"/>
        </w:rPr>
        <w:t xml:space="preserve">steps </w:t>
      </w:r>
      <w:r w:rsidR="0026097A">
        <w:rPr>
          <w:rFonts w:ascii="Arial" w:hAnsi="Arial" w:cs="Arial"/>
        </w:rPr>
        <w:t xml:space="preserve">of samples reduces the possibility </w:t>
      </w:r>
      <w:r w:rsidR="0090659D">
        <w:rPr>
          <w:rFonts w:ascii="Arial" w:hAnsi="Arial" w:cs="Arial"/>
        </w:rPr>
        <w:t>for</w:t>
      </w:r>
      <w:r w:rsidR="0026097A">
        <w:rPr>
          <w:rFonts w:ascii="Arial" w:hAnsi="Arial" w:cs="Arial"/>
        </w:rPr>
        <w:t xml:space="preserve"> introduction of contamination, especially in the case of fatty acids </w:t>
      </w:r>
      <w:r w:rsidR="00932492">
        <w:rPr>
          <w:rFonts w:ascii="Arial" w:hAnsi="Arial" w:cs="Arial"/>
        </w:rPr>
        <w:t>where</w:t>
      </w:r>
      <w:r w:rsidR="0026097A">
        <w:rPr>
          <w:rFonts w:ascii="Arial" w:hAnsi="Arial" w:cs="Arial"/>
        </w:rPr>
        <w:t xml:space="preserve"> background contamination</w:t>
      </w:r>
      <w:r w:rsidR="00932492">
        <w:rPr>
          <w:rFonts w:ascii="Arial" w:hAnsi="Arial" w:cs="Arial"/>
        </w:rPr>
        <w:t xml:space="preserve"> is generally high compared to SOA compounds</w:t>
      </w:r>
      <w:r w:rsidR="00E855B0">
        <w:rPr>
          <w:rFonts w:ascii="Arial" w:hAnsi="Arial" w:cs="Arial"/>
        </w:rPr>
        <w:t xml:space="preserve"> </w:t>
      </w:r>
      <w:r w:rsidR="00E855B0">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Pr>
          <w:rFonts w:ascii="Arial" w:hAnsi="Arial" w:cs="Arial"/>
        </w:rPr>
        <w:fldChar w:fldCharType="separate"/>
      </w:r>
      <w:r w:rsidR="002B34DF" w:rsidRPr="002B34DF">
        <w:rPr>
          <w:rFonts w:ascii="Arial" w:hAnsi="Arial" w:cs="Arial"/>
          <w:noProof/>
          <w:vertAlign w:val="superscript"/>
        </w:rPr>
        <w:t>5</w:t>
      </w:r>
      <w:r w:rsidR="00E855B0">
        <w:rPr>
          <w:rFonts w:ascii="Arial" w:hAnsi="Arial" w:cs="Arial"/>
        </w:rPr>
        <w:fldChar w:fldCharType="end"/>
      </w:r>
      <w:r w:rsidR="001D66B9">
        <w:rPr>
          <w:rFonts w:ascii="Arial" w:hAnsi="Arial" w:cs="Arial"/>
        </w:rPr>
        <w:t xml:space="preserve">. </w:t>
      </w:r>
      <w:r w:rsidR="004262C8">
        <w:rPr>
          <w:rFonts w:ascii="Arial" w:hAnsi="Arial" w:cs="Arial"/>
        </w:rPr>
        <w:t xml:space="preserve">Additionally, for some of the compounds on our target list, preconcentration has been ineffective, due to very low recovery.  </w:t>
      </w:r>
      <w:r w:rsidR="00DE6AD2">
        <w:rPr>
          <w:rFonts w:ascii="Arial" w:hAnsi="Arial" w:cs="Arial"/>
        </w:rPr>
        <w:t xml:space="preserve">For example, the rotary evaporation method previously applied in King et al. (2018) showed very low recovery for </w:t>
      </w:r>
      <w:r w:rsidR="00E1618D">
        <w:rPr>
          <w:rFonts w:ascii="Arial" w:hAnsi="Arial" w:cs="Arial"/>
        </w:rPr>
        <w:t>oxidised biogenic aerosol markers</w:t>
      </w:r>
      <w:r w:rsidR="00DE6AD2">
        <w:rPr>
          <w:rFonts w:ascii="Arial" w:hAnsi="Arial" w:cs="Arial"/>
        </w:rPr>
        <w:t xml:space="preserve"> such as MBTCA. </w:t>
      </w:r>
      <w:r w:rsidR="004262C8">
        <w:rPr>
          <w:rFonts w:ascii="Arial" w:hAnsi="Arial" w:cs="Arial"/>
        </w:rPr>
        <w:t>Direct injection, if suitable detection limits can be achieved, opens up these additional compounds to ice core analysis, and therefore offers an enhanced suite of compounds for paleo</w:t>
      </w:r>
      <w:r w:rsidR="00B90F84">
        <w:rPr>
          <w:rFonts w:ascii="Arial" w:hAnsi="Arial" w:cs="Arial"/>
        </w:rPr>
        <w:t>-</w:t>
      </w:r>
      <w:r w:rsidR="004262C8">
        <w:rPr>
          <w:rFonts w:ascii="Arial" w:hAnsi="Arial" w:cs="Arial"/>
        </w:rPr>
        <w:t>environmental reconstruction. Finally, t</w:t>
      </w:r>
      <w:r w:rsidR="001D66B9">
        <w:rPr>
          <w:rFonts w:ascii="Arial" w:hAnsi="Arial" w:cs="Arial"/>
        </w:rPr>
        <w:t>he</w:t>
      </w:r>
      <w:r w:rsidR="0026097A">
        <w:rPr>
          <w:rFonts w:ascii="Arial" w:hAnsi="Arial" w:cs="Arial"/>
        </w:rPr>
        <w:t xml:space="preserve"> required sample volume for direct injection is </w:t>
      </w:r>
      <w:r w:rsidR="001D66B9">
        <w:rPr>
          <w:rFonts w:ascii="Arial" w:hAnsi="Arial" w:cs="Arial"/>
        </w:rPr>
        <w:t xml:space="preserve">also </w:t>
      </w:r>
      <w:r w:rsidR="0026097A">
        <w:rPr>
          <w:rFonts w:ascii="Arial" w:hAnsi="Arial" w:cs="Arial"/>
        </w:rPr>
        <w:t>much smaller</w:t>
      </w:r>
      <w:r w:rsidR="001D66B9">
        <w:rPr>
          <w:rFonts w:ascii="Arial" w:hAnsi="Arial" w:cs="Arial"/>
        </w:rPr>
        <w:t>, in this case approximately 100</w:t>
      </w:r>
      <w:r w:rsidR="000C3D46">
        <w:rPr>
          <w:rFonts w:ascii="Arial" w:hAnsi="Arial" w:cs="Arial"/>
        </w:rPr>
        <w:t xml:space="preserve"> </w:t>
      </w:r>
      <w:r w:rsidR="001D66B9">
        <w:rPr>
          <w:rFonts w:ascii="Arial" w:hAnsi="Arial" w:cs="Arial"/>
        </w:rPr>
        <w:t>μL per sample rather than 10</w:t>
      </w:r>
      <w:r w:rsidR="00BE5B15">
        <w:rPr>
          <w:rFonts w:ascii="Arial" w:hAnsi="Arial" w:cs="Arial"/>
        </w:rPr>
        <w:t xml:space="preserve"> </w:t>
      </w:r>
      <w:r w:rsidR="001D66B9">
        <w:rPr>
          <w:rFonts w:ascii="Arial" w:hAnsi="Arial" w:cs="Arial"/>
        </w:rPr>
        <w:t xml:space="preserve">mL for a </w:t>
      </w:r>
      <w:r w:rsidR="003F3499">
        <w:rPr>
          <w:rFonts w:ascii="Arial" w:hAnsi="Arial" w:cs="Arial"/>
        </w:rPr>
        <w:t>sample requiring preconcentration</w:t>
      </w:r>
      <w:r w:rsidR="0026097A">
        <w:rPr>
          <w:rFonts w:ascii="Arial" w:hAnsi="Arial" w:cs="Arial"/>
        </w:rPr>
        <w:t>,</w:t>
      </w:r>
      <w:r w:rsidR="0090659D">
        <w:rPr>
          <w:rFonts w:ascii="Arial" w:hAnsi="Arial" w:cs="Arial"/>
        </w:rPr>
        <w:t xml:space="preserve"> thus</w:t>
      </w:r>
      <w:r w:rsidR="0026097A">
        <w:rPr>
          <w:rFonts w:ascii="Arial" w:hAnsi="Arial" w:cs="Arial"/>
        </w:rPr>
        <w:t xml:space="preserve"> improving </w:t>
      </w:r>
      <w:r w:rsidR="004262C8">
        <w:rPr>
          <w:rFonts w:ascii="Arial" w:hAnsi="Arial" w:cs="Arial"/>
        </w:rPr>
        <w:t xml:space="preserve">the depth and time </w:t>
      </w:r>
      <w:r w:rsidR="0026097A">
        <w:rPr>
          <w:rFonts w:ascii="Arial" w:hAnsi="Arial" w:cs="Arial"/>
        </w:rPr>
        <w:t xml:space="preserve">resolution </w:t>
      </w:r>
      <w:r w:rsidR="004262C8">
        <w:rPr>
          <w:rFonts w:ascii="Arial" w:hAnsi="Arial" w:cs="Arial"/>
        </w:rPr>
        <w:t>that can be attained from</w:t>
      </w:r>
      <w:r w:rsidR="0026097A">
        <w:rPr>
          <w:rFonts w:ascii="Arial" w:hAnsi="Arial" w:cs="Arial"/>
        </w:rPr>
        <w:t xml:space="preserve"> the ice core.</w:t>
      </w:r>
      <w:r w:rsidR="00932492">
        <w:rPr>
          <w:rFonts w:ascii="Arial" w:hAnsi="Arial" w:cs="Arial"/>
        </w:rPr>
        <w:t xml:space="preserve"> </w:t>
      </w:r>
      <w:r w:rsidR="004262C8">
        <w:rPr>
          <w:rFonts w:ascii="Arial" w:hAnsi="Arial" w:cs="Arial"/>
        </w:rPr>
        <w:t>As an example, this will often allow seasonally-resolved samples to be analysed, as opposed to annual or multi-annual</w:t>
      </w:r>
      <w:r w:rsidR="00B90F84">
        <w:rPr>
          <w:rFonts w:ascii="Arial" w:hAnsi="Arial" w:cs="Arial"/>
        </w:rPr>
        <w:t xml:space="preserve"> records, which will be invaluable to develop an understanding of the processes and sources these novel organic paleo-environmental markers represent. </w:t>
      </w:r>
      <w:r w:rsidR="00932492">
        <w:rPr>
          <w:rFonts w:ascii="Arial" w:hAnsi="Arial" w:cs="Arial"/>
        </w:rPr>
        <w:t xml:space="preserve">This may </w:t>
      </w:r>
      <w:r w:rsidR="004262C8">
        <w:rPr>
          <w:rFonts w:ascii="Arial" w:hAnsi="Arial" w:cs="Arial"/>
        </w:rPr>
        <w:t xml:space="preserve">also </w:t>
      </w:r>
      <w:r w:rsidR="00932492">
        <w:rPr>
          <w:rFonts w:ascii="Arial" w:hAnsi="Arial" w:cs="Arial"/>
        </w:rPr>
        <w:t xml:space="preserve">be particularly useful when evolving the method to </w:t>
      </w:r>
      <w:r w:rsidR="00FE58DB">
        <w:rPr>
          <w:rFonts w:ascii="Arial" w:hAnsi="Arial" w:cs="Arial"/>
        </w:rPr>
        <w:t>analyse</w:t>
      </w:r>
      <w:r w:rsidR="00932492">
        <w:rPr>
          <w:rFonts w:ascii="Arial" w:hAnsi="Arial" w:cs="Arial"/>
        </w:rPr>
        <w:t xml:space="preserve"> much </w:t>
      </w:r>
      <w:r w:rsidR="00FE58DB">
        <w:rPr>
          <w:rFonts w:ascii="Arial" w:hAnsi="Arial" w:cs="Arial"/>
        </w:rPr>
        <w:t>older ice than currently tested, where annual ice la</w:t>
      </w:r>
      <w:r w:rsidR="007562E0">
        <w:rPr>
          <w:rFonts w:ascii="Arial" w:hAnsi="Arial" w:cs="Arial"/>
        </w:rPr>
        <w:t>yers are much thinner</w:t>
      </w:r>
      <w:r w:rsidR="004262C8">
        <w:rPr>
          <w:rFonts w:ascii="Arial" w:hAnsi="Arial" w:cs="Arial"/>
        </w:rPr>
        <w:t>, due to ice flow,</w:t>
      </w:r>
      <w:r w:rsidR="007562E0">
        <w:rPr>
          <w:rFonts w:ascii="Arial" w:hAnsi="Arial" w:cs="Arial"/>
        </w:rPr>
        <w:t xml:space="preserve"> than </w:t>
      </w:r>
      <w:r w:rsidR="003F3499">
        <w:rPr>
          <w:rFonts w:ascii="Arial" w:hAnsi="Arial" w:cs="Arial"/>
        </w:rPr>
        <w:t xml:space="preserve">those in </w:t>
      </w:r>
      <w:r w:rsidR="00220B17">
        <w:rPr>
          <w:rFonts w:ascii="Arial" w:hAnsi="Arial" w:cs="Arial"/>
        </w:rPr>
        <w:t>younger, shallower counterparts</w:t>
      </w:r>
      <w:r w:rsidR="004262C8">
        <w:rPr>
          <w:rFonts w:ascii="Arial" w:hAnsi="Arial" w:cs="Arial"/>
        </w:rPr>
        <w:t>. As</w:t>
      </w:r>
      <w:r w:rsidR="00B90F84">
        <w:rPr>
          <w:rFonts w:ascii="Arial" w:hAnsi="Arial" w:cs="Arial"/>
        </w:rPr>
        <w:t xml:space="preserve"> </w:t>
      </w:r>
      <w:r w:rsidR="004262C8">
        <w:rPr>
          <w:rFonts w:ascii="Arial" w:hAnsi="Arial" w:cs="Arial"/>
        </w:rPr>
        <w:t>a</w:t>
      </w:r>
      <w:r w:rsidR="00220B17" w:rsidRPr="00220B17">
        <w:rPr>
          <w:rFonts w:ascii="Arial" w:hAnsi="Arial" w:cs="Arial"/>
        </w:rPr>
        <w:t xml:space="preserve"> long-term perspective</w:t>
      </w:r>
      <w:r w:rsidR="00293337">
        <w:rPr>
          <w:rFonts w:ascii="Arial" w:hAnsi="Arial" w:cs="Arial"/>
        </w:rPr>
        <w:t>, methods requiring low sample volume may be amenable to adaptation</w:t>
      </w:r>
      <w:r w:rsidR="00220B17" w:rsidRPr="00220B17">
        <w:rPr>
          <w:rFonts w:ascii="Arial" w:hAnsi="Arial" w:cs="Arial"/>
        </w:rPr>
        <w:t xml:space="preserve"> for coupling with continuous flow analysis systems (e.g</w:t>
      </w:r>
      <w:r w:rsidR="00220B17">
        <w:rPr>
          <w:rFonts w:ascii="Arial" w:hAnsi="Arial" w:cs="Arial"/>
        </w:rPr>
        <w:t xml:space="preserve"> Kaufmann </w:t>
      </w:r>
      <w:r w:rsidR="00220B17" w:rsidRPr="00BC0205">
        <w:rPr>
          <w:rFonts w:ascii="Arial" w:hAnsi="Arial" w:cs="Arial"/>
          <w:i/>
        </w:rPr>
        <w:t>et al</w:t>
      </w:r>
      <w:r w:rsidR="00220B17">
        <w:rPr>
          <w:rFonts w:ascii="Arial" w:hAnsi="Arial" w:cs="Arial"/>
        </w:rPr>
        <w:t>. 2008).</w:t>
      </w:r>
      <w:r w:rsidR="00F062CD" w:rsidRPr="00F062CD">
        <w:rPr>
          <w:rFonts w:ascii="Arial" w:hAnsi="Arial" w:cs="Arial"/>
        </w:rPr>
        <w:t xml:space="preserve"> </w:t>
      </w:r>
      <w:r w:rsidR="00F062CD">
        <w:rPr>
          <w:rFonts w:ascii="Arial" w:hAnsi="Arial" w:cs="Arial"/>
        </w:rPr>
        <w:t>Finally</w:t>
      </w:r>
      <w:r w:rsidR="00F062CD" w:rsidRPr="00F062CD">
        <w:rPr>
          <w:rFonts w:ascii="Arial" w:hAnsi="Arial" w:cs="Arial"/>
        </w:rPr>
        <w:t xml:space="preserve">, </w:t>
      </w:r>
      <w:r w:rsidR="00F062CD" w:rsidRPr="00F062CD">
        <w:rPr>
          <w:rFonts w:ascii="Arial" w:eastAsia="Arial" w:hAnsi="Arial" w:cs="Arial"/>
          <w:color w:val="000000" w:themeColor="text1"/>
        </w:rPr>
        <w:t>the use of high-resolution MS without sample preconcentration would allow retrospective non targeted analysis, whereas the sample preconcentration step invariably alters the samples representatively.</w:t>
      </w:r>
    </w:p>
    <w:p w14:paraId="01DAABB3" w14:textId="00EA1E9A" w:rsidR="00942BF9" w:rsidRDefault="00942BF9" w:rsidP="00942BF9">
      <w:pPr>
        <w:spacing w:line="360" w:lineRule="auto"/>
        <w:jc w:val="both"/>
        <w:rPr>
          <w:rFonts w:ascii="Arial" w:hAnsi="Arial" w:cs="Arial"/>
        </w:rPr>
      </w:pPr>
    </w:p>
    <w:p w14:paraId="333D557C" w14:textId="77777777" w:rsidR="0006484B" w:rsidRDefault="0006484B" w:rsidP="00942BF9">
      <w:pPr>
        <w:spacing w:line="360" w:lineRule="auto"/>
        <w:jc w:val="both"/>
        <w:rPr>
          <w:rFonts w:ascii="Arial" w:hAnsi="Arial" w:cs="Arial"/>
        </w:rPr>
      </w:pPr>
    </w:p>
    <w:p w14:paraId="595AD249" w14:textId="77777777" w:rsidR="0006484B" w:rsidRDefault="0006484B" w:rsidP="00942BF9">
      <w:pPr>
        <w:spacing w:line="360" w:lineRule="auto"/>
        <w:jc w:val="both"/>
        <w:rPr>
          <w:rFonts w:ascii="Arial" w:hAnsi="Arial" w:cs="Arial"/>
        </w:rPr>
      </w:pPr>
    </w:p>
    <w:p w14:paraId="75819DA2" w14:textId="77777777" w:rsidR="0006484B" w:rsidRDefault="0006484B" w:rsidP="00942BF9">
      <w:pPr>
        <w:spacing w:line="360" w:lineRule="auto"/>
        <w:jc w:val="both"/>
        <w:rPr>
          <w:rFonts w:ascii="Arial" w:hAnsi="Arial" w:cs="Arial"/>
        </w:rPr>
      </w:pPr>
    </w:p>
    <w:p w14:paraId="3E58B167" w14:textId="77777777" w:rsidR="0006484B" w:rsidRDefault="0006484B" w:rsidP="00942BF9">
      <w:pPr>
        <w:spacing w:line="360" w:lineRule="auto"/>
        <w:jc w:val="both"/>
        <w:rPr>
          <w:rFonts w:ascii="Arial" w:hAnsi="Arial" w:cs="Arial"/>
        </w:rPr>
      </w:pPr>
    </w:p>
    <w:p w14:paraId="0B3BB7F3" w14:textId="77777777" w:rsidR="00F32353" w:rsidRDefault="00F32353" w:rsidP="00942BF9">
      <w:pPr>
        <w:spacing w:line="360" w:lineRule="auto"/>
        <w:jc w:val="both"/>
        <w:rPr>
          <w:rFonts w:ascii="Arial" w:hAnsi="Arial" w:cs="Arial"/>
        </w:rPr>
      </w:pPr>
    </w:p>
    <w:p w14:paraId="7FB51F78" w14:textId="1ABD0AD5" w:rsidR="00942BF9" w:rsidRDefault="00F32353" w:rsidP="00473E0C">
      <w:pPr>
        <w:spacing w:after="0" w:line="360" w:lineRule="auto"/>
        <w:jc w:val="both"/>
        <w:rPr>
          <w:rFonts w:ascii="Arial" w:hAnsi="Arial" w:cs="Arial"/>
        </w:rPr>
      </w:pPr>
      <w:r w:rsidRPr="002509EC">
        <w:rPr>
          <w:rFonts w:ascii="Arial" w:hAnsi="Arial" w:cs="Arial"/>
          <w:b/>
        </w:rPr>
        <w:lastRenderedPageBreak/>
        <w:t xml:space="preserve">Table 1: </w:t>
      </w:r>
      <w:r w:rsidRPr="002509EC">
        <w:rPr>
          <w:rFonts w:ascii="Arial" w:hAnsi="Arial" w:cs="Arial"/>
        </w:rPr>
        <w:t>Target compound list for this study</w:t>
      </w:r>
      <w:r w:rsidR="00650C7C">
        <w:rPr>
          <w:rFonts w:ascii="Arial" w:hAnsi="Arial" w:cs="Arial"/>
        </w:rPr>
        <w:t xml:space="preserve"> (adapted from </w:t>
      </w:r>
      <w:r w:rsidR="00650C7C" w:rsidRPr="00E855B0">
        <w:rPr>
          <w:rFonts w:ascii="Arial" w:hAnsi="Arial" w:cs="Arial"/>
        </w:rPr>
        <w:t>King et al.</w:t>
      </w:r>
      <w:r w:rsidR="00E855B0" w:rsidRPr="00473E0C">
        <w:rPr>
          <w:rFonts w:ascii="Arial" w:hAnsi="Arial" w:cs="Arial"/>
        </w:rPr>
        <w:t xml:space="preserve"> </w:t>
      </w:r>
      <w:r w:rsidR="00E855B0" w:rsidRPr="006E43C7">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sidRPr="006E43C7">
        <w:rPr>
          <w:rFonts w:ascii="Arial" w:hAnsi="Arial" w:cs="Arial"/>
        </w:rPr>
        <w:fldChar w:fldCharType="separate"/>
      </w:r>
      <w:r w:rsidR="002B34DF" w:rsidRPr="002B34DF">
        <w:rPr>
          <w:rFonts w:ascii="Arial" w:hAnsi="Arial" w:cs="Arial"/>
          <w:noProof/>
          <w:vertAlign w:val="superscript"/>
        </w:rPr>
        <w:t>5</w:t>
      </w:r>
      <w:r w:rsidR="00E855B0" w:rsidRPr="006E43C7">
        <w:rPr>
          <w:rFonts w:ascii="Arial" w:hAnsi="Arial" w:cs="Arial"/>
        </w:rPr>
        <w:fldChar w:fldCharType="end"/>
      </w:r>
      <w:r w:rsidR="00650C7C" w:rsidRPr="00E855B0">
        <w:rPr>
          <w:rFonts w:ascii="Arial" w:hAnsi="Arial" w:cs="Arial"/>
        </w:rPr>
        <w:t>)</w:t>
      </w:r>
      <w:r w:rsidRPr="00E855B0">
        <w:rPr>
          <w:rFonts w:ascii="Arial" w:hAnsi="Arial" w:cs="Arial"/>
        </w:rPr>
        <w:t>, by</w:t>
      </w:r>
      <w:r w:rsidRPr="002509EC">
        <w:rPr>
          <w:rFonts w:ascii="Arial" w:hAnsi="Arial" w:cs="Arial"/>
        </w:rPr>
        <w:t xml:space="preserve"> compound group and in order of increasing number of carbon atoms.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417"/>
        <w:gridCol w:w="4678"/>
      </w:tblGrid>
      <w:tr w:rsidR="00DA0557" w:rsidRPr="002509EC" w14:paraId="4E596CCA" w14:textId="77777777" w:rsidTr="00946E61">
        <w:tc>
          <w:tcPr>
            <w:tcW w:w="3119" w:type="dxa"/>
            <w:tcBorders>
              <w:top w:val="single" w:sz="4" w:space="0" w:color="auto"/>
              <w:left w:val="single" w:sz="4" w:space="0" w:color="auto"/>
              <w:bottom w:val="single" w:sz="4" w:space="0" w:color="auto"/>
            </w:tcBorders>
          </w:tcPr>
          <w:p w14:paraId="7F118AD2" w14:textId="64E54AA9" w:rsidR="00DA0557" w:rsidRPr="006E259D" w:rsidRDefault="00DA0557" w:rsidP="00DA0557">
            <w:pPr>
              <w:spacing w:line="276" w:lineRule="auto"/>
              <w:jc w:val="both"/>
              <w:rPr>
                <w:rFonts w:ascii="Arial" w:hAnsi="Arial" w:cs="Arial"/>
                <w:b/>
                <w:sz w:val="20"/>
                <w:szCs w:val="20"/>
              </w:rPr>
            </w:pPr>
            <w:r>
              <w:rPr>
                <w:rFonts w:ascii="Arial" w:hAnsi="Arial" w:cs="Arial"/>
                <w:b/>
                <w:sz w:val="20"/>
                <w:szCs w:val="20"/>
              </w:rPr>
              <w:t xml:space="preserve">Compound </w:t>
            </w:r>
            <w:r w:rsidRPr="006E259D">
              <w:rPr>
                <w:rFonts w:ascii="Arial" w:hAnsi="Arial" w:cs="Arial"/>
                <w:b/>
                <w:sz w:val="20"/>
                <w:szCs w:val="20"/>
              </w:rPr>
              <w:t xml:space="preserve">Source </w:t>
            </w:r>
          </w:p>
        </w:tc>
        <w:tc>
          <w:tcPr>
            <w:tcW w:w="1417" w:type="dxa"/>
            <w:tcBorders>
              <w:top w:val="single" w:sz="4" w:space="0" w:color="auto"/>
              <w:bottom w:val="single" w:sz="4" w:space="0" w:color="auto"/>
            </w:tcBorders>
          </w:tcPr>
          <w:p w14:paraId="05B03C10" w14:textId="73F79ACE" w:rsidR="00DA0557" w:rsidRDefault="00DA0557" w:rsidP="00DA0557">
            <w:pPr>
              <w:jc w:val="both"/>
              <w:rPr>
                <w:rFonts w:ascii="Arial" w:hAnsi="Arial" w:cs="Arial"/>
                <w:b/>
                <w:sz w:val="20"/>
                <w:szCs w:val="20"/>
              </w:rPr>
            </w:pPr>
            <w:r w:rsidRPr="006E259D">
              <w:rPr>
                <w:rFonts w:ascii="Arial" w:hAnsi="Arial" w:cs="Arial"/>
                <w:b/>
                <w:sz w:val="20"/>
                <w:szCs w:val="20"/>
              </w:rPr>
              <w:t>Neutral Formula</w:t>
            </w:r>
          </w:p>
        </w:tc>
        <w:tc>
          <w:tcPr>
            <w:tcW w:w="4678" w:type="dxa"/>
            <w:tcBorders>
              <w:top w:val="single" w:sz="4" w:space="0" w:color="auto"/>
              <w:bottom w:val="single" w:sz="4" w:space="0" w:color="auto"/>
              <w:right w:val="single" w:sz="4" w:space="0" w:color="auto"/>
            </w:tcBorders>
          </w:tcPr>
          <w:p w14:paraId="5F0799E4" w14:textId="6F421CFA" w:rsidR="00DA0557" w:rsidRPr="006E259D" w:rsidRDefault="00DA0557" w:rsidP="00DA0557">
            <w:pPr>
              <w:spacing w:line="276" w:lineRule="auto"/>
              <w:jc w:val="both"/>
              <w:rPr>
                <w:rFonts w:ascii="Arial" w:hAnsi="Arial" w:cs="Arial"/>
                <w:b/>
                <w:sz w:val="20"/>
                <w:szCs w:val="20"/>
              </w:rPr>
            </w:pPr>
            <w:r>
              <w:rPr>
                <w:rFonts w:ascii="Arial" w:hAnsi="Arial" w:cs="Arial"/>
                <w:b/>
                <w:sz w:val="20"/>
                <w:szCs w:val="20"/>
              </w:rPr>
              <w:t>N</w:t>
            </w:r>
            <w:r w:rsidRPr="006E259D">
              <w:rPr>
                <w:rFonts w:ascii="Arial" w:hAnsi="Arial" w:cs="Arial"/>
                <w:b/>
                <w:sz w:val="20"/>
                <w:szCs w:val="20"/>
              </w:rPr>
              <w:t>ame</w:t>
            </w:r>
          </w:p>
        </w:tc>
      </w:tr>
      <w:tr w:rsidR="00DA0557" w:rsidRPr="002509EC" w14:paraId="349E9C51" w14:textId="77777777" w:rsidTr="00946E61">
        <w:tc>
          <w:tcPr>
            <w:tcW w:w="3119" w:type="dxa"/>
            <w:tcBorders>
              <w:top w:val="single" w:sz="4" w:space="0" w:color="auto"/>
              <w:left w:val="single" w:sz="4" w:space="0" w:color="auto"/>
            </w:tcBorders>
          </w:tcPr>
          <w:p w14:paraId="57AF65DC" w14:textId="77777777" w:rsidR="00DA0557" w:rsidRPr="006E259D" w:rsidRDefault="00DA0557" w:rsidP="00DA0557">
            <w:pPr>
              <w:spacing w:line="276" w:lineRule="auto"/>
              <w:jc w:val="both"/>
              <w:rPr>
                <w:rFonts w:ascii="Arial" w:hAnsi="Arial" w:cs="Arial"/>
                <w:sz w:val="20"/>
                <w:szCs w:val="20"/>
              </w:rPr>
            </w:pPr>
          </w:p>
          <w:p w14:paraId="7EE39903"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Isoprene-derived SOA</w:t>
            </w:r>
          </w:p>
        </w:tc>
        <w:tc>
          <w:tcPr>
            <w:tcW w:w="1417" w:type="dxa"/>
            <w:tcBorders>
              <w:top w:val="single" w:sz="4" w:space="0" w:color="auto"/>
            </w:tcBorders>
            <w:vAlign w:val="center"/>
          </w:tcPr>
          <w:p w14:paraId="7CFAC964" w14:textId="77777777" w:rsidR="00DA0557" w:rsidRPr="006E259D" w:rsidRDefault="00DA0557" w:rsidP="00DA0557">
            <w:pPr>
              <w:spacing w:line="276" w:lineRule="auto"/>
              <w:jc w:val="both"/>
              <w:rPr>
                <w:rFonts w:ascii="Arial" w:eastAsia="Times New Roman" w:hAnsi="Arial" w:cs="Arial"/>
                <w:color w:val="000000"/>
                <w:sz w:val="20"/>
                <w:szCs w:val="20"/>
                <w:lang w:eastAsia="en-GB"/>
              </w:rPr>
            </w:pPr>
          </w:p>
          <w:p w14:paraId="032EEDFE" w14:textId="3C0D0B92"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4</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10</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4</w:t>
            </w:r>
          </w:p>
        </w:tc>
        <w:tc>
          <w:tcPr>
            <w:tcW w:w="4678" w:type="dxa"/>
            <w:tcBorders>
              <w:top w:val="single" w:sz="4" w:space="0" w:color="auto"/>
              <w:right w:val="single" w:sz="4" w:space="0" w:color="auto"/>
            </w:tcBorders>
            <w:vAlign w:val="center"/>
          </w:tcPr>
          <w:p w14:paraId="7C71FE19" w14:textId="0398FD49" w:rsidR="00DA0557" w:rsidRPr="006E259D" w:rsidRDefault="00DA0557" w:rsidP="00DA0557">
            <w:pPr>
              <w:spacing w:line="276" w:lineRule="auto"/>
              <w:rPr>
                <w:rFonts w:ascii="Arial" w:eastAsia="Times New Roman" w:hAnsi="Arial" w:cs="Arial"/>
                <w:color w:val="000000"/>
                <w:sz w:val="20"/>
                <w:szCs w:val="20"/>
                <w:lang w:eastAsia="en-GB"/>
              </w:rPr>
            </w:pPr>
          </w:p>
          <w:p w14:paraId="3C2E0895" w14:textId="77777777" w:rsidR="00DA0557" w:rsidRPr="006E259D" w:rsidRDefault="00DA0557" w:rsidP="00DA0557">
            <w:pPr>
              <w:spacing w:line="276" w:lineRule="auto"/>
              <w:rPr>
                <w:rFonts w:ascii="Arial" w:hAnsi="Arial" w:cs="Arial"/>
                <w:sz w:val="20"/>
                <w:szCs w:val="20"/>
              </w:rPr>
            </w:pPr>
            <w:r w:rsidRPr="006E259D">
              <w:rPr>
                <w:rFonts w:ascii="Arial" w:eastAsia="Times New Roman" w:hAnsi="Arial" w:cs="Arial"/>
                <w:color w:val="000000"/>
                <w:sz w:val="20"/>
                <w:szCs w:val="20"/>
                <w:lang w:eastAsia="en-GB"/>
              </w:rPr>
              <w:t>Meso-erythritol*</w:t>
            </w:r>
          </w:p>
        </w:tc>
      </w:tr>
      <w:tr w:rsidR="00DA0557" w:rsidRPr="002509EC" w14:paraId="367A5C96" w14:textId="77777777" w:rsidTr="00946E61">
        <w:tc>
          <w:tcPr>
            <w:tcW w:w="3119" w:type="dxa"/>
            <w:tcBorders>
              <w:left w:val="single" w:sz="4" w:space="0" w:color="auto"/>
            </w:tcBorders>
          </w:tcPr>
          <w:p w14:paraId="43DF9B1A"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Isoprene-derived SOA</w:t>
            </w:r>
          </w:p>
        </w:tc>
        <w:tc>
          <w:tcPr>
            <w:tcW w:w="1417" w:type="dxa"/>
            <w:vAlign w:val="center"/>
          </w:tcPr>
          <w:p w14:paraId="7D240602" w14:textId="5B81BED2"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5</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12</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4</w:t>
            </w:r>
          </w:p>
        </w:tc>
        <w:tc>
          <w:tcPr>
            <w:tcW w:w="4678" w:type="dxa"/>
            <w:tcBorders>
              <w:right w:val="single" w:sz="4" w:space="0" w:color="auto"/>
            </w:tcBorders>
            <w:vAlign w:val="center"/>
          </w:tcPr>
          <w:p w14:paraId="744E1FD1" w14:textId="7B50A1EC" w:rsidR="00DA0557" w:rsidRPr="006E259D" w:rsidRDefault="00DA0557" w:rsidP="00DA0557">
            <w:pPr>
              <w:spacing w:line="276" w:lineRule="auto"/>
              <w:rPr>
                <w:rFonts w:ascii="Arial" w:hAnsi="Arial" w:cs="Arial"/>
                <w:sz w:val="20"/>
                <w:szCs w:val="20"/>
              </w:rPr>
            </w:pPr>
            <w:r w:rsidRPr="006E259D">
              <w:rPr>
                <w:rFonts w:ascii="Arial" w:eastAsia="Times New Roman" w:hAnsi="Arial" w:cs="Arial"/>
                <w:color w:val="000000"/>
                <w:sz w:val="20"/>
                <w:szCs w:val="20"/>
                <w:lang w:eastAsia="en-GB"/>
              </w:rPr>
              <w:t>Methyl-tetrols</w:t>
            </w:r>
          </w:p>
        </w:tc>
      </w:tr>
      <w:tr w:rsidR="00DA0557" w:rsidRPr="002509EC" w14:paraId="132C22E9" w14:textId="77777777" w:rsidTr="00946E61">
        <w:tc>
          <w:tcPr>
            <w:tcW w:w="3119" w:type="dxa"/>
            <w:tcBorders>
              <w:left w:val="single" w:sz="4" w:space="0" w:color="auto"/>
            </w:tcBorders>
          </w:tcPr>
          <w:p w14:paraId="0F3EB1B9"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3A7FBF98" w14:textId="77777777" w:rsidR="00DA0557" w:rsidRPr="006E259D" w:rsidRDefault="00DA0557" w:rsidP="00DA0557">
            <w:pPr>
              <w:rPr>
                <w:rFonts w:ascii="Arial" w:eastAsia="Times New Roman" w:hAnsi="Arial" w:cs="Arial"/>
                <w:color w:val="000000"/>
                <w:sz w:val="20"/>
                <w:szCs w:val="20"/>
                <w:lang w:eastAsia="en-GB"/>
              </w:rPr>
            </w:pPr>
          </w:p>
        </w:tc>
        <w:tc>
          <w:tcPr>
            <w:tcW w:w="4678" w:type="dxa"/>
            <w:tcBorders>
              <w:right w:val="single" w:sz="4" w:space="0" w:color="auto"/>
            </w:tcBorders>
            <w:vAlign w:val="center"/>
          </w:tcPr>
          <w:p w14:paraId="7334C7C4" w14:textId="1F5D7626" w:rsidR="00DA0557" w:rsidRPr="006E259D" w:rsidRDefault="00DA0557" w:rsidP="00DA0557">
            <w:pPr>
              <w:spacing w:line="276" w:lineRule="auto"/>
              <w:rPr>
                <w:rFonts w:ascii="Arial" w:eastAsia="Times New Roman" w:hAnsi="Arial" w:cs="Arial"/>
                <w:color w:val="000000"/>
                <w:sz w:val="20"/>
                <w:szCs w:val="20"/>
                <w:lang w:eastAsia="en-GB"/>
              </w:rPr>
            </w:pPr>
          </w:p>
        </w:tc>
      </w:tr>
      <w:tr w:rsidR="00DA0557" w:rsidRPr="002509EC" w14:paraId="6F6FB9BC" w14:textId="77777777" w:rsidTr="00946E61">
        <w:tc>
          <w:tcPr>
            <w:tcW w:w="3119" w:type="dxa"/>
            <w:tcBorders>
              <w:left w:val="single" w:sz="4" w:space="0" w:color="auto"/>
            </w:tcBorders>
          </w:tcPr>
          <w:p w14:paraId="1F4405FC"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Monoterpene-derived SOA</w:t>
            </w:r>
          </w:p>
        </w:tc>
        <w:tc>
          <w:tcPr>
            <w:tcW w:w="1417" w:type="dxa"/>
            <w:vAlign w:val="center"/>
          </w:tcPr>
          <w:p w14:paraId="7D4846DF" w14:textId="1B8275E1"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7</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12</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4</w:t>
            </w:r>
          </w:p>
        </w:tc>
        <w:tc>
          <w:tcPr>
            <w:tcW w:w="4678" w:type="dxa"/>
            <w:tcBorders>
              <w:right w:val="single" w:sz="4" w:space="0" w:color="auto"/>
            </w:tcBorders>
            <w:vAlign w:val="center"/>
          </w:tcPr>
          <w:p w14:paraId="0FA65703" w14:textId="5A06E781" w:rsidR="00DA0557" w:rsidRPr="006E259D" w:rsidRDefault="00DA0557" w:rsidP="00DA0557">
            <w:pPr>
              <w:spacing w:line="276" w:lineRule="auto"/>
              <w:rPr>
                <w:rFonts w:ascii="Arial" w:hAnsi="Arial" w:cs="Arial"/>
                <w:sz w:val="20"/>
                <w:szCs w:val="20"/>
              </w:rPr>
            </w:pPr>
            <w:r w:rsidRPr="006E259D">
              <w:rPr>
                <w:rFonts w:ascii="Arial" w:eastAsia="Times New Roman" w:hAnsi="Arial" w:cs="Arial"/>
                <w:color w:val="000000"/>
                <w:sz w:val="20"/>
                <w:szCs w:val="20"/>
                <w:lang w:eastAsia="en-GB"/>
              </w:rPr>
              <w:t>Pimelic acid*</w:t>
            </w:r>
          </w:p>
        </w:tc>
      </w:tr>
      <w:tr w:rsidR="00DA0557" w:rsidRPr="002509EC" w14:paraId="7BDA5050" w14:textId="77777777" w:rsidTr="00946E61">
        <w:tc>
          <w:tcPr>
            <w:tcW w:w="3119" w:type="dxa"/>
            <w:tcBorders>
              <w:left w:val="single" w:sz="4" w:space="0" w:color="auto"/>
            </w:tcBorders>
          </w:tcPr>
          <w:p w14:paraId="2C355FED"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Monoterpene-derived SOA</w:t>
            </w:r>
          </w:p>
        </w:tc>
        <w:tc>
          <w:tcPr>
            <w:tcW w:w="1417" w:type="dxa"/>
            <w:vAlign w:val="center"/>
          </w:tcPr>
          <w:p w14:paraId="526642F8" w14:textId="76F0E851"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7</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10</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6</w:t>
            </w:r>
          </w:p>
        </w:tc>
        <w:tc>
          <w:tcPr>
            <w:tcW w:w="4678" w:type="dxa"/>
            <w:tcBorders>
              <w:right w:val="single" w:sz="4" w:space="0" w:color="auto"/>
            </w:tcBorders>
            <w:vAlign w:val="center"/>
          </w:tcPr>
          <w:p w14:paraId="16ADE00A" w14:textId="5DA5BFEF" w:rsidR="00DA0557" w:rsidRPr="006E259D" w:rsidRDefault="00DA0557" w:rsidP="00DA0557">
            <w:pPr>
              <w:spacing w:line="276" w:lineRule="auto"/>
              <w:rPr>
                <w:rFonts w:ascii="Arial" w:hAnsi="Arial" w:cs="Arial"/>
                <w:sz w:val="20"/>
                <w:szCs w:val="20"/>
              </w:rPr>
            </w:pPr>
            <w:r w:rsidRPr="006E259D">
              <w:rPr>
                <w:rFonts w:ascii="Arial" w:eastAsia="Times New Roman" w:hAnsi="Arial" w:cs="Arial"/>
                <w:color w:val="000000"/>
                <w:sz w:val="20"/>
                <w:szCs w:val="20"/>
                <w:lang w:eastAsia="en-GB"/>
              </w:rPr>
              <w:t>1,2,4-butanetricarboxylic acid (BTCA)*</w:t>
            </w:r>
          </w:p>
        </w:tc>
      </w:tr>
      <w:tr w:rsidR="00DA0557" w:rsidRPr="002509EC" w14:paraId="21472600" w14:textId="77777777" w:rsidTr="00946E61">
        <w:tc>
          <w:tcPr>
            <w:tcW w:w="3119" w:type="dxa"/>
            <w:tcBorders>
              <w:left w:val="single" w:sz="4" w:space="0" w:color="auto"/>
            </w:tcBorders>
          </w:tcPr>
          <w:p w14:paraId="0147FDD5"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Monoterpene-derived SOA</w:t>
            </w:r>
          </w:p>
        </w:tc>
        <w:tc>
          <w:tcPr>
            <w:tcW w:w="1417" w:type="dxa"/>
            <w:vAlign w:val="center"/>
          </w:tcPr>
          <w:p w14:paraId="5B38844F" w14:textId="130D5261" w:rsidR="00DA0557" w:rsidRPr="006E259D" w:rsidRDefault="00DA0557" w:rsidP="00DA0557">
            <w:pPr>
              <w:ind w:right="-124"/>
              <w:rPr>
                <w:rFonts w:ascii="Arial" w:hAnsi="Arial" w:cs="Arial"/>
                <w:sz w:val="20"/>
                <w:szCs w:val="20"/>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8</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12</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6</w:t>
            </w:r>
          </w:p>
        </w:tc>
        <w:tc>
          <w:tcPr>
            <w:tcW w:w="4678" w:type="dxa"/>
            <w:tcBorders>
              <w:right w:val="single" w:sz="4" w:space="0" w:color="auto"/>
            </w:tcBorders>
            <w:vAlign w:val="center"/>
          </w:tcPr>
          <w:p w14:paraId="41E19617" w14:textId="1A86AC52" w:rsidR="00DA0557" w:rsidRPr="006E259D" w:rsidRDefault="00DA0557" w:rsidP="00DA0557">
            <w:pPr>
              <w:spacing w:line="276" w:lineRule="auto"/>
              <w:ind w:right="-124"/>
              <w:rPr>
                <w:rFonts w:ascii="Arial" w:hAnsi="Arial" w:cs="Arial"/>
                <w:sz w:val="20"/>
                <w:szCs w:val="20"/>
              </w:rPr>
            </w:pPr>
            <w:r w:rsidRPr="006E259D">
              <w:rPr>
                <w:rFonts w:ascii="Arial" w:hAnsi="Arial" w:cs="Arial"/>
                <w:sz w:val="20"/>
                <w:szCs w:val="20"/>
              </w:rPr>
              <w:t>3-methyl-1,2,3-butanetricarboxylic acid</w:t>
            </w:r>
            <w:r w:rsidRPr="006E259D">
              <w:rPr>
                <w:rFonts w:ascii="Arial" w:eastAsia="Times New Roman" w:hAnsi="Arial" w:cs="Arial"/>
                <w:color w:val="000000"/>
                <w:sz w:val="20"/>
                <w:szCs w:val="20"/>
                <w:lang w:eastAsia="en-GB"/>
              </w:rPr>
              <w:t xml:space="preserve"> (MBTCA)</w:t>
            </w:r>
          </w:p>
        </w:tc>
      </w:tr>
      <w:tr w:rsidR="00DA0557" w:rsidRPr="002509EC" w14:paraId="07BB4200" w14:textId="77777777" w:rsidTr="00946E61">
        <w:tc>
          <w:tcPr>
            <w:tcW w:w="3119" w:type="dxa"/>
            <w:tcBorders>
              <w:left w:val="single" w:sz="4" w:space="0" w:color="auto"/>
            </w:tcBorders>
          </w:tcPr>
          <w:p w14:paraId="41899183"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Monoterpene-derived SOA</w:t>
            </w:r>
          </w:p>
        </w:tc>
        <w:tc>
          <w:tcPr>
            <w:tcW w:w="1417" w:type="dxa"/>
            <w:vAlign w:val="center"/>
          </w:tcPr>
          <w:p w14:paraId="7493D6B4" w14:textId="011E1CE6"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7</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10</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4</w:t>
            </w:r>
          </w:p>
        </w:tc>
        <w:tc>
          <w:tcPr>
            <w:tcW w:w="4678" w:type="dxa"/>
            <w:tcBorders>
              <w:right w:val="single" w:sz="4" w:space="0" w:color="auto"/>
            </w:tcBorders>
            <w:vAlign w:val="center"/>
          </w:tcPr>
          <w:p w14:paraId="55A01B51" w14:textId="408E338D" w:rsidR="00DA0557" w:rsidRPr="006E259D" w:rsidRDefault="00DA0557" w:rsidP="00DA0557">
            <w:pPr>
              <w:spacing w:line="276" w:lineRule="auto"/>
              <w:rPr>
                <w:rFonts w:ascii="Arial" w:hAnsi="Arial" w:cs="Arial"/>
                <w:sz w:val="20"/>
                <w:szCs w:val="20"/>
              </w:rPr>
            </w:pPr>
            <w:r w:rsidRPr="006E259D">
              <w:rPr>
                <w:rFonts w:ascii="Arial" w:eastAsia="Times New Roman" w:hAnsi="Arial" w:cs="Arial"/>
                <w:color w:val="000000"/>
                <w:sz w:val="20"/>
                <w:szCs w:val="20"/>
                <w:lang w:eastAsia="en-GB"/>
              </w:rPr>
              <w:t>Terebic acid</w:t>
            </w:r>
          </w:p>
        </w:tc>
      </w:tr>
      <w:tr w:rsidR="00DA0557" w:rsidRPr="002509EC" w14:paraId="60D0BE34" w14:textId="77777777" w:rsidTr="00946E61">
        <w:tc>
          <w:tcPr>
            <w:tcW w:w="3119" w:type="dxa"/>
            <w:tcBorders>
              <w:left w:val="single" w:sz="4" w:space="0" w:color="auto"/>
            </w:tcBorders>
          </w:tcPr>
          <w:p w14:paraId="35DFA05D"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Monoterpene-derived SOA</w:t>
            </w:r>
          </w:p>
        </w:tc>
        <w:tc>
          <w:tcPr>
            <w:tcW w:w="1417" w:type="dxa"/>
            <w:vAlign w:val="center"/>
          </w:tcPr>
          <w:p w14:paraId="3DA4C011" w14:textId="7B4745DE"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10</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18</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3</w:t>
            </w:r>
          </w:p>
        </w:tc>
        <w:tc>
          <w:tcPr>
            <w:tcW w:w="4678" w:type="dxa"/>
            <w:tcBorders>
              <w:right w:val="single" w:sz="4" w:space="0" w:color="auto"/>
            </w:tcBorders>
            <w:vAlign w:val="center"/>
          </w:tcPr>
          <w:p w14:paraId="5F17E99F" w14:textId="3B4C8218" w:rsidR="00DA0557" w:rsidRPr="006E259D" w:rsidRDefault="00DA0557" w:rsidP="00DA0557">
            <w:pPr>
              <w:spacing w:line="276" w:lineRule="auto"/>
              <w:rPr>
                <w:rFonts w:ascii="Arial" w:hAnsi="Arial" w:cs="Arial"/>
                <w:sz w:val="20"/>
                <w:szCs w:val="20"/>
              </w:rPr>
            </w:pPr>
            <w:r w:rsidRPr="006E259D">
              <w:rPr>
                <w:rFonts w:ascii="Arial" w:eastAsia="Times New Roman" w:hAnsi="Arial" w:cs="Arial"/>
                <w:color w:val="000000"/>
                <w:sz w:val="20"/>
                <w:szCs w:val="20"/>
                <w:lang w:eastAsia="en-GB"/>
              </w:rPr>
              <w:t>Pinolic acid</w:t>
            </w:r>
          </w:p>
        </w:tc>
      </w:tr>
      <w:tr w:rsidR="00DA0557" w:rsidRPr="002509EC" w14:paraId="73C00176" w14:textId="77777777" w:rsidTr="00946E61">
        <w:tc>
          <w:tcPr>
            <w:tcW w:w="3119" w:type="dxa"/>
            <w:tcBorders>
              <w:left w:val="single" w:sz="4" w:space="0" w:color="auto"/>
            </w:tcBorders>
          </w:tcPr>
          <w:p w14:paraId="431DB8BE"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Monoterpene-derived SOA</w:t>
            </w:r>
          </w:p>
        </w:tc>
        <w:tc>
          <w:tcPr>
            <w:tcW w:w="1417" w:type="dxa"/>
            <w:vAlign w:val="center"/>
          </w:tcPr>
          <w:p w14:paraId="02DB427F" w14:textId="78505D31" w:rsidR="00DA0557" w:rsidRPr="006E259D" w:rsidRDefault="00DA0557" w:rsidP="00DA0557">
            <w:pPr>
              <w:rPr>
                <w:rFonts w:ascii="Arial" w:eastAsia="Times New Roman" w:hAnsi="Arial" w:cs="Arial"/>
                <w:i/>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10</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16</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3</w:t>
            </w:r>
          </w:p>
        </w:tc>
        <w:tc>
          <w:tcPr>
            <w:tcW w:w="4678" w:type="dxa"/>
            <w:tcBorders>
              <w:right w:val="single" w:sz="4" w:space="0" w:color="auto"/>
            </w:tcBorders>
            <w:vAlign w:val="center"/>
          </w:tcPr>
          <w:p w14:paraId="6645216B" w14:textId="6B418E0A" w:rsidR="00DA0557" w:rsidRPr="006E259D" w:rsidRDefault="00DA0557" w:rsidP="00DA0557">
            <w:pPr>
              <w:spacing w:line="276" w:lineRule="auto"/>
              <w:rPr>
                <w:rFonts w:ascii="Arial" w:hAnsi="Arial" w:cs="Arial"/>
                <w:sz w:val="20"/>
                <w:szCs w:val="20"/>
              </w:rPr>
            </w:pPr>
            <w:r w:rsidRPr="006E259D">
              <w:rPr>
                <w:rFonts w:ascii="Arial" w:eastAsia="Times New Roman" w:hAnsi="Arial" w:cs="Arial"/>
                <w:i/>
                <w:color w:val="000000"/>
                <w:sz w:val="20"/>
                <w:szCs w:val="20"/>
                <w:lang w:eastAsia="en-GB"/>
              </w:rPr>
              <w:t>Cis-</w:t>
            </w:r>
            <w:r w:rsidRPr="006E259D">
              <w:rPr>
                <w:rFonts w:ascii="Arial" w:eastAsia="Times New Roman" w:hAnsi="Arial" w:cs="Arial"/>
                <w:color w:val="000000"/>
                <w:sz w:val="20"/>
                <w:szCs w:val="20"/>
                <w:lang w:eastAsia="en-GB"/>
              </w:rPr>
              <w:t>pinonic acid</w:t>
            </w:r>
          </w:p>
        </w:tc>
      </w:tr>
      <w:tr w:rsidR="00DA0557" w:rsidRPr="002509EC" w14:paraId="334FA6D7" w14:textId="77777777" w:rsidTr="00946E61">
        <w:tc>
          <w:tcPr>
            <w:tcW w:w="3119" w:type="dxa"/>
            <w:tcBorders>
              <w:left w:val="single" w:sz="4" w:space="0" w:color="auto"/>
            </w:tcBorders>
          </w:tcPr>
          <w:p w14:paraId="2805143D"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Monoterpene-derived SOA</w:t>
            </w:r>
          </w:p>
        </w:tc>
        <w:tc>
          <w:tcPr>
            <w:tcW w:w="1417" w:type="dxa"/>
            <w:vAlign w:val="center"/>
          </w:tcPr>
          <w:p w14:paraId="0867CD0A" w14:textId="3E141CCF"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10</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14</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3</w:t>
            </w:r>
          </w:p>
        </w:tc>
        <w:tc>
          <w:tcPr>
            <w:tcW w:w="4678" w:type="dxa"/>
            <w:tcBorders>
              <w:right w:val="single" w:sz="4" w:space="0" w:color="auto"/>
            </w:tcBorders>
            <w:vAlign w:val="center"/>
          </w:tcPr>
          <w:p w14:paraId="65E6321D" w14:textId="22ED433A" w:rsidR="00DA0557" w:rsidRPr="006E259D" w:rsidRDefault="00DA0557" w:rsidP="00DA0557">
            <w:pPr>
              <w:spacing w:line="276" w:lineRule="auto"/>
              <w:rPr>
                <w:rFonts w:ascii="Arial" w:eastAsia="Times New Roman" w:hAnsi="Arial" w:cs="Arial"/>
                <w:i/>
                <w:color w:val="000000"/>
                <w:sz w:val="20"/>
                <w:szCs w:val="20"/>
                <w:lang w:eastAsia="en-GB"/>
              </w:rPr>
            </w:pPr>
            <w:r w:rsidRPr="006E259D">
              <w:rPr>
                <w:rFonts w:ascii="Arial" w:eastAsia="Times New Roman" w:hAnsi="Arial" w:cs="Arial"/>
                <w:color w:val="000000"/>
                <w:sz w:val="20"/>
                <w:szCs w:val="20"/>
                <w:lang w:eastAsia="en-GB"/>
              </w:rPr>
              <w:t>Keto-pinic acid</w:t>
            </w:r>
          </w:p>
        </w:tc>
      </w:tr>
      <w:tr w:rsidR="00DA0557" w:rsidRPr="002509EC" w14:paraId="0D527999" w14:textId="77777777" w:rsidTr="00946E61">
        <w:tc>
          <w:tcPr>
            <w:tcW w:w="3119" w:type="dxa"/>
            <w:tcBorders>
              <w:left w:val="single" w:sz="4" w:space="0" w:color="auto"/>
            </w:tcBorders>
          </w:tcPr>
          <w:p w14:paraId="11C05981"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39FD9BD6" w14:textId="77777777" w:rsidR="00DA0557" w:rsidRPr="006E259D" w:rsidRDefault="00DA0557" w:rsidP="00DA0557">
            <w:pPr>
              <w:rPr>
                <w:rFonts w:ascii="Arial" w:eastAsia="Times New Roman" w:hAnsi="Arial" w:cs="Arial"/>
                <w:color w:val="000000"/>
                <w:sz w:val="20"/>
                <w:szCs w:val="20"/>
                <w:lang w:eastAsia="en-GB"/>
              </w:rPr>
            </w:pPr>
          </w:p>
        </w:tc>
        <w:tc>
          <w:tcPr>
            <w:tcW w:w="4678" w:type="dxa"/>
            <w:tcBorders>
              <w:right w:val="single" w:sz="4" w:space="0" w:color="auto"/>
            </w:tcBorders>
            <w:vAlign w:val="center"/>
          </w:tcPr>
          <w:p w14:paraId="1B3663B6" w14:textId="324EDDBB" w:rsidR="00DA0557" w:rsidRPr="006E259D" w:rsidRDefault="00DA0557" w:rsidP="00DA0557">
            <w:pPr>
              <w:spacing w:line="276" w:lineRule="auto"/>
              <w:rPr>
                <w:rFonts w:ascii="Arial" w:eastAsia="Times New Roman" w:hAnsi="Arial" w:cs="Arial"/>
                <w:color w:val="000000"/>
                <w:sz w:val="20"/>
                <w:szCs w:val="20"/>
                <w:lang w:eastAsia="en-GB"/>
              </w:rPr>
            </w:pPr>
          </w:p>
        </w:tc>
      </w:tr>
      <w:tr w:rsidR="00DA0557" w:rsidRPr="002509EC" w14:paraId="1632A404" w14:textId="77777777" w:rsidTr="00946E61">
        <w:tc>
          <w:tcPr>
            <w:tcW w:w="3119" w:type="dxa"/>
            <w:tcBorders>
              <w:left w:val="single" w:sz="4" w:space="0" w:color="auto"/>
            </w:tcBorders>
          </w:tcPr>
          <w:p w14:paraId="300FA2DF"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Sesquiterpene-derived SOA</w:t>
            </w:r>
          </w:p>
        </w:tc>
        <w:tc>
          <w:tcPr>
            <w:tcW w:w="1417" w:type="dxa"/>
            <w:vAlign w:val="center"/>
          </w:tcPr>
          <w:p w14:paraId="0BED2E70" w14:textId="24A1FC5B"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14</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22</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4</w:t>
            </w:r>
          </w:p>
        </w:tc>
        <w:tc>
          <w:tcPr>
            <w:tcW w:w="4678" w:type="dxa"/>
            <w:tcBorders>
              <w:right w:val="single" w:sz="4" w:space="0" w:color="auto"/>
            </w:tcBorders>
            <w:vAlign w:val="center"/>
          </w:tcPr>
          <w:p w14:paraId="62E81901" w14:textId="252108E4"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β-caryophyllinic acid</w:t>
            </w:r>
          </w:p>
        </w:tc>
      </w:tr>
      <w:tr w:rsidR="00DA0557" w:rsidRPr="002509EC" w14:paraId="6316FE12" w14:textId="77777777" w:rsidTr="00946E61">
        <w:tc>
          <w:tcPr>
            <w:tcW w:w="3119" w:type="dxa"/>
            <w:tcBorders>
              <w:left w:val="single" w:sz="4" w:space="0" w:color="auto"/>
            </w:tcBorders>
          </w:tcPr>
          <w:p w14:paraId="2FCAEFC4"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Sesquiterpene-derived SOA</w:t>
            </w:r>
          </w:p>
        </w:tc>
        <w:tc>
          <w:tcPr>
            <w:tcW w:w="1417" w:type="dxa"/>
            <w:vAlign w:val="center"/>
          </w:tcPr>
          <w:p w14:paraId="1E26F507" w14:textId="755AE9A6"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15</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24</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3</w:t>
            </w:r>
          </w:p>
        </w:tc>
        <w:tc>
          <w:tcPr>
            <w:tcW w:w="4678" w:type="dxa"/>
            <w:tcBorders>
              <w:right w:val="single" w:sz="4" w:space="0" w:color="auto"/>
            </w:tcBorders>
            <w:vAlign w:val="center"/>
          </w:tcPr>
          <w:p w14:paraId="175D0287" w14:textId="776AF0A3"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β-caryophyllonic acid</w:t>
            </w:r>
          </w:p>
        </w:tc>
      </w:tr>
      <w:tr w:rsidR="00DA0557" w:rsidRPr="002509EC" w14:paraId="1255A255" w14:textId="77777777" w:rsidTr="00946E61">
        <w:tc>
          <w:tcPr>
            <w:tcW w:w="3119" w:type="dxa"/>
            <w:tcBorders>
              <w:left w:val="single" w:sz="4" w:space="0" w:color="auto"/>
            </w:tcBorders>
          </w:tcPr>
          <w:p w14:paraId="041DD1B5"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Sesquiterpene-derived SOA</w:t>
            </w:r>
          </w:p>
        </w:tc>
        <w:tc>
          <w:tcPr>
            <w:tcW w:w="1417" w:type="dxa"/>
            <w:vAlign w:val="center"/>
          </w:tcPr>
          <w:p w14:paraId="3805E052" w14:textId="3BC28728"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14</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22</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4</w:t>
            </w:r>
          </w:p>
        </w:tc>
        <w:tc>
          <w:tcPr>
            <w:tcW w:w="4678" w:type="dxa"/>
            <w:tcBorders>
              <w:right w:val="single" w:sz="4" w:space="0" w:color="auto"/>
            </w:tcBorders>
            <w:vAlign w:val="center"/>
          </w:tcPr>
          <w:p w14:paraId="0702C614" w14:textId="484F8E8E"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β-nocaryophyllonic acid</w:t>
            </w:r>
          </w:p>
        </w:tc>
      </w:tr>
      <w:tr w:rsidR="00DA0557" w:rsidRPr="002509EC" w14:paraId="6ED2E940" w14:textId="77777777" w:rsidTr="00946E61">
        <w:tc>
          <w:tcPr>
            <w:tcW w:w="3119" w:type="dxa"/>
            <w:tcBorders>
              <w:left w:val="single" w:sz="4" w:space="0" w:color="auto"/>
            </w:tcBorders>
          </w:tcPr>
          <w:p w14:paraId="0C28D253" w14:textId="77777777" w:rsidR="00DA0557" w:rsidRPr="006E259D" w:rsidRDefault="00DA0557" w:rsidP="00DA0557">
            <w:pPr>
              <w:spacing w:line="276" w:lineRule="auto"/>
              <w:jc w:val="both"/>
              <w:rPr>
                <w:rFonts w:ascii="Arial" w:hAnsi="Arial" w:cs="Arial"/>
                <w:sz w:val="20"/>
                <w:szCs w:val="20"/>
              </w:rPr>
            </w:pPr>
          </w:p>
          <w:p w14:paraId="7A414A0D" w14:textId="15196191"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Biogenic SOA</w:t>
            </w:r>
          </w:p>
        </w:tc>
        <w:tc>
          <w:tcPr>
            <w:tcW w:w="1417" w:type="dxa"/>
            <w:vAlign w:val="center"/>
          </w:tcPr>
          <w:p w14:paraId="1F61C116" w14:textId="30C7DB21"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4</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6</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5</w:t>
            </w:r>
          </w:p>
        </w:tc>
        <w:tc>
          <w:tcPr>
            <w:tcW w:w="4678" w:type="dxa"/>
            <w:tcBorders>
              <w:right w:val="single" w:sz="4" w:space="0" w:color="auto"/>
            </w:tcBorders>
            <w:vAlign w:val="center"/>
          </w:tcPr>
          <w:p w14:paraId="09C0BFFC" w14:textId="7AC14D42" w:rsidR="00DA0557" w:rsidRPr="006E259D" w:rsidRDefault="00DA0557" w:rsidP="00DA0557">
            <w:pPr>
              <w:spacing w:line="276" w:lineRule="auto"/>
              <w:rPr>
                <w:rFonts w:ascii="Arial" w:eastAsia="Times New Roman" w:hAnsi="Arial" w:cs="Arial"/>
                <w:color w:val="000000"/>
                <w:sz w:val="20"/>
                <w:szCs w:val="20"/>
                <w:lang w:eastAsia="en-GB"/>
              </w:rPr>
            </w:pPr>
          </w:p>
          <w:p w14:paraId="35C2D740" w14:textId="4291E4E3"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D-malic acid</w:t>
            </w:r>
          </w:p>
        </w:tc>
      </w:tr>
      <w:tr w:rsidR="00DA0557" w:rsidRPr="002509EC" w14:paraId="4934936B" w14:textId="77777777" w:rsidTr="00946E61">
        <w:tc>
          <w:tcPr>
            <w:tcW w:w="3119" w:type="dxa"/>
            <w:tcBorders>
              <w:left w:val="single" w:sz="4" w:space="0" w:color="auto"/>
            </w:tcBorders>
          </w:tcPr>
          <w:p w14:paraId="6E869B44" w14:textId="77777777" w:rsidR="00DA0557" w:rsidRPr="006E259D" w:rsidRDefault="00DA0557" w:rsidP="00DA0557">
            <w:pPr>
              <w:spacing w:line="276" w:lineRule="auto"/>
              <w:jc w:val="both"/>
              <w:rPr>
                <w:rFonts w:ascii="Arial" w:hAnsi="Arial" w:cs="Arial"/>
                <w:sz w:val="20"/>
                <w:szCs w:val="20"/>
              </w:rPr>
            </w:pPr>
          </w:p>
          <w:p w14:paraId="0CC7C43F" w14:textId="3CFF73D8"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Primary biogenic</w:t>
            </w:r>
          </w:p>
        </w:tc>
        <w:tc>
          <w:tcPr>
            <w:tcW w:w="1417" w:type="dxa"/>
            <w:vAlign w:val="center"/>
          </w:tcPr>
          <w:p w14:paraId="22F9A03C" w14:textId="7E2E5368" w:rsidR="00DA0557" w:rsidRPr="006E259D" w:rsidRDefault="00DA0557" w:rsidP="00DA0557">
            <w:pPr>
              <w:rPr>
                <w:rFonts w:ascii="Arial" w:eastAsia="Times New Roman" w:hAnsi="Arial" w:cs="Arial"/>
                <w:color w:val="000000"/>
                <w:sz w:val="20"/>
                <w:szCs w:val="20"/>
                <w:lang w:eastAsia="en-GB"/>
              </w:rPr>
            </w:pPr>
            <w:r w:rsidRPr="006E259D">
              <w:rPr>
                <w:rFonts w:ascii="Arial" w:hAnsi="Arial" w:cs="Arial"/>
                <w:color w:val="222222"/>
                <w:sz w:val="20"/>
                <w:szCs w:val="20"/>
                <w:shd w:val="clear" w:color="auto" w:fill="FFFFFF"/>
              </w:rPr>
              <w:t>C</w:t>
            </w:r>
            <w:r w:rsidRPr="006E259D">
              <w:rPr>
                <w:rFonts w:ascii="Arial" w:hAnsi="Arial" w:cs="Arial"/>
                <w:color w:val="222222"/>
                <w:sz w:val="20"/>
                <w:szCs w:val="20"/>
                <w:shd w:val="clear" w:color="auto" w:fill="FFFFFF"/>
                <w:vertAlign w:val="subscript"/>
              </w:rPr>
              <w:t>7</w:t>
            </w:r>
            <w:r w:rsidRPr="006E259D">
              <w:rPr>
                <w:rFonts w:ascii="Arial" w:hAnsi="Arial" w:cs="Arial"/>
                <w:color w:val="222222"/>
                <w:sz w:val="20"/>
                <w:szCs w:val="20"/>
                <w:shd w:val="clear" w:color="auto" w:fill="FFFFFF"/>
              </w:rPr>
              <w:t>H</w:t>
            </w:r>
            <w:r w:rsidRPr="006E259D">
              <w:rPr>
                <w:rFonts w:ascii="Arial" w:hAnsi="Arial" w:cs="Arial"/>
                <w:color w:val="222222"/>
                <w:sz w:val="20"/>
                <w:szCs w:val="20"/>
                <w:shd w:val="clear" w:color="auto" w:fill="FFFFFF"/>
                <w:vertAlign w:val="subscript"/>
              </w:rPr>
              <w:t>6</w:t>
            </w:r>
            <w:r w:rsidRPr="006E259D">
              <w:rPr>
                <w:rFonts w:ascii="Arial" w:hAnsi="Arial" w:cs="Arial"/>
                <w:color w:val="222222"/>
                <w:sz w:val="20"/>
                <w:szCs w:val="20"/>
                <w:shd w:val="clear" w:color="auto" w:fill="FFFFFF"/>
              </w:rPr>
              <w:t>O</w:t>
            </w:r>
            <w:r w:rsidRPr="006E259D">
              <w:rPr>
                <w:rFonts w:ascii="Arial" w:hAnsi="Arial" w:cs="Arial"/>
                <w:color w:val="222222"/>
                <w:sz w:val="20"/>
                <w:szCs w:val="20"/>
                <w:shd w:val="clear" w:color="auto" w:fill="FFFFFF"/>
                <w:vertAlign w:val="subscript"/>
              </w:rPr>
              <w:t>3</w:t>
            </w:r>
          </w:p>
        </w:tc>
        <w:tc>
          <w:tcPr>
            <w:tcW w:w="4678" w:type="dxa"/>
            <w:tcBorders>
              <w:right w:val="single" w:sz="4" w:space="0" w:color="auto"/>
            </w:tcBorders>
            <w:vAlign w:val="center"/>
          </w:tcPr>
          <w:p w14:paraId="77B3695F" w14:textId="638A577E" w:rsidR="00DA0557" w:rsidRPr="006E259D" w:rsidRDefault="00DA0557" w:rsidP="00DA0557">
            <w:pPr>
              <w:spacing w:line="276" w:lineRule="auto"/>
              <w:rPr>
                <w:rFonts w:ascii="Arial" w:eastAsia="Times New Roman" w:hAnsi="Arial" w:cs="Arial"/>
                <w:color w:val="000000"/>
                <w:sz w:val="20"/>
                <w:szCs w:val="20"/>
                <w:lang w:eastAsia="en-GB"/>
              </w:rPr>
            </w:pPr>
          </w:p>
          <w:p w14:paraId="7CC2B12D" w14:textId="38DE5E45"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Salicylic acid</w:t>
            </w:r>
          </w:p>
        </w:tc>
      </w:tr>
      <w:tr w:rsidR="00DA0557" w:rsidRPr="002509EC" w14:paraId="04541EC0" w14:textId="77777777" w:rsidTr="00946E61">
        <w:tc>
          <w:tcPr>
            <w:tcW w:w="3119" w:type="dxa"/>
            <w:tcBorders>
              <w:left w:val="single" w:sz="4" w:space="0" w:color="auto"/>
            </w:tcBorders>
          </w:tcPr>
          <w:p w14:paraId="459AD7FD" w14:textId="4F5D55A5" w:rsidR="00DA0557" w:rsidRPr="006E259D" w:rsidRDefault="00DA0557" w:rsidP="00DA0557">
            <w:pPr>
              <w:spacing w:line="276" w:lineRule="auto"/>
              <w:jc w:val="both"/>
              <w:rPr>
                <w:rFonts w:ascii="Arial" w:hAnsi="Arial" w:cs="Arial"/>
                <w:sz w:val="20"/>
                <w:szCs w:val="20"/>
              </w:rPr>
            </w:pPr>
          </w:p>
        </w:tc>
        <w:tc>
          <w:tcPr>
            <w:tcW w:w="1417" w:type="dxa"/>
            <w:vAlign w:val="center"/>
          </w:tcPr>
          <w:p w14:paraId="4EE6B35D" w14:textId="77777777" w:rsidR="00DA0557" w:rsidRPr="006E259D" w:rsidRDefault="00DA0557" w:rsidP="00DA0557">
            <w:pPr>
              <w:rPr>
                <w:rFonts w:ascii="Arial" w:eastAsia="Times New Roman" w:hAnsi="Arial" w:cs="Arial"/>
                <w:color w:val="000000"/>
                <w:sz w:val="20"/>
                <w:szCs w:val="20"/>
                <w:lang w:eastAsia="en-GB"/>
              </w:rPr>
            </w:pPr>
          </w:p>
        </w:tc>
        <w:tc>
          <w:tcPr>
            <w:tcW w:w="4678" w:type="dxa"/>
            <w:tcBorders>
              <w:right w:val="single" w:sz="4" w:space="0" w:color="auto"/>
            </w:tcBorders>
            <w:vAlign w:val="center"/>
          </w:tcPr>
          <w:p w14:paraId="605CCF89" w14:textId="60C799DE" w:rsidR="00DA0557" w:rsidRPr="006E259D" w:rsidRDefault="00DA0557" w:rsidP="00DA0557">
            <w:pPr>
              <w:spacing w:line="276" w:lineRule="auto"/>
              <w:rPr>
                <w:rFonts w:ascii="Arial" w:eastAsia="Times New Roman" w:hAnsi="Arial" w:cs="Arial"/>
                <w:color w:val="000000"/>
                <w:sz w:val="20"/>
                <w:szCs w:val="20"/>
                <w:lang w:eastAsia="en-GB"/>
              </w:rPr>
            </w:pPr>
          </w:p>
        </w:tc>
      </w:tr>
      <w:tr w:rsidR="00DA0557" w:rsidRPr="002509EC" w14:paraId="5CEDCA74" w14:textId="77777777" w:rsidTr="00946E61">
        <w:tc>
          <w:tcPr>
            <w:tcW w:w="3119" w:type="dxa"/>
            <w:vMerge w:val="restart"/>
            <w:tcBorders>
              <w:left w:val="single" w:sz="4" w:space="0" w:color="auto"/>
            </w:tcBorders>
          </w:tcPr>
          <w:p w14:paraId="13E98F53" w14:textId="6364707F"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 xml:space="preserve">Low molecular weight fatty acids (LFA) (&lt;C24); marine / microbial sources </w:t>
            </w:r>
          </w:p>
          <w:p w14:paraId="2A2C69A4" w14:textId="07CE6446" w:rsidR="00DA0557" w:rsidRPr="006E259D" w:rsidRDefault="00DA0557" w:rsidP="00DA0557">
            <w:pPr>
              <w:spacing w:line="276" w:lineRule="auto"/>
              <w:jc w:val="both"/>
              <w:rPr>
                <w:rFonts w:ascii="Arial" w:hAnsi="Arial" w:cs="Arial"/>
                <w:sz w:val="20"/>
                <w:szCs w:val="20"/>
              </w:rPr>
            </w:pPr>
          </w:p>
        </w:tc>
        <w:tc>
          <w:tcPr>
            <w:tcW w:w="1417" w:type="dxa"/>
            <w:vAlign w:val="center"/>
          </w:tcPr>
          <w:p w14:paraId="5242B57D" w14:textId="77777777" w:rsidR="00DA0557" w:rsidRPr="006E259D" w:rsidRDefault="00DA0557" w:rsidP="00DA0557">
            <w:pPr>
              <w:spacing w:line="276" w:lineRule="auto"/>
              <w:jc w:val="both"/>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12</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24</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p w14:paraId="40DCB1D7" w14:textId="64396E39"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14</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28</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r w:rsidRPr="006E259D">
              <w:rPr>
                <w:rFonts w:ascii="Arial" w:eastAsia="Times New Roman" w:hAnsi="Arial" w:cs="Arial"/>
                <w:color w:val="000000"/>
                <w:sz w:val="20"/>
                <w:szCs w:val="20"/>
                <w:lang w:eastAsia="en-GB"/>
              </w:rPr>
              <w:t xml:space="preserve"> </w:t>
            </w:r>
          </w:p>
        </w:tc>
        <w:tc>
          <w:tcPr>
            <w:tcW w:w="4678" w:type="dxa"/>
            <w:tcBorders>
              <w:right w:val="single" w:sz="4" w:space="0" w:color="auto"/>
            </w:tcBorders>
            <w:vAlign w:val="center"/>
          </w:tcPr>
          <w:p w14:paraId="4BEE6F90" w14:textId="533171E2"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Lauric acid</w:t>
            </w:r>
          </w:p>
          <w:p w14:paraId="04DD93C5" w14:textId="510F1D93"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Myristic acid</w:t>
            </w:r>
          </w:p>
        </w:tc>
      </w:tr>
      <w:tr w:rsidR="00DA0557" w:rsidRPr="002509EC" w14:paraId="29E33911" w14:textId="77777777" w:rsidTr="00946E61">
        <w:tc>
          <w:tcPr>
            <w:tcW w:w="3119" w:type="dxa"/>
            <w:vMerge/>
            <w:tcBorders>
              <w:left w:val="single" w:sz="4" w:space="0" w:color="auto"/>
            </w:tcBorders>
          </w:tcPr>
          <w:p w14:paraId="297CA759"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14696E57" w14:textId="0A467D8B"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17</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34</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2E2CC7B1" w14:textId="0C80B87E"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Heptadecanoic acid</w:t>
            </w:r>
          </w:p>
        </w:tc>
      </w:tr>
      <w:tr w:rsidR="00DA0557" w:rsidRPr="002509EC" w14:paraId="1A49432C" w14:textId="77777777" w:rsidTr="00946E61">
        <w:tc>
          <w:tcPr>
            <w:tcW w:w="3119" w:type="dxa"/>
            <w:vMerge/>
            <w:tcBorders>
              <w:left w:val="single" w:sz="4" w:space="0" w:color="auto"/>
            </w:tcBorders>
          </w:tcPr>
          <w:p w14:paraId="0D110763"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37B698CC" w14:textId="4D4AE223"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18</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34</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61551C02" w14:textId="47005D23"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Oleic acid</w:t>
            </w:r>
          </w:p>
        </w:tc>
      </w:tr>
      <w:tr w:rsidR="00DA0557" w:rsidRPr="002509EC" w14:paraId="5BCB0EF5" w14:textId="77777777" w:rsidTr="00946E61">
        <w:tc>
          <w:tcPr>
            <w:tcW w:w="3119" w:type="dxa"/>
            <w:vMerge/>
            <w:tcBorders>
              <w:left w:val="single" w:sz="4" w:space="0" w:color="auto"/>
            </w:tcBorders>
          </w:tcPr>
          <w:p w14:paraId="07A2A6E2"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5F7CFDD0" w14:textId="4CD22BBC"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19</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38</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05E8F2EA" w14:textId="074AF55B"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Nonadecanoic acid</w:t>
            </w:r>
          </w:p>
        </w:tc>
      </w:tr>
      <w:tr w:rsidR="00DA0557" w:rsidRPr="002509EC" w14:paraId="03165090" w14:textId="77777777" w:rsidTr="00946E61">
        <w:tc>
          <w:tcPr>
            <w:tcW w:w="3119" w:type="dxa"/>
            <w:vMerge/>
            <w:tcBorders>
              <w:left w:val="single" w:sz="4" w:space="0" w:color="auto"/>
            </w:tcBorders>
          </w:tcPr>
          <w:p w14:paraId="1809A57F"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05DAB60F" w14:textId="35E4AF07"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20</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32</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451EC078" w14:textId="3990A4AA"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Arachidonic acid</w:t>
            </w:r>
          </w:p>
        </w:tc>
      </w:tr>
      <w:tr w:rsidR="00DA0557" w:rsidRPr="002509EC" w14:paraId="4089BA20" w14:textId="77777777" w:rsidTr="00946E61">
        <w:tc>
          <w:tcPr>
            <w:tcW w:w="3119" w:type="dxa"/>
            <w:vMerge/>
            <w:tcBorders>
              <w:left w:val="single" w:sz="4" w:space="0" w:color="auto"/>
            </w:tcBorders>
          </w:tcPr>
          <w:p w14:paraId="0A1D5C83"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035EDD3D" w14:textId="211B7051"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22</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44</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2372C9E9" w14:textId="7F5A3203"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Behenic acid</w:t>
            </w:r>
          </w:p>
        </w:tc>
      </w:tr>
      <w:tr w:rsidR="00DA0557" w:rsidRPr="002509EC" w14:paraId="0CF6BC83" w14:textId="77777777" w:rsidTr="00946E61">
        <w:tc>
          <w:tcPr>
            <w:tcW w:w="3119" w:type="dxa"/>
            <w:vMerge/>
            <w:tcBorders>
              <w:left w:val="single" w:sz="4" w:space="0" w:color="auto"/>
            </w:tcBorders>
          </w:tcPr>
          <w:p w14:paraId="7EB643E6"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410D659D" w14:textId="34B0A5EC"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23</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46</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3157CC6F" w14:textId="4D8C3D3D"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Tricosanoic acid</w:t>
            </w:r>
          </w:p>
        </w:tc>
      </w:tr>
      <w:tr w:rsidR="00DA0557" w:rsidRPr="002509EC" w14:paraId="625F2838" w14:textId="77777777" w:rsidTr="00946E61">
        <w:tc>
          <w:tcPr>
            <w:tcW w:w="3119" w:type="dxa"/>
            <w:vMerge/>
            <w:tcBorders>
              <w:left w:val="single" w:sz="4" w:space="0" w:color="auto"/>
            </w:tcBorders>
          </w:tcPr>
          <w:p w14:paraId="70AAAB67"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2D47EC3E" w14:textId="77777777" w:rsidR="00DA0557" w:rsidRPr="006E259D" w:rsidRDefault="00DA0557" w:rsidP="00DA0557">
            <w:pPr>
              <w:rPr>
                <w:rFonts w:ascii="Arial" w:eastAsia="Times New Roman" w:hAnsi="Arial" w:cs="Arial"/>
                <w:color w:val="000000"/>
                <w:sz w:val="20"/>
                <w:szCs w:val="20"/>
                <w:lang w:eastAsia="en-GB"/>
              </w:rPr>
            </w:pPr>
          </w:p>
        </w:tc>
        <w:tc>
          <w:tcPr>
            <w:tcW w:w="4678" w:type="dxa"/>
            <w:tcBorders>
              <w:right w:val="single" w:sz="4" w:space="0" w:color="auto"/>
            </w:tcBorders>
            <w:vAlign w:val="center"/>
          </w:tcPr>
          <w:p w14:paraId="5E7E8900" w14:textId="25811590" w:rsidR="00DA0557" w:rsidRPr="006E259D" w:rsidRDefault="00DA0557" w:rsidP="00DA0557">
            <w:pPr>
              <w:spacing w:line="276" w:lineRule="auto"/>
              <w:rPr>
                <w:rFonts w:ascii="Arial" w:eastAsia="Times New Roman" w:hAnsi="Arial" w:cs="Arial"/>
                <w:color w:val="000000"/>
                <w:sz w:val="20"/>
                <w:szCs w:val="20"/>
                <w:lang w:eastAsia="en-GB"/>
              </w:rPr>
            </w:pPr>
          </w:p>
        </w:tc>
      </w:tr>
      <w:tr w:rsidR="00DA0557" w:rsidRPr="002509EC" w14:paraId="30628BD7" w14:textId="77777777" w:rsidTr="00946E61">
        <w:tc>
          <w:tcPr>
            <w:tcW w:w="3119" w:type="dxa"/>
            <w:vMerge w:val="restart"/>
            <w:tcBorders>
              <w:left w:val="single" w:sz="4" w:space="0" w:color="auto"/>
            </w:tcBorders>
          </w:tcPr>
          <w:p w14:paraId="67576501" w14:textId="77777777" w:rsidR="00DA0557" w:rsidRPr="006E259D" w:rsidRDefault="00DA0557" w:rsidP="00DA0557">
            <w:pPr>
              <w:spacing w:line="276" w:lineRule="auto"/>
              <w:jc w:val="both"/>
              <w:rPr>
                <w:rFonts w:ascii="Arial" w:hAnsi="Arial" w:cs="Arial"/>
                <w:sz w:val="20"/>
                <w:szCs w:val="20"/>
              </w:rPr>
            </w:pPr>
            <w:r w:rsidRPr="006E259D">
              <w:rPr>
                <w:rFonts w:ascii="Arial" w:hAnsi="Arial" w:cs="Arial"/>
                <w:sz w:val="20"/>
                <w:szCs w:val="20"/>
              </w:rPr>
              <w:t xml:space="preserve">High molecular weight fatty acids (HFA) (&gt;C24); terrestrial biomass </w:t>
            </w:r>
          </w:p>
        </w:tc>
        <w:tc>
          <w:tcPr>
            <w:tcW w:w="1417" w:type="dxa"/>
            <w:vAlign w:val="center"/>
          </w:tcPr>
          <w:p w14:paraId="72C848C5" w14:textId="77DA280C"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27</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54</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1ECABF11" w14:textId="777939C0"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Heptacosanoic acid</w:t>
            </w:r>
          </w:p>
        </w:tc>
      </w:tr>
      <w:tr w:rsidR="00DA0557" w:rsidRPr="002509EC" w14:paraId="6158A574" w14:textId="77777777" w:rsidTr="00946E61">
        <w:tc>
          <w:tcPr>
            <w:tcW w:w="3119" w:type="dxa"/>
            <w:vMerge/>
            <w:tcBorders>
              <w:left w:val="single" w:sz="4" w:space="0" w:color="auto"/>
            </w:tcBorders>
          </w:tcPr>
          <w:p w14:paraId="61CE70C4"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7BB807D9" w14:textId="073F41FC"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28</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56</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47C8F987" w14:textId="7E7A7001"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Octacosanoic acid</w:t>
            </w:r>
          </w:p>
        </w:tc>
      </w:tr>
      <w:tr w:rsidR="00DA0557" w:rsidRPr="002509EC" w14:paraId="3201D1F1" w14:textId="77777777" w:rsidTr="00946E61">
        <w:tc>
          <w:tcPr>
            <w:tcW w:w="3119" w:type="dxa"/>
            <w:vMerge/>
            <w:tcBorders>
              <w:left w:val="single" w:sz="4" w:space="0" w:color="auto"/>
            </w:tcBorders>
          </w:tcPr>
          <w:p w14:paraId="4F9B72E6" w14:textId="77777777" w:rsidR="00DA0557" w:rsidRPr="006E259D" w:rsidRDefault="00DA0557" w:rsidP="00DA0557">
            <w:pPr>
              <w:spacing w:line="276" w:lineRule="auto"/>
              <w:jc w:val="both"/>
              <w:rPr>
                <w:rFonts w:ascii="Arial" w:hAnsi="Arial" w:cs="Arial"/>
                <w:sz w:val="20"/>
                <w:szCs w:val="20"/>
              </w:rPr>
            </w:pPr>
          </w:p>
        </w:tc>
        <w:tc>
          <w:tcPr>
            <w:tcW w:w="1417" w:type="dxa"/>
            <w:vAlign w:val="center"/>
          </w:tcPr>
          <w:p w14:paraId="7462ED6F" w14:textId="20D30A22" w:rsidR="00DA0557" w:rsidRPr="006E259D" w:rsidRDefault="00DA0557" w:rsidP="00DA0557">
            <w:pPr>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C</w:t>
            </w:r>
            <w:r w:rsidRPr="006E259D">
              <w:rPr>
                <w:rFonts w:ascii="Arial" w:eastAsia="Times New Roman" w:hAnsi="Arial" w:cs="Arial"/>
                <w:color w:val="000000"/>
                <w:sz w:val="20"/>
                <w:szCs w:val="20"/>
                <w:vertAlign w:val="subscript"/>
                <w:lang w:eastAsia="en-GB"/>
              </w:rPr>
              <w:t>30</w:t>
            </w:r>
            <w:r w:rsidRPr="006E259D">
              <w:rPr>
                <w:rFonts w:ascii="Arial" w:eastAsia="Times New Roman" w:hAnsi="Arial" w:cs="Arial"/>
                <w:color w:val="000000"/>
                <w:sz w:val="20"/>
                <w:szCs w:val="20"/>
                <w:lang w:eastAsia="en-GB"/>
              </w:rPr>
              <w:t>H</w:t>
            </w:r>
            <w:r w:rsidRPr="006E259D">
              <w:rPr>
                <w:rFonts w:ascii="Arial" w:eastAsia="Times New Roman" w:hAnsi="Arial" w:cs="Arial"/>
                <w:color w:val="000000"/>
                <w:sz w:val="20"/>
                <w:szCs w:val="20"/>
                <w:vertAlign w:val="subscript"/>
                <w:lang w:eastAsia="en-GB"/>
              </w:rPr>
              <w:t>60</w:t>
            </w:r>
            <w:r w:rsidRPr="006E259D">
              <w:rPr>
                <w:rFonts w:ascii="Arial" w:eastAsia="Times New Roman" w:hAnsi="Arial" w:cs="Arial"/>
                <w:color w:val="000000"/>
                <w:sz w:val="20"/>
                <w:szCs w:val="20"/>
                <w:lang w:eastAsia="en-GB"/>
              </w:rPr>
              <w:t>O</w:t>
            </w:r>
            <w:r w:rsidRPr="006E259D">
              <w:rPr>
                <w:rFonts w:ascii="Arial" w:eastAsia="Times New Roman" w:hAnsi="Arial" w:cs="Arial"/>
                <w:color w:val="000000"/>
                <w:sz w:val="20"/>
                <w:szCs w:val="20"/>
                <w:vertAlign w:val="subscript"/>
                <w:lang w:eastAsia="en-GB"/>
              </w:rPr>
              <w:t>2</w:t>
            </w:r>
          </w:p>
        </w:tc>
        <w:tc>
          <w:tcPr>
            <w:tcW w:w="4678" w:type="dxa"/>
            <w:tcBorders>
              <w:right w:val="single" w:sz="4" w:space="0" w:color="auto"/>
            </w:tcBorders>
            <w:vAlign w:val="center"/>
          </w:tcPr>
          <w:p w14:paraId="1993B973" w14:textId="26B56680" w:rsidR="00DA0557" w:rsidRPr="006E259D" w:rsidRDefault="00DA0557" w:rsidP="00DA0557">
            <w:pPr>
              <w:spacing w:line="276" w:lineRule="auto"/>
              <w:rPr>
                <w:rFonts w:ascii="Arial" w:eastAsia="Times New Roman" w:hAnsi="Arial" w:cs="Arial"/>
                <w:color w:val="000000"/>
                <w:sz w:val="20"/>
                <w:szCs w:val="20"/>
                <w:lang w:eastAsia="en-GB"/>
              </w:rPr>
            </w:pPr>
            <w:r w:rsidRPr="006E259D">
              <w:rPr>
                <w:rFonts w:ascii="Arial" w:eastAsia="Times New Roman" w:hAnsi="Arial" w:cs="Arial"/>
                <w:color w:val="000000"/>
                <w:sz w:val="20"/>
                <w:szCs w:val="20"/>
                <w:lang w:eastAsia="en-GB"/>
              </w:rPr>
              <w:t>Melissic acid</w:t>
            </w:r>
          </w:p>
        </w:tc>
      </w:tr>
      <w:tr w:rsidR="00DA0557" w:rsidRPr="002509EC" w14:paraId="55A48F37" w14:textId="77777777" w:rsidTr="00946E61">
        <w:tc>
          <w:tcPr>
            <w:tcW w:w="3119" w:type="dxa"/>
            <w:vMerge/>
            <w:tcBorders>
              <w:left w:val="single" w:sz="4" w:space="0" w:color="auto"/>
              <w:bottom w:val="single" w:sz="4" w:space="0" w:color="auto"/>
            </w:tcBorders>
          </w:tcPr>
          <w:p w14:paraId="0ADFE119" w14:textId="77777777" w:rsidR="00DA0557" w:rsidRPr="006E259D" w:rsidRDefault="00DA0557" w:rsidP="00DA0557">
            <w:pPr>
              <w:spacing w:line="276" w:lineRule="auto"/>
              <w:jc w:val="both"/>
              <w:rPr>
                <w:rFonts w:ascii="Arial" w:hAnsi="Arial" w:cs="Arial"/>
                <w:sz w:val="20"/>
                <w:szCs w:val="20"/>
              </w:rPr>
            </w:pPr>
          </w:p>
        </w:tc>
        <w:tc>
          <w:tcPr>
            <w:tcW w:w="1417" w:type="dxa"/>
            <w:tcBorders>
              <w:bottom w:val="single" w:sz="4" w:space="0" w:color="auto"/>
            </w:tcBorders>
            <w:vAlign w:val="center"/>
          </w:tcPr>
          <w:p w14:paraId="14D8C6EF" w14:textId="77777777" w:rsidR="00DA0557" w:rsidRPr="006E259D" w:rsidRDefault="00DA0557" w:rsidP="00DA0557">
            <w:pPr>
              <w:rPr>
                <w:rFonts w:ascii="Arial" w:eastAsia="Times New Roman" w:hAnsi="Arial" w:cs="Arial"/>
                <w:color w:val="000000"/>
                <w:sz w:val="20"/>
                <w:szCs w:val="20"/>
                <w:lang w:eastAsia="en-GB"/>
              </w:rPr>
            </w:pPr>
          </w:p>
        </w:tc>
        <w:tc>
          <w:tcPr>
            <w:tcW w:w="4678" w:type="dxa"/>
            <w:tcBorders>
              <w:bottom w:val="single" w:sz="4" w:space="0" w:color="auto"/>
              <w:right w:val="single" w:sz="4" w:space="0" w:color="auto"/>
            </w:tcBorders>
            <w:vAlign w:val="center"/>
          </w:tcPr>
          <w:p w14:paraId="49CB27B1" w14:textId="1CEDAFBA" w:rsidR="00DA0557" w:rsidRPr="006E259D" w:rsidRDefault="00DA0557" w:rsidP="00DA0557">
            <w:pPr>
              <w:spacing w:line="276" w:lineRule="auto"/>
              <w:rPr>
                <w:rFonts w:ascii="Arial" w:eastAsia="Times New Roman" w:hAnsi="Arial" w:cs="Arial"/>
                <w:color w:val="000000"/>
                <w:sz w:val="20"/>
                <w:szCs w:val="20"/>
                <w:lang w:eastAsia="en-GB"/>
              </w:rPr>
            </w:pPr>
          </w:p>
        </w:tc>
      </w:tr>
    </w:tbl>
    <w:p w14:paraId="4C609D24" w14:textId="2D550975" w:rsidR="00942BF9" w:rsidRDefault="002509EC" w:rsidP="00942BF9">
      <w:pPr>
        <w:spacing w:after="0" w:line="360" w:lineRule="auto"/>
        <w:jc w:val="both"/>
        <w:rPr>
          <w:rFonts w:ascii="Arial" w:hAnsi="Arial" w:cs="Arial"/>
          <w:sz w:val="20"/>
          <w:szCs w:val="20"/>
        </w:rPr>
      </w:pPr>
      <w:r w:rsidRPr="006E259D">
        <w:rPr>
          <w:rFonts w:ascii="Arial" w:hAnsi="Arial" w:cs="Arial"/>
          <w:sz w:val="20"/>
          <w:szCs w:val="20"/>
        </w:rPr>
        <w:t>*surrogate standards</w:t>
      </w:r>
      <w:r w:rsidRPr="006E259D" w:rsidDel="003F390A">
        <w:rPr>
          <w:rFonts w:ascii="Arial" w:hAnsi="Arial" w:cs="Arial"/>
          <w:sz w:val="20"/>
          <w:szCs w:val="20"/>
        </w:rPr>
        <w:t xml:space="preserve"> </w:t>
      </w:r>
      <w:r w:rsidRPr="006E259D">
        <w:rPr>
          <w:rFonts w:ascii="Arial" w:hAnsi="Arial" w:cs="Arial"/>
          <w:sz w:val="20"/>
          <w:szCs w:val="20"/>
        </w:rPr>
        <w:t>(analytes chemically similar to those being extracted where actual standard not available)</w:t>
      </w:r>
    </w:p>
    <w:p w14:paraId="3258A28C" w14:textId="6EF6FC0D" w:rsidR="007E0AD0" w:rsidRDefault="007E0AD0" w:rsidP="00942BF9">
      <w:pPr>
        <w:spacing w:after="0" w:line="360" w:lineRule="auto"/>
        <w:jc w:val="both"/>
        <w:rPr>
          <w:rFonts w:ascii="Arial" w:hAnsi="Arial" w:cs="Arial"/>
          <w:sz w:val="20"/>
          <w:szCs w:val="20"/>
        </w:rPr>
      </w:pPr>
    </w:p>
    <w:p w14:paraId="14308034" w14:textId="570F7F66" w:rsidR="007E0AD0" w:rsidRDefault="007E0AD0" w:rsidP="00942BF9">
      <w:pPr>
        <w:spacing w:after="0" w:line="360" w:lineRule="auto"/>
        <w:jc w:val="both"/>
        <w:rPr>
          <w:rFonts w:ascii="Arial" w:hAnsi="Arial" w:cs="Arial"/>
          <w:sz w:val="20"/>
          <w:szCs w:val="20"/>
        </w:rPr>
      </w:pPr>
    </w:p>
    <w:p w14:paraId="6D26531F" w14:textId="77777777" w:rsidR="0006484B" w:rsidRDefault="0006484B" w:rsidP="00942BF9">
      <w:pPr>
        <w:spacing w:after="0" w:line="360" w:lineRule="auto"/>
        <w:jc w:val="both"/>
        <w:rPr>
          <w:rFonts w:ascii="Arial" w:hAnsi="Arial" w:cs="Arial"/>
          <w:sz w:val="20"/>
          <w:szCs w:val="20"/>
        </w:rPr>
      </w:pPr>
    </w:p>
    <w:p w14:paraId="0897472C" w14:textId="77777777" w:rsidR="007E0AD0" w:rsidRPr="006E259D" w:rsidRDefault="007E0AD0" w:rsidP="00942BF9">
      <w:pPr>
        <w:spacing w:after="0" w:line="360" w:lineRule="auto"/>
        <w:jc w:val="both"/>
        <w:rPr>
          <w:rFonts w:ascii="Arial" w:hAnsi="Arial" w:cs="Arial"/>
          <w:sz w:val="20"/>
          <w:szCs w:val="20"/>
        </w:rPr>
      </w:pPr>
    </w:p>
    <w:p w14:paraId="32CF9796" w14:textId="63CFC249" w:rsidR="0048169E" w:rsidRDefault="00942BF9" w:rsidP="0048169E">
      <w:pPr>
        <w:pStyle w:val="Heading1"/>
        <w:numPr>
          <w:ilvl w:val="0"/>
          <w:numId w:val="1"/>
        </w:numPr>
        <w:rPr>
          <w:rFonts w:ascii="Arial" w:hAnsi="Arial" w:cs="Arial"/>
          <w:color w:val="000000" w:themeColor="text1"/>
          <w:sz w:val="22"/>
          <w:szCs w:val="22"/>
        </w:rPr>
      </w:pPr>
      <w:r>
        <w:rPr>
          <w:rFonts w:ascii="Arial" w:hAnsi="Arial" w:cs="Arial"/>
          <w:color w:val="000000" w:themeColor="text1"/>
          <w:sz w:val="22"/>
          <w:szCs w:val="22"/>
        </w:rPr>
        <w:lastRenderedPageBreak/>
        <w:t>M</w:t>
      </w:r>
      <w:r w:rsidR="002509EC">
        <w:rPr>
          <w:rFonts w:ascii="Arial" w:hAnsi="Arial" w:cs="Arial"/>
          <w:color w:val="000000" w:themeColor="text1"/>
          <w:sz w:val="22"/>
          <w:szCs w:val="22"/>
        </w:rPr>
        <w:t>aterials and methods</w:t>
      </w:r>
    </w:p>
    <w:p w14:paraId="3AD1E4FC" w14:textId="77777777" w:rsidR="00895B9D" w:rsidRDefault="00895B9D" w:rsidP="0048169E">
      <w:pPr>
        <w:spacing w:line="360" w:lineRule="auto"/>
        <w:jc w:val="both"/>
      </w:pPr>
    </w:p>
    <w:p w14:paraId="60F7163B" w14:textId="10E8B2E9" w:rsidR="0048169E" w:rsidRDefault="0048169E" w:rsidP="0048169E">
      <w:pPr>
        <w:spacing w:line="360" w:lineRule="auto"/>
        <w:jc w:val="both"/>
        <w:rPr>
          <w:rFonts w:ascii="Arial" w:hAnsi="Arial" w:cs="Arial"/>
        </w:rPr>
      </w:pPr>
      <w:r w:rsidRPr="005E092A">
        <w:rPr>
          <w:rFonts w:ascii="Arial" w:hAnsi="Arial" w:cs="Arial"/>
        </w:rPr>
        <w:t xml:space="preserve">Sample </w:t>
      </w:r>
      <w:r>
        <w:rPr>
          <w:rFonts w:ascii="Arial" w:hAnsi="Arial" w:cs="Arial"/>
        </w:rPr>
        <w:t xml:space="preserve">analysis </w:t>
      </w:r>
      <w:r w:rsidRPr="005E092A">
        <w:rPr>
          <w:rFonts w:ascii="Arial" w:hAnsi="Arial" w:cs="Arial"/>
        </w:rPr>
        <w:t xml:space="preserve">was carried out </w:t>
      </w:r>
      <w:r w:rsidR="0090659D">
        <w:rPr>
          <w:rFonts w:ascii="Arial" w:hAnsi="Arial" w:cs="Arial"/>
        </w:rPr>
        <w:t>by</w:t>
      </w:r>
      <w:r w:rsidRPr="005E092A">
        <w:rPr>
          <w:rFonts w:ascii="Arial" w:hAnsi="Arial" w:cs="Arial"/>
        </w:rPr>
        <w:t xml:space="preserve"> </w:t>
      </w:r>
      <w:r w:rsidR="00BF17D2">
        <w:rPr>
          <w:rFonts w:ascii="Arial" w:hAnsi="Arial" w:cs="Arial"/>
        </w:rPr>
        <w:t xml:space="preserve">direct injection </w:t>
      </w:r>
      <w:r w:rsidR="00473E0C">
        <w:rPr>
          <w:rFonts w:ascii="Arial" w:hAnsi="Arial" w:cs="Arial"/>
        </w:rPr>
        <w:t>ultra-</w:t>
      </w:r>
      <w:r w:rsidR="00473E0C" w:rsidRPr="005E092A">
        <w:rPr>
          <w:rFonts w:ascii="Arial" w:hAnsi="Arial" w:cs="Arial"/>
        </w:rPr>
        <w:t>high</w:t>
      </w:r>
      <w:r w:rsidRPr="005E092A">
        <w:rPr>
          <w:rFonts w:ascii="Arial" w:hAnsi="Arial" w:cs="Arial"/>
        </w:rPr>
        <w:t xml:space="preserve"> performance liquid chromatography (</w:t>
      </w:r>
      <w:r w:rsidR="005D184D">
        <w:rPr>
          <w:rFonts w:ascii="Arial" w:hAnsi="Arial" w:cs="Arial"/>
        </w:rPr>
        <w:t>U</w:t>
      </w:r>
      <w:r w:rsidRPr="005E092A">
        <w:rPr>
          <w:rFonts w:ascii="Arial" w:hAnsi="Arial" w:cs="Arial"/>
        </w:rPr>
        <w:t>HPLC) electrospray ionisation (ESI) high-resolution mass spectrometry (HRMS) with a post-column injection of ammonium hydroxide in methanol.</w:t>
      </w:r>
    </w:p>
    <w:p w14:paraId="021CACE1" w14:textId="77777777" w:rsidR="0048169E" w:rsidRDefault="0048169E" w:rsidP="003A5F09">
      <w:pPr>
        <w:pStyle w:val="Heading1"/>
        <w:numPr>
          <w:ilvl w:val="1"/>
          <w:numId w:val="1"/>
        </w:numPr>
        <w:spacing w:line="360" w:lineRule="auto"/>
        <w:rPr>
          <w:rFonts w:ascii="Arial" w:hAnsi="Arial" w:cs="Arial"/>
          <w:color w:val="000000" w:themeColor="text1"/>
          <w:sz w:val="22"/>
          <w:szCs w:val="22"/>
        </w:rPr>
      </w:pPr>
      <w:r>
        <w:rPr>
          <w:rFonts w:ascii="Arial" w:hAnsi="Arial" w:cs="Arial"/>
          <w:color w:val="000000" w:themeColor="text1"/>
          <w:sz w:val="22"/>
          <w:szCs w:val="22"/>
        </w:rPr>
        <w:t>Standard solutions and eluents</w:t>
      </w:r>
    </w:p>
    <w:p w14:paraId="2120E63E" w14:textId="7E75B56F" w:rsidR="0048169E" w:rsidRDefault="0048169E" w:rsidP="003A5F09">
      <w:pPr>
        <w:spacing w:line="360" w:lineRule="auto"/>
        <w:jc w:val="both"/>
        <w:rPr>
          <w:rFonts w:ascii="Arial" w:hAnsi="Arial" w:cs="Arial"/>
        </w:rPr>
      </w:pPr>
      <w:r w:rsidRPr="001454D8">
        <w:rPr>
          <w:rFonts w:ascii="Arial" w:hAnsi="Arial" w:cs="Arial"/>
        </w:rPr>
        <w:t>Bulk standard solutions we</w:t>
      </w:r>
      <w:r w:rsidR="00BF17D2">
        <w:rPr>
          <w:rFonts w:ascii="Arial" w:hAnsi="Arial" w:cs="Arial"/>
        </w:rPr>
        <w:t>re prepared in d</w:t>
      </w:r>
      <w:r w:rsidRPr="001454D8">
        <w:rPr>
          <w:rFonts w:ascii="Arial" w:hAnsi="Arial" w:cs="Arial"/>
        </w:rPr>
        <w:t>ichloromethane (&gt;99.9%, Optima</w:t>
      </w:r>
      <w:r w:rsidRPr="001454D8">
        <w:rPr>
          <w:rFonts w:ascii="Arial" w:hAnsi="Arial" w:cs="Arial"/>
          <w:vertAlign w:val="superscript"/>
        </w:rPr>
        <w:t>TM</w:t>
      </w:r>
      <w:r w:rsidRPr="001454D8">
        <w:rPr>
          <w:rFonts w:ascii="Arial" w:hAnsi="Arial" w:cs="Arial"/>
        </w:rPr>
        <w:t>, HPLC/MS, Fisher Chemical), and acetonitrile (&gt;99.9%, Optima™ HPLC/MS, Fisher Chemical)</w:t>
      </w:r>
      <w:r w:rsidR="001454D8" w:rsidRPr="001454D8">
        <w:rPr>
          <w:rFonts w:ascii="Arial" w:hAnsi="Arial" w:cs="Arial"/>
        </w:rPr>
        <w:t xml:space="preserve">, and then combined into a diluted standard mixture of all analytes at a concentration of 1 ppm in </w:t>
      </w:r>
      <w:r w:rsidR="001454D8" w:rsidRPr="00E855B0">
        <w:rPr>
          <w:rFonts w:ascii="Arial" w:hAnsi="Arial" w:cs="Arial"/>
        </w:rPr>
        <w:t xml:space="preserve">acetonitrile. Details of the sources and purities of each compound standard can be found in </w:t>
      </w:r>
      <w:r w:rsidR="001454D8" w:rsidRPr="00962EDB">
        <w:rPr>
          <w:rFonts w:ascii="Arial" w:hAnsi="Arial" w:cs="Arial"/>
        </w:rPr>
        <w:t>King et al.</w:t>
      </w:r>
      <w:r w:rsidR="00E855B0" w:rsidRPr="00962EDB">
        <w:rPr>
          <w:rFonts w:ascii="Arial" w:hAnsi="Arial" w:cs="Arial"/>
        </w:rPr>
        <w:t xml:space="preserve"> </w:t>
      </w:r>
      <w:r w:rsidR="00E855B0" w:rsidRPr="006E43C7">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sidRPr="006E43C7">
        <w:rPr>
          <w:rFonts w:ascii="Arial" w:hAnsi="Arial" w:cs="Arial"/>
        </w:rPr>
        <w:fldChar w:fldCharType="separate"/>
      </w:r>
      <w:r w:rsidR="002B34DF" w:rsidRPr="002B34DF">
        <w:rPr>
          <w:rFonts w:ascii="Arial" w:hAnsi="Arial" w:cs="Arial"/>
          <w:noProof/>
          <w:vertAlign w:val="superscript"/>
        </w:rPr>
        <w:t>5</w:t>
      </w:r>
      <w:r w:rsidR="00E855B0" w:rsidRPr="006E43C7">
        <w:rPr>
          <w:rFonts w:ascii="Arial" w:hAnsi="Arial" w:cs="Arial"/>
        </w:rPr>
        <w:fldChar w:fldCharType="end"/>
      </w:r>
      <w:r w:rsidR="001454D8" w:rsidRPr="00E855B0">
        <w:rPr>
          <w:rFonts w:ascii="Arial" w:hAnsi="Arial" w:cs="Arial"/>
        </w:rPr>
        <w:t>. Final</w:t>
      </w:r>
      <w:r w:rsidR="001454D8">
        <w:rPr>
          <w:rFonts w:ascii="Arial" w:hAnsi="Arial" w:cs="Arial"/>
        </w:rPr>
        <w:t xml:space="preserve"> standards for instrument calibration</w:t>
      </w:r>
      <w:r w:rsidR="003A5F09">
        <w:rPr>
          <w:rFonts w:ascii="Arial" w:hAnsi="Arial" w:cs="Arial"/>
        </w:rPr>
        <w:t>,</w:t>
      </w:r>
      <w:r w:rsidR="001454D8">
        <w:rPr>
          <w:rFonts w:ascii="Arial" w:hAnsi="Arial" w:cs="Arial"/>
        </w:rPr>
        <w:t xml:space="preserve"> quantification of detection limits</w:t>
      </w:r>
      <w:r w:rsidR="003A5F09">
        <w:rPr>
          <w:rFonts w:ascii="Arial" w:hAnsi="Arial" w:cs="Arial"/>
        </w:rPr>
        <w:t>, and quantification of matrix effects</w:t>
      </w:r>
      <w:r w:rsidR="001454D8">
        <w:rPr>
          <w:rFonts w:ascii="Arial" w:hAnsi="Arial" w:cs="Arial"/>
        </w:rPr>
        <w:t xml:space="preserve"> were made at concentrations of 10</w:t>
      </w:r>
      <w:r w:rsidR="00BE5B15">
        <w:rPr>
          <w:rFonts w:ascii="Arial" w:hAnsi="Arial" w:cs="Arial"/>
        </w:rPr>
        <w:t xml:space="preserve"> </w:t>
      </w:r>
      <w:r w:rsidR="001454D8">
        <w:rPr>
          <w:rFonts w:ascii="Arial" w:hAnsi="Arial" w:cs="Arial"/>
        </w:rPr>
        <w:t>ppt, 100</w:t>
      </w:r>
      <w:r w:rsidR="00BE5B15">
        <w:rPr>
          <w:rFonts w:ascii="Arial" w:hAnsi="Arial" w:cs="Arial"/>
        </w:rPr>
        <w:t xml:space="preserve"> </w:t>
      </w:r>
      <w:r w:rsidR="001454D8">
        <w:rPr>
          <w:rFonts w:ascii="Arial" w:hAnsi="Arial" w:cs="Arial"/>
        </w:rPr>
        <w:t>ppt, 1</w:t>
      </w:r>
      <w:r w:rsidR="00BE5B15">
        <w:rPr>
          <w:rFonts w:ascii="Arial" w:hAnsi="Arial" w:cs="Arial"/>
        </w:rPr>
        <w:t xml:space="preserve"> </w:t>
      </w:r>
      <w:r w:rsidR="001454D8">
        <w:rPr>
          <w:rFonts w:ascii="Arial" w:hAnsi="Arial" w:cs="Arial"/>
        </w:rPr>
        <w:t>ppb,10</w:t>
      </w:r>
      <w:r w:rsidR="00BE5B15">
        <w:rPr>
          <w:rFonts w:ascii="Arial" w:hAnsi="Arial" w:cs="Arial"/>
        </w:rPr>
        <w:t xml:space="preserve"> </w:t>
      </w:r>
      <w:r w:rsidR="001454D8">
        <w:rPr>
          <w:rFonts w:ascii="Arial" w:hAnsi="Arial" w:cs="Arial"/>
        </w:rPr>
        <w:t>ppb and 100</w:t>
      </w:r>
      <w:r w:rsidR="00BE5B15">
        <w:rPr>
          <w:rFonts w:ascii="Arial" w:hAnsi="Arial" w:cs="Arial"/>
        </w:rPr>
        <w:t xml:space="preserve"> </w:t>
      </w:r>
      <w:r w:rsidR="001454D8">
        <w:rPr>
          <w:rFonts w:ascii="Arial" w:hAnsi="Arial" w:cs="Arial"/>
        </w:rPr>
        <w:t xml:space="preserve">ppb by dilutions with water </w:t>
      </w:r>
      <w:r w:rsidR="001454D8" w:rsidRPr="005E092A">
        <w:rPr>
          <w:rFonts w:ascii="Arial" w:hAnsi="Arial" w:cs="Arial"/>
        </w:rPr>
        <w:t>(&gt;99.9%, Optima™ UHPLC/MS, Fisher Chemical)</w:t>
      </w:r>
      <w:r w:rsidR="001454D8">
        <w:rPr>
          <w:rFonts w:ascii="Arial" w:hAnsi="Arial" w:cs="Arial"/>
        </w:rPr>
        <w:t>.</w:t>
      </w:r>
    </w:p>
    <w:p w14:paraId="062D9C57" w14:textId="77777777" w:rsidR="00420E04" w:rsidRDefault="00420E04" w:rsidP="00C31A34">
      <w:pPr>
        <w:pStyle w:val="Heading1"/>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Decontamination protocols</w:t>
      </w:r>
    </w:p>
    <w:p w14:paraId="1ED3687C" w14:textId="4BC9CD21" w:rsidR="00420E04" w:rsidRPr="007F6C46" w:rsidRDefault="00420E04" w:rsidP="00C31A34">
      <w:pPr>
        <w:spacing w:line="360" w:lineRule="auto"/>
        <w:jc w:val="both"/>
        <w:rPr>
          <w:rFonts w:ascii="Arial" w:hAnsi="Arial" w:cs="Arial"/>
        </w:rPr>
      </w:pPr>
      <w:r w:rsidRPr="007F6C46">
        <w:rPr>
          <w:rFonts w:ascii="Arial" w:hAnsi="Arial" w:cs="Arial"/>
        </w:rPr>
        <w:t>All glassware was baked at 450</w:t>
      </w:r>
      <w:r w:rsidRPr="007F6C46">
        <w:rPr>
          <w:rFonts w:ascii="Arial" w:hAnsi="Arial" w:cs="Arial"/>
          <w:vertAlign w:val="superscript"/>
        </w:rPr>
        <w:t>o</w:t>
      </w:r>
      <w:r w:rsidRPr="007F6C46">
        <w:rPr>
          <w:rFonts w:ascii="Arial" w:hAnsi="Arial" w:cs="Arial"/>
        </w:rPr>
        <w:t>C for 8</w:t>
      </w:r>
      <w:r w:rsidR="00554DB2">
        <w:rPr>
          <w:rFonts w:ascii="Arial" w:hAnsi="Arial" w:cs="Arial"/>
        </w:rPr>
        <w:t xml:space="preserve"> </w:t>
      </w:r>
      <w:r w:rsidRPr="007F6C46">
        <w:rPr>
          <w:rFonts w:ascii="Arial" w:hAnsi="Arial" w:cs="Arial"/>
        </w:rPr>
        <w:t xml:space="preserve">hrs using the method of </w:t>
      </w:r>
      <w:r w:rsidR="0013393D" w:rsidRPr="0013393D">
        <w:rPr>
          <w:rFonts w:ascii="Arial" w:hAnsi="Arial" w:cs="Arial"/>
        </w:rPr>
        <w:t>Müller-Tautges</w:t>
      </w:r>
      <w:r w:rsidR="0013393D">
        <w:rPr>
          <w:rFonts w:ascii="Arial" w:hAnsi="Arial" w:cs="Arial"/>
        </w:rPr>
        <w:t xml:space="preserve"> et al.</w:t>
      </w:r>
      <w:r w:rsidR="0013393D" w:rsidRPr="0013393D">
        <w:rPr>
          <w:rFonts w:ascii="Arial" w:hAnsi="Arial" w:cs="Arial"/>
        </w:rPr>
        <w:t xml:space="preserve"> </w:t>
      </w:r>
      <w:r w:rsidRPr="007F6C46">
        <w:rPr>
          <w:rFonts w:ascii="Arial" w:hAnsi="Arial" w:cs="Arial"/>
        </w:rPr>
        <w:fldChar w:fldCharType="begin" w:fldLock="1"/>
      </w:r>
      <w:r w:rsidR="009C6FFE">
        <w:rPr>
          <w:rFonts w:ascii="Arial" w:hAnsi="Arial" w:cs="Arial"/>
        </w:rPr>
        <w:instrText>ADDIN CSL_CITATION {"citationItems":[{"id":"ITEM-1","itemData":{"DOI":"10.1007/s00216-014-7640-z","ISSN":"1618-2650","PMID":"24510214","abstract":"In this study, the development of a new sensitive method for the analysis of alpha-dicarbonyls glyoxal (G) and methylglyoxal (MG) in environmental ice and snow is presented. Stir bar sorptive extraction with in situ derivatization and liquid desorption (SBSE-LD) was used for sample extraction, enrichment, and derivatization. Measurements were carried out using high-performance liquid chromatography coupled to electrospray ionization tandem mass spectrometry (HPLC-ESI-MS/MS). As part of the method development, SBSE-LD parameters such as extraction time, derivatization reagent, desorption time and solvent, and the effect of NaCl addition on the SBSE efficiency as well as measurement parameters of HPLC-ESI-MS/MS were evaluated. Calibration was performed in the range of 1-60 ng/mL using spiked ultrapure water samples, thus incorporating the complete SBSE and derivatization process. 4-Fluorobenzaldehyde was applied as internal standard. Inter-batch precision was &lt;12 % RSD. Recoveries were determined by means of spiked snow samples and were 78.9 ± 5.6 % for G and 82.7 ± 7.5 % for MG, respectively. Instrumental detection limits of 0.242 and 0.213 ng/mL for G and MG were achieved using the multiple reaction monitoring mode. Relative detection limits referred to a sample volume of 15 mL were 0.016 ng/mL for G and 0.014 ng/mL for MG. The optimized method was applied for the analysis of snow samples from Mount Hohenpeissenberg (close to the Meteorological Observatory Hohenpeissenberg, Germany) and samples from an ice core from Upper Grenzgletscher (Monte Rosa massif, Switzerland). Resulting concentrations were 0.085-16.3 ng/mL for G and 0.126-3.6 ng/mL for MG. Concentrations of G and MG in snow were 1-2 orders of magnitude higher than in ice core samples. The described method represents a simple, green, and sensitive analytical approach to measure G and MG in aqueous environmental samples.","author":[{"dropping-particle":"","family":"Müller-Tautges","given":"Christina","non-dropping-particle":"","parse-names":false,"suffix":""},{"dropping-particle":"","family":"Eichler","given":"Anja","non-dropping-particle":"","parse-names":false,"suffix":""},{"dropping-particle":"","family":"Schwikowski","given":"Margit","non-dropping-particle":"","parse-names":false,"suffix":""},{"dropping-particle":"","family":"Hoffmann","given":"Thorsten","non-dropping-particle":"","parse-names":false,"suffix":""}],"container-title":"Analytical and bioanalytical chemistry","id":"ITEM-1","issue":"11","issued":{"date-parts":[["2014","4"]]},"page":"2525-32","title":"A new sensitive method for the quantification of glyoxal and methylglyoxal in snow and ice by stir bar sorptive extraction and liquid desorption-HPLC-ESI-MS.","type":"article-journal","volume":"406"},"uris":["http://www.mendeley.com/documents/?uuid=786b9389-e1b5-477c-bc15-9005a055a61e"]}],"mendeley":{"formattedCitation":"&lt;sup&gt;7&lt;/sup&gt;","manualFormatting":"(2014)","plainTextFormattedCitation":"7","previouslyFormattedCitation":"&lt;sup&gt;7&lt;/sup&gt;"},"properties":{"noteIndex":0},"schema":"https://github.com/citation-style-language/schema/raw/master/csl-citation.json"}</w:instrText>
      </w:r>
      <w:r w:rsidRPr="007F6C46">
        <w:rPr>
          <w:rFonts w:ascii="Arial" w:hAnsi="Arial" w:cs="Arial"/>
        </w:rPr>
        <w:fldChar w:fldCharType="separate"/>
      </w:r>
      <w:r w:rsidR="00220B17">
        <w:rPr>
          <w:rFonts w:ascii="Arial" w:hAnsi="Arial" w:cs="Arial"/>
          <w:noProof/>
        </w:rPr>
        <w:t>(</w:t>
      </w:r>
      <w:r w:rsidR="00220B17" w:rsidRPr="00220B17">
        <w:rPr>
          <w:rFonts w:ascii="Arial" w:hAnsi="Arial" w:cs="Arial"/>
          <w:noProof/>
        </w:rPr>
        <w:t>2014)</w:t>
      </w:r>
      <w:r w:rsidRPr="007F6C46">
        <w:rPr>
          <w:rFonts w:ascii="Arial" w:hAnsi="Arial" w:cs="Arial"/>
        </w:rPr>
        <w:fldChar w:fldCharType="end"/>
      </w:r>
      <w:r w:rsidRPr="007F6C46">
        <w:rPr>
          <w:rFonts w:ascii="Arial" w:hAnsi="Arial" w:cs="Arial"/>
        </w:rPr>
        <w:t xml:space="preserve">. Glassware was capped </w:t>
      </w:r>
      <w:r w:rsidRPr="00E855B0">
        <w:rPr>
          <w:rFonts w:ascii="Arial" w:hAnsi="Arial" w:cs="Arial"/>
        </w:rPr>
        <w:t xml:space="preserve">with PTFE lined lids. Solvents were also cleaned using ozonation following the method of </w:t>
      </w:r>
      <w:r w:rsidRPr="00962EDB">
        <w:rPr>
          <w:rFonts w:ascii="Arial" w:hAnsi="Arial" w:cs="Arial"/>
        </w:rPr>
        <w:t>King et al.</w:t>
      </w:r>
      <w:r w:rsidR="00E855B0" w:rsidRPr="00962EDB">
        <w:rPr>
          <w:rFonts w:ascii="Arial" w:hAnsi="Arial" w:cs="Arial"/>
        </w:rPr>
        <w:t xml:space="preserve"> </w:t>
      </w:r>
      <w:r w:rsidR="00E855B0" w:rsidRPr="006E43C7">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sidRPr="006E43C7">
        <w:rPr>
          <w:rFonts w:ascii="Arial" w:hAnsi="Arial" w:cs="Arial"/>
        </w:rPr>
        <w:fldChar w:fldCharType="separate"/>
      </w:r>
      <w:r w:rsidR="002B34DF" w:rsidRPr="002B34DF">
        <w:rPr>
          <w:rFonts w:ascii="Arial" w:hAnsi="Arial" w:cs="Arial"/>
          <w:noProof/>
          <w:vertAlign w:val="superscript"/>
        </w:rPr>
        <w:t>5</w:t>
      </w:r>
      <w:r w:rsidR="00E855B0" w:rsidRPr="006E43C7">
        <w:rPr>
          <w:rFonts w:ascii="Arial" w:hAnsi="Arial" w:cs="Arial"/>
        </w:rPr>
        <w:fldChar w:fldCharType="end"/>
      </w:r>
      <w:r w:rsidRPr="00E855B0">
        <w:rPr>
          <w:rFonts w:ascii="Arial" w:hAnsi="Arial" w:cs="Arial"/>
        </w:rPr>
        <w:t>, which has been shown to reduce background con</w:t>
      </w:r>
      <w:r w:rsidR="003A5F09" w:rsidRPr="00E855B0">
        <w:rPr>
          <w:rFonts w:ascii="Arial" w:hAnsi="Arial" w:cs="Arial"/>
        </w:rPr>
        <w:t>tamination of unsaturated fatty</w:t>
      </w:r>
      <w:r w:rsidRPr="007F6C46">
        <w:rPr>
          <w:rFonts w:ascii="Arial" w:hAnsi="Arial" w:cs="Arial"/>
        </w:rPr>
        <w:t xml:space="preserve"> acids</w:t>
      </w:r>
      <w:r w:rsidR="007F6C46" w:rsidRPr="007F6C46">
        <w:rPr>
          <w:rFonts w:ascii="Arial" w:hAnsi="Arial" w:cs="Arial"/>
        </w:rPr>
        <w:t>.</w:t>
      </w:r>
    </w:p>
    <w:p w14:paraId="2F5C1D56" w14:textId="77777777" w:rsidR="0048169E" w:rsidRDefault="0048169E" w:rsidP="00C31A34">
      <w:pPr>
        <w:pStyle w:val="Heading1"/>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Instrumental analysis</w:t>
      </w:r>
    </w:p>
    <w:p w14:paraId="57D910AE" w14:textId="22F803E7" w:rsidR="00D154EE" w:rsidRDefault="00932492" w:rsidP="00AE3AB4">
      <w:pPr>
        <w:spacing w:line="360" w:lineRule="auto"/>
        <w:jc w:val="both"/>
        <w:rPr>
          <w:rFonts w:ascii="Arial" w:hAnsi="Arial" w:cs="Arial"/>
        </w:rPr>
      </w:pPr>
      <w:r>
        <w:rPr>
          <w:rFonts w:ascii="Arial" w:hAnsi="Arial" w:cs="Arial"/>
        </w:rPr>
        <w:t>A</w:t>
      </w:r>
      <w:r w:rsidR="001454D8">
        <w:rPr>
          <w:rFonts w:ascii="Arial" w:hAnsi="Arial" w:cs="Arial"/>
        </w:rPr>
        <w:t xml:space="preserve">nalysis was </w:t>
      </w:r>
      <w:r w:rsidR="0090659D">
        <w:rPr>
          <w:rFonts w:ascii="Arial" w:hAnsi="Arial" w:cs="Arial"/>
        </w:rPr>
        <w:t>carried out</w:t>
      </w:r>
      <w:r w:rsidR="001454D8">
        <w:rPr>
          <w:rFonts w:ascii="Arial" w:hAnsi="Arial" w:cs="Arial"/>
        </w:rPr>
        <w:t xml:space="preserve"> using a</w:t>
      </w:r>
      <w:r w:rsidR="0090659D">
        <w:rPr>
          <w:rFonts w:ascii="Arial" w:hAnsi="Arial" w:cs="Arial"/>
        </w:rPr>
        <w:t>n</w:t>
      </w:r>
      <w:r w:rsidR="001454D8">
        <w:rPr>
          <w:rFonts w:ascii="Arial" w:hAnsi="Arial" w:cs="Arial"/>
        </w:rPr>
        <w:t xml:space="preserve"> </w:t>
      </w:r>
      <w:r w:rsidR="0090659D" w:rsidRPr="001454D8">
        <w:rPr>
          <w:rFonts w:ascii="Arial" w:hAnsi="Arial" w:cs="Arial"/>
        </w:rPr>
        <w:t>UltiMate3000</w:t>
      </w:r>
      <w:r w:rsidR="0090659D">
        <w:rPr>
          <w:rFonts w:ascii="Arial" w:hAnsi="Arial" w:cs="Arial"/>
        </w:rPr>
        <w:t xml:space="preserve"> </w:t>
      </w:r>
      <w:r w:rsidR="001454D8" w:rsidRPr="001454D8">
        <w:rPr>
          <w:rFonts w:ascii="Arial" w:hAnsi="Arial" w:cs="Arial"/>
        </w:rPr>
        <w:t xml:space="preserve">UHPLC coupled with a Thermo Scientific™ Q Exactive™ Hybrid Quadrupole-Orbitrap MS at the Department of Chemical Sciences, </w:t>
      </w:r>
      <w:r w:rsidR="001454D8" w:rsidRPr="00E855B0">
        <w:rPr>
          <w:rFonts w:ascii="Arial" w:hAnsi="Arial" w:cs="Arial"/>
        </w:rPr>
        <w:t xml:space="preserve">University of Padua, Italy. </w:t>
      </w:r>
      <w:r w:rsidR="00232931" w:rsidRPr="00232931">
        <w:rPr>
          <w:rFonts w:ascii="Arial" w:hAnsi="Arial" w:cs="Arial"/>
        </w:rPr>
        <w:t xml:space="preserve">We utilise </w:t>
      </w:r>
      <w:r w:rsidR="00232931">
        <w:rPr>
          <w:rFonts w:ascii="Arial" w:hAnsi="Arial" w:cs="Arial"/>
        </w:rPr>
        <w:t>this</w:t>
      </w:r>
      <w:r w:rsidR="00232931" w:rsidRPr="00232931">
        <w:rPr>
          <w:rFonts w:ascii="Arial" w:hAnsi="Arial" w:cs="Arial"/>
        </w:rPr>
        <w:t xml:space="preserve"> more sensitive instrument than that </w:t>
      </w:r>
      <w:r w:rsidR="00293337">
        <w:rPr>
          <w:rFonts w:ascii="Arial" w:hAnsi="Arial" w:cs="Arial"/>
        </w:rPr>
        <w:t>used in</w:t>
      </w:r>
      <w:r w:rsidR="00232931" w:rsidRPr="00232931">
        <w:rPr>
          <w:rFonts w:ascii="Arial" w:hAnsi="Arial" w:cs="Arial"/>
        </w:rPr>
        <w:t xml:space="preserve"> the methodological development of the previous study</w:t>
      </w:r>
      <w:r w:rsidR="00232931">
        <w:rPr>
          <w:rFonts w:ascii="Arial" w:hAnsi="Arial" w:cs="Arial"/>
        </w:rPr>
        <w:t xml:space="preserve">. </w:t>
      </w:r>
      <w:r w:rsidR="008028EA">
        <w:rPr>
          <w:rFonts w:ascii="Arial" w:hAnsi="Arial" w:cs="Arial"/>
        </w:rPr>
        <w:t>The interlaboratory comparison described in the previous study shows how t</w:t>
      </w:r>
      <w:r w:rsidR="00232931" w:rsidRPr="00232931">
        <w:rPr>
          <w:rFonts w:ascii="Arial" w:hAnsi="Arial" w:cs="Arial"/>
        </w:rPr>
        <w:t xml:space="preserve">his instrument lowered detection limits to the range of ppt for many compounds, in comparison to the HPLC-ESI-HRMS (with Accela system HPLC (Thermo Scientific, Bremen, Germany) coupled to an LTQ Velos Orbitrap (Thermo Scientific, Bremen, Germany)) at the University of Cambridge, UK, which </w:t>
      </w:r>
      <w:r w:rsidR="00232931" w:rsidRPr="002D34D6">
        <w:rPr>
          <w:rFonts w:ascii="Arial" w:hAnsi="Arial" w:cs="Arial"/>
        </w:rPr>
        <w:t xml:space="preserve">did not achieve detection limits below </w:t>
      </w:r>
      <w:r w:rsidR="00220B17" w:rsidRPr="002D34D6">
        <w:rPr>
          <w:rFonts w:ascii="Arial" w:hAnsi="Arial" w:cs="Arial"/>
        </w:rPr>
        <w:t xml:space="preserve">ppb concentrations (Table </w:t>
      </w:r>
      <w:r w:rsidR="002D34D6" w:rsidRPr="002D34D6">
        <w:rPr>
          <w:rFonts w:ascii="Arial" w:hAnsi="Arial" w:cs="Arial"/>
        </w:rPr>
        <w:t>2</w:t>
      </w:r>
      <w:r w:rsidR="00220B17" w:rsidRPr="002D34D6">
        <w:rPr>
          <w:rFonts w:ascii="Arial" w:hAnsi="Arial" w:cs="Arial"/>
        </w:rPr>
        <w:t>)</w:t>
      </w:r>
      <w:r w:rsidR="00220B17">
        <w:rPr>
          <w:rFonts w:ascii="Arial" w:hAnsi="Arial" w:cs="Arial"/>
        </w:rPr>
        <w:t>.</w:t>
      </w:r>
      <w:r w:rsidR="002A2BDA">
        <w:rPr>
          <w:rFonts w:ascii="Arial" w:hAnsi="Arial" w:cs="Arial"/>
        </w:rPr>
        <w:t xml:space="preserve"> </w:t>
      </w:r>
      <w:r w:rsidR="00232931" w:rsidRPr="00232931">
        <w:rPr>
          <w:rFonts w:ascii="Arial" w:hAnsi="Arial" w:cs="Arial"/>
        </w:rPr>
        <w:t>Given that concentrations of compounds detected in preconcentrated samples in King et al.</w:t>
      </w:r>
      <w:r w:rsidR="00293337" w:rsidRPr="007E0AD0">
        <w:rPr>
          <w:rFonts w:ascii="Arial" w:hAnsi="Arial" w:cs="Arial"/>
          <w:vertAlign w:val="superscript"/>
        </w:rPr>
        <w:t>5</w:t>
      </w:r>
      <w:r w:rsidR="00232931" w:rsidRPr="00232931">
        <w:rPr>
          <w:rFonts w:ascii="Arial" w:hAnsi="Arial" w:cs="Arial"/>
        </w:rPr>
        <w:t xml:space="preserve">  were in the order of ppb, this more sensitive instrument should allow detection not only of these compounds without preconcentration but may allow detection of previously undetected compounds.</w:t>
      </w:r>
      <w:r w:rsidR="00AE3AB4">
        <w:rPr>
          <w:rFonts w:ascii="Arial" w:hAnsi="Arial" w:cs="Arial"/>
        </w:rPr>
        <w:t xml:space="preserve"> </w:t>
      </w:r>
      <w:r w:rsidR="00AB0384">
        <w:rPr>
          <w:rFonts w:ascii="Arial" w:hAnsi="Arial" w:cs="Arial"/>
        </w:rPr>
        <w:t xml:space="preserve">This is due in part to the different detectors in the two instruments, which gives the Q-Exactive a better sensitivity and thus lower detection limits. </w:t>
      </w:r>
      <w:r w:rsidR="00D635C2">
        <w:rPr>
          <w:rFonts w:ascii="Arial" w:hAnsi="Arial" w:cs="Arial"/>
        </w:rPr>
        <w:t xml:space="preserve">Similarly, a triple quadrupole mass analyser </w:t>
      </w:r>
      <w:r w:rsidR="00504A12">
        <w:rPr>
          <w:rFonts w:ascii="Arial" w:hAnsi="Arial" w:cs="Arial"/>
        </w:rPr>
        <w:t xml:space="preserve">may provide better sensitivity for SOA compounds while </w:t>
      </w:r>
      <w:r w:rsidR="00293337">
        <w:rPr>
          <w:rFonts w:ascii="Arial" w:hAnsi="Arial" w:cs="Arial"/>
        </w:rPr>
        <w:t xml:space="preserve">it </w:t>
      </w:r>
      <w:r w:rsidR="00504A12">
        <w:rPr>
          <w:rFonts w:ascii="Arial" w:hAnsi="Arial" w:cs="Arial"/>
        </w:rPr>
        <w:t>would not give reliable determination of unsubstituted fatty acids when using HPLC with an ESI source</w:t>
      </w:r>
      <w:r w:rsidR="00E35280">
        <w:rPr>
          <w:rFonts w:ascii="Arial" w:hAnsi="Arial" w:cs="Arial"/>
        </w:rPr>
        <w:t>.</w:t>
      </w:r>
      <w:r w:rsidR="00B66501">
        <w:rPr>
          <w:rFonts w:ascii="Arial" w:hAnsi="Arial" w:cs="Arial"/>
        </w:rPr>
        <w:t xml:space="preserve"> This is because the fragmentation used in the single and multiple reaction monitoring </w:t>
      </w:r>
      <w:r w:rsidR="001C71ED">
        <w:rPr>
          <w:rFonts w:ascii="Arial" w:hAnsi="Arial" w:cs="Arial"/>
        </w:rPr>
        <w:t>when using triple quadrupole mass analysers cannot be exploited for the determination of unsubstituted fatty acids</w:t>
      </w:r>
      <w:r w:rsidR="00504A12">
        <w:rPr>
          <w:rFonts w:ascii="Arial" w:hAnsi="Arial" w:cs="Arial"/>
        </w:rPr>
        <w:t xml:space="preserve"> </w:t>
      </w:r>
      <w:r w:rsidR="00222431">
        <w:rPr>
          <w:rFonts w:ascii="Arial" w:hAnsi="Arial" w:cs="Arial"/>
        </w:rPr>
        <w:t xml:space="preserve">which would lose the only functional group that can be easily ionised (the carboxylic group). </w:t>
      </w:r>
      <w:r w:rsidR="00DA7AB2" w:rsidRPr="00DA7AB2">
        <w:rPr>
          <w:rFonts w:ascii="Arial" w:hAnsi="Arial" w:cs="Arial"/>
          <w:color w:val="000000" w:themeColor="text1"/>
        </w:rPr>
        <w:t>Further factors giving the Q-</w:t>
      </w:r>
      <w:r w:rsidR="00DA7AB2">
        <w:rPr>
          <w:rFonts w:ascii="Arial" w:hAnsi="Arial" w:cs="Arial"/>
          <w:color w:val="000000" w:themeColor="text1"/>
        </w:rPr>
        <w:t>E</w:t>
      </w:r>
      <w:r w:rsidR="00DA7AB2" w:rsidRPr="00DA7AB2">
        <w:rPr>
          <w:rFonts w:ascii="Arial" w:hAnsi="Arial" w:cs="Arial"/>
          <w:color w:val="000000" w:themeColor="text1"/>
        </w:rPr>
        <w:t>xactive better sensitivity are that the ionic path is much shorter than for the Velos, resulting in less ion scattering, and that the Q-</w:t>
      </w:r>
      <w:r w:rsidR="00DA7AB2">
        <w:rPr>
          <w:rFonts w:ascii="Arial" w:hAnsi="Arial" w:cs="Arial"/>
          <w:color w:val="000000" w:themeColor="text1"/>
        </w:rPr>
        <w:t>E</w:t>
      </w:r>
      <w:r w:rsidR="00DA7AB2" w:rsidRPr="00DA7AB2">
        <w:rPr>
          <w:rFonts w:ascii="Arial" w:hAnsi="Arial" w:cs="Arial"/>
          <w:color w:val="000000" w:themeColor="text1"/>
        </w:rPr>
        <w:t>xactive has an enhanced vaccum, increasing the electronic performance.</w:t>
      </w:r>
      <w:r w:rsidR="00DA7AB2" w:rsidRPr="00DA7AB2">
        <w:rPr>
          <w:rFonts w:ascii="Times New Roman" w:hAnsi="Times New Roman" w:cs="Times New Roman"/>
          <w:color w:val="000000" w:themeColor="text1"/>
          <w:sz w:val="24"/>
          <w:szCs w:val="24"/>
        </w:rPr>
        <w:t xml:space="preserve"> </w:t>
      </w:r>
      <w:r w:rsidR="006B3427">
        <w:rPr>
          <w:rFonts w:ascii="Arial" w:hAnsi="Arial" w:cs="Arial"/>
        </w:rPr>
        <w:t xml:space="preserve">There are also </w:t>
      </w:r>
      <w:r w:rsidR="00AB0384">
        <w:rPr>
          <w:rFonts w:ascii="Arial" w:hAnsi="Arial" w:cs="Arial"/>
        </w:rPr>
        <w:t>factors which are unique to every instrument set-up</w:t>
      </w:r>
      <w:r w:rsidR="00D01F14">
        <w:rPr>
          <w:rFonts w:ascii="Arial" w:hAnsi="Arial" w:cs="Arial"/>
        </w:rPr>
        <w:t xml:space="preserve"> and specific laboratory environment</w:t>
      </w:r>
      <w:r w:rsidR="00D154EE">
        <w:rPr>
          <w:rFonts w:ascii="Arial" w:hAnsi="Arial" w:cs="Arial"/>
        </w:rPr>
        <w:t>:</w:t>
      </w:r>
      <w:r w:rsidR="00AB0384">
        <w:rPr>
          <w:rFonts w:ascii="Arial" w:hAnsi="Arial" w:cs="Arial"/>
        </w:rPr>
        <w:t xml:space="preserve"> the contamination introduced into the instrument </w:t>
      </w:r>
      <w:r w:rsidR="00D01F14">
        <w:rPr>
          <w:rFonts w:ascii="Arial" w:hAnsi="Arial" w:cs="Arial"/>
        </w:rPr>
        <w:t xml:space="preserve">is </w:t>
      </w:r>
      <w:r w:rsidR="00AB0384">
        <w:rPr>
          <w:rFonts w:ascii="Arial" w:hAnsi="Arial" w:cs="Arial"/>
        </w:rPr>
        <w:t xml:space="preserve">dependent on the working environment in which the instrument </w:t>
      </w:r>
      <w:r w:rsidR="003A3A4D">
        <w:rPr>
          <w:rFonts w:ascii="Arial" w:hAnsi="Arial" w:cs="Arial"/>
        </w:rPr>
        <w:t>sits</w:t>
      </w:r>
      <w:r w:rsidR="00AB0384">
        <w:rPr>
          <w:rFonts w:ascii="Arial" w:hAnsi="Arial" w:cs="Arial"/>
        </w:rPr>
        <w:t>, the previous samples analysed and also the age of the instrument.</w:t>
      </w:r>
      <w:r w:rsidR="00D154EE">
        <w:rPr>
          <w:rFonts w:ascii="Arial" w:hAnsi="Arial" w:cs="Arial"/>
        </w:rPr>
        <w:t xml:space="preserve"> </w:t>
      </w:r>
      <w:r w:rsidR="00B46B30">
        <w:rPr>
          <w:rFonts w:ascii="Arial" w:hAnsi="Arial" w:cs="Arial"/>
        </w:rPr>
        <w:t xml:space="preserve">Beside these, removing a sample pre-concentration procedure may reduce potential contaminations introduced during sample handling. </w:t>
      </w:r>
      <w:r w:rsidR="00D154EE">
        <w:rPr>
          <w:rFonts w:ascii="Arial" w:hAnsi="Arial" w:cs="Arial"/>
        </w:rPr>
        <w:t>In this study we account for these factors by repeating some optimisation steps applied to the previously used instrument, as discussed further in section 3.1.</w:t>
      </w:r>
      <w:r w:rsidR="00AB0384">
        <w:rPr>
          <w:rFonts w:ascii="Arial" w:hAnsi="Arial" w:cs="Arial"/>
        </w:rPr>
        <w:t xml:space="preserve"> </w:t>
      </w:r>
    </w:p>
    <w:p w14:paraId="7BDE403C" w14:textId="60832702" w:rsidR="007F6C46" w:rsidRPr="007F6C46" w:rsidRDefault="007F6C46" w:rsidP="007F6C46">
      <w:pPr>
        <w:spacing w:line="360" w:lineRule="auto"/>
        <w:jc w:val="both"/>
        <w:rPr>
          <w:rFonts w:ascii="Arial" w:hAnsi="Arial" w:cs="Arial"/>
        </w:rPr>
      </w:pPr>
      <w:r w:rsidRPr="00E855B0">
        <w:rPr>
          <w:rFonts w:ascii="Arial" w:hAnsi="Arial" w:cs="Arial"/>
        </w:rPr>
        <w:t xml:space="preserve">The optimised settings of the instrument were those developed by </w:t>
      </w:r>
      <w:r w:rsidRPr="00962EDB">
        <w:rPr>
          <w:rFonts w:ascii="Arial" w:hAnsi="Arial" w:cs="Arial"/>
        </w:rPr>
        <w:t>King et al.</w:t>
      </w:r>
      <w:r>
        <w:rPr>
          <w:rFonts w:ascii="Arial" w:hAnsi="Arial" w:cs="Arial"/>
        </w:rPr>
        <w:t xml:space="preserve"> </w:t>
      </w:r>
      <w:r w:rsidR="00E855B0">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Pr>
          <w:rFonts w:ascii="Arial" w:hAnsi="Arial" w:cs="Arial"/>
        </w:rPr>
        <w:fldChar w:fldCharType="separate"/>
      </w:r>
      <w:r w:rsidR="002B34DF" w:rsidRPr="002B34DF">
        <w:rPr>
          <w:rFonts w:ascii="Arial" w:hAnsi="Arial" w:cs="Arial"/>
          <w:noProof/>
          <w:vertAlign w:val="superscript"/>
        </w:rPr>
        <w:t>5</w:t>
      </w:r>
      <w:r w:rsidR="00E855B0">
        <w:rPr>
          <w:rFonts w:ascii="Arial" w:hAnsi="Arial" w:cs="Arial"/>
        </w:rPr>
        <w:fldChar w:fldCharType="end"/>
      </w:r>
      <w:r w:rsidR="00E855B0">
        <w:rPr>
          <w:rFonts w:ascii="Arial" w:hAnsi="Arial" w:cs="Arial"/>
        </w:rPr>
        <w:t xml:space="preserve"> </w:t>
      </w:r>
      <w:r>
        <w:rPr>
          <w:rFonts w:ascii="Arial" w:hAnsi="Arial" w:cs="Arial"/>
        </w:rPr>
        <w:t xml:space="preserve">and were as follows; the LC injected sample volumes of </w:t>
      </w:r>
      <w:r w:rsidRPr="007F6C46">
        <w:rPr>
          <w:rFonts w:ascii="Arial" w:hAnsi="Arial" w:cs="Arial"/>
        </w:rPr>
        <w:t>20 μL</w:t>
      </w:r>
      <w:r>
        <w:rPr>
          <w:rFonts w:ascii="Arial" w:hAnsi="Arial" w:cs="Arial"/>
        </w:rPr>
        <w:t xml:space="preserve"> and used a </w:t>
      </w:r>
      <w:r w:rsidRPr="007F6C46">
        <w:rPr>
          <w:rFonts w:ascii="Arial" w:hAnsi="Arial" w:cs="Arial"/>
        </w:rPr>
        <w:t xml:space="preserve">Waters XBridge™ C18 (3.5 µm, 3.0x150 mm) column </w:t>
      </w:r>
      <w:r>
        <w:rPr>
          <w:rFonts w:ascii="Arial" w:hAnsi="Arial" w:cs="Arial"/>
        </w:rPr>
        <w:t>with the m</w:t>
      </w:r>
      <w:r w:rsidRPr="007F6C46">
        <w:rPr>
          <w:rFonts w:ascii="Arial" w:hAnsi="Arial" w:cs="Arial"/>
        </w:rPr>
        <w:t>obile phases (A) water with 0.5 mM NH</w:t>
      </w:r>
      <w:r w:rsidR="0090659D">
        <w:rPr>
          <w:rFonts w:ascii="Arial" w:hAnsi="Arial" w:cs="Arial"/>
          <w:vertAlign w:val="subscript"/>
        </w:rPr>
        <w:t>4</w:t>
      </w:r>
      <w:r w:rsidR="0090659D">
        <w:rPr>
          <w:rFonts w:ascii="Arial" w:hAnsi="Arial" w:cs="Arial"/>
        </w:rPr>
        <w:t>OH</w:t>
      </w:r>
      <w:r w:rsidRPr="007F6C46">
        <w:rPr>
          <w:rFonts w:ascii="Arial" w:hAnsi="Arial" w:cs="Arial"/>
        </w:rPr>
        <w:t xml:space="preserve"> and (B) methanol with 0.5 mM NH</w:t>
      </w:r>
      <w:r w:rsidR="0090659D">
        <w:rPr>
          <w:rFonts w:ascii="Arial" w:hAnsi="Arial" w:cs="Arial"/>
          <w:vertAlign w:val="subscript"/>
        </w:rPr>
        <w:t>4</w:t>
      </w:r>
      <w:r w:rsidR="0090659D">
        <w:rPr>
          <w:rFonts w:ascii="Arial" w:hAnsi="Arial" w:cs="Arial"/>
        </w:rPr>
        <w:t>OH</w:t>
      </w:r>
      <w:r w:rsidRPr="007F6C46">
        <w:rPr>
          <w:rFonts w:ascii="Arial" w:hAnsi="Arial" w:cs="Arial"/>
        </w:rPr>
        <w:t>.</w:t>
      </w:r>
      <w:r>
        <w:rPr>
          <w:rFonts w:ascii="Arial" w:hAnsi="Arial" w:cs="Arial"/>
        </w:rPr>
        <w:t xml:space="preserve"> The gradient programme was</w:t>
      </w:r>
      <w:r w:rsidRPr="007F6C46">
        <w:rPr>
          <w:rFonts w:ascii="Arial" w:hAnsi="Arial" w:cs="Arial"/>
        </w:rPr>
        <w:t xml:space="preserve"> 0–3 min 0% B, 3–4 min linear gradient from 0% to 30% B, 4–9 min 30% B, 9–10 min linear gradient from 30% to 100% B, 10–25 min 100% B, 25–26 min linear gradient from 100% to 0% B, 26–35 min 0% B</w:t>
      </w:r>
      <w:r>
        <w:rPr>
          <w:rFonts w:ascii="Arial" w:hAnsi="Arial" w:cs="Arial"/>
        </w:rPr>
        <w:t xml:space="preserve">, with a </w:t>
      </w:r>
      <w:r w:rsidRPr="007F6C46">
        <w:rPr>
          <w:rFonts w:ascii="Arial" w:hAnsi="Arial" w:cs="Arial"/>
        </w:rPr>
        <w:t xml:space="preserve">250 μL/min </w:t>
      </w:r>
      <w:r>
        <w:rPr>
          <w:rFonts w:ascii="Arial" w:hAnsi="Arial" w:cs="Arial"/>
        </w:rPr>
        <w:t xml:space="preserve">flow rate at </w:t>
      </w:r>
      <w:r w:rsidRPr="007F6C46">
        <w:rPr>
          <w:rFonts w:ascii="Arial" w:hAnsi="Arial" w:cs="Arial"/>
        </w:rPr>
        <w:t>20</w:t>
      </w:r>
      <w:r w:rsidRPr="007F6C46">
        <w:rPr>
          <w:rFonts w:ascii="Arial" w:hAnsi="Arial" w:cs="Arial"/>
          <w:vertAlign w:val="superscript"/>
        </w:rPr>
        <w:t>o</w:t>
      </w:r>
      <w:r>
        <w:rPr>
          <w:rFonts w:ascii="Arial" w:hAnsi="Arial" w:cs="Arial"/>
        </w:rPr>
        <w:t>C. We applied a p</w:t>
      </w:r>
      <w:r w:rsidRPr="007F6C46">
        <w:rPr>
          <w:rFonts w:ascii="Arial" w:hAnsi="Arial" w:cs="Arial"/>
        </w:rPr>
        <w:t>ost-column injection of methanol with 5 mM NH</w:t>
      </w:r>
      <w:r w:rsidR="0090659D">
        <w:rPr>
          <w:rFonts w:ascii="Arial" w:hAnsi="Arial" w:cs="Arial"/>
          <w:vertAlign w:val="subscript"/>
        </w:rPr>
        <w:t>4</w:t>
      </w:r>
      <w:r w:rsidR="0090659D">
        <w:rPr>
          <w:rFonts w:ascii="Arial" w:hAnsi="Arial" w:cs="Arial"/>
        </w:rPr>
        <w:t>OH</w:t>
      </w:r>
      <w:r w:rsidRPr="007F6C46">
        <w:rPr>
          <w:rFonts w:ascii="Arial" w:hAnsi="Arial" w:cs="Arial"/>
        </w:rPr>
        <w:t xml:space="preserve"> </w:t>
      </w:r>
      <w:r>
        <w:rPr>
          <w:rFonts w:ascii="Arial" w:hAnsi="Arial" w:cs="Arial"/>
        </w:rPr>
        <w:t>at a flow rate of</w:t>
      </w:r>
      <w:r w:rsidR="00927B92">
        <w:rPr>
          <w:rFonts w:ascii="Arial" w:hAnsi="Arial" w:cs="Arial"/>
        </w:rPr>
        <w:t xml:space="preserve"> </w:t>
      </w:r>
      <w:r w:rsidRPr="007F6C46">
        <w:rPr>
          <w:rFonts w:ascii="Arial" w:hAnsi="Arial" w:cs="Arial"/>
        </w:rPr>
        <w:t xml:space="preserve">100 µL/min. </w:t>
      </w:r>
      <w:r>
        <w:rPr>
          <w:rFonts w:ascii="Arial" w:hAnsi="Arial" w:cs="Arial"/>
        </w:rPr>
        <w:t>MS analysis was performed in</w:t>
      </w:r>
      <w:r w:rsidRPr="007F6C46">
        <w:rPr>
          <w:rFonts w:ascii="Arial" w:hAnsi="Arial" w:cs="Arial"/>
        </w:rPr>
        <w:t xml:space="preserve"> negative ionisation using the following ESI source parameters: 400°C source temperature, 40 arbitrary units (a.u.) sheath gas flow rate, 20 a.u. auxiliary gas flow rate, 3.5 kV needle voltage, 350°C transfer capillary temperature, S-Lens RF Level 50%. MS spectra were collected in full scan, with a resolution of </w:t>
      </w:r>
      <w:r w:rsidR="00442DBD">
        <w:rPr>
          <w:rFonts w:ascii="Arial" w:hAnsi="Arial" w:cs="Arial"/>
        </w:rPr>
        <w:t>7</w:t>
      </w:r>
      <w:r w:rsidR="00442DBD" w:rsidRPr="007F6C46">
        <w:rPr>
          <w:rFonts w:ascii="Arial" w:hAnsi="Arial" w:cs="Arial"/>
        </w:rPr>
        <w:t xml:space="preserve">0 </w:t>
      </w:r>
      <w:r w:rsidRPr="007F6C46">
        <w:rPr>
          <w:rFonts w:ascii="Arial" w:hAnsi="Arial" w:cs="Arial"/>
        </w:rPr>
        <w:t xml:space="preserve">000 at </w:t>
      </w:r>
      <w:r w:rsidRPr="007F6C46">
        <w:rPr>
          <w:rFonts w:ascii="Arial" w:hAnsi="Arial" w:cs="Arial"/>
          <w:i/>
        </w:rPr>
        <w:t>m</w:t>
      </w:r>
      <w:r w:rsidRPr="007F6C46">
        <w:rPr>
          <w:rFonts w:ascii="Arial" w:hAnsi="Arial" w:cs="Arial"/>
        </w:rPr>
        <w:t>/</w:t>
      </w:r>
      <w:r w:rsidRPr="007F6C46">
        <w:rPr>
          <w:rFonts w:ascii="Arial" w:hAnsi="Arial" w:cs="Arial"/>
          <w:i/>
        </w:rPr>
        <w:t>z</w:t>
      </w:r>
      <w:r w:rsidRPr="007F6C46">
        <w:rPr>
          <w:rFonts w:ascii="Arial" w:hAnsi="Arial" w:cs="Arial"/>
        </w:rPr>
        <w:t xml:space="preserve"> 400, in the mass range </w:t>
      </w:r>
      <w:r w:rsidRPr="007F6C46">
        <w:rPr>
          <w:rFonts w:ascii="Arial" w:hAnsi="Arial" w:cs="Arial"/>
          <w:i/>
          <w:iCs/>
        </w:rPr>
        <w:t>m</w:t>
      </w:r>
      <w:r w:rsidRPr="007F6C46">
        <w:rPr>
          <w:rFonts w:ascii="Arial" w:hAnsi="Arial" w:cs="Arial"/>
        </w:rPr>
        <w:t>/</w:t>
      </w:r>
      <w:r w:rsidRPr="007F6C46">
        <w:rPr>
          <w:rFonts w:ascii="Arial" w:hAnsi="Arial" w:cs="Arial"/>
          <w:i/>
          <w:iCs/>
        </w:rPr>
        <w:t xml:space="preserve">z </w:t>
      </w:r>
      <w:r w:rsidRPr="007F6C46">
        <w:rPr>
          <w:rFonts w:ascii="Arial" w:hAnsi="Arial" w:cs="Arial"/>
        </w:rPr>
        <w:t xml:space="preserve">80–600 and in MS/MS for all target compounds with a collision-induced dissociation (CID) energy of 30 (normalized collision energy). </w:t>
      </w:r>
      <w:r w:rsidR="003E770D">
        <w:rPr>
          <w:rFonts w:ascii="Arial" w:hAnsi="Arial" w:cs="Arial"/>
        </w:rPr>
        <w:t>Instrumental calibration was carried out</w:t>
      </w:r>
      <w:r w:rsidRPr="007F6C46">
        <w:rPr>
          <w:rFonts w:ascii="Arial" w:hAnsi="Arial" w:cs="Arial"/>
        </w:rPr>
        <w:t xml:space="preserve"> routinely to within an accuracy of ± 2 ppm, using Pierce LTQ Velos ESI Positive Ion Calibration Solution and a Pierce ESI Negative Ion Calibration Solution (Thermo Scientific, Bremen, Germany).</w:t>
      </w:r>
    </w:p>
    <w:p w14:paraId="18532F64" w14:textId="7021AC22" w:rsidR="00FD73EB" w:rsidRDefault="0090659D" w:rsidP="007F6C46">
      <w:pPr>
        <w:spacing w:after="0" w:line="360" w:lineRule="auto"/>
        <w:jc w:val="both"/>
        <w:rPr>
          <w:rFonts w:ascii="Arial" w:hAnsi="Arial" w:cs="Arial"/>
        </w:rPr>
      </w:pPr>
      <w:r>
        <w:rPr>
          <w:rFonts w:ascii="Arial" w:hAnsi="Arial" w:cs="Arial"/>
        </w:rPr>
        <w:t>C</w:t>
      </w:r>
      <w:r w:rsidR="003E770D">
        <w:rPr>
          <w:rFonts w:ascii="Arial" w:hAnsi="Arial" w:cs="Arial"/>
        </w:rPr>
        <w:t xml:space="preserve">alibration </w:t>
      </w:r>
      <w:r>
        <w:rPr>
          <w:rFonts w:ascii="Arial" w:hAnsi="Arial" w:cs="Arial"/>
        </w:rPr>
        <w:t xml:space="preserve">for quantification of target analytes </w:t>
      </w:r>
      <w:r w:rsidR="003E770D">
        <w:rPr>
          <w:rFonts w:ascii="Arial" w:hAnsi="Arial" w:cs="Arial"/>
        </w:rPr>
        <w:t>was carried out</w:t>
      </w:r>
      <w:r w:rsidR="007F6C46" w:rsidRPr="007F6C46">
        <w:rPr>
          <w:rFonts w:ascii="Arial" w:hAnsi="Arial" w:cs="Arial"/>
        </w:rPr>
        <w:t xml:space="preserve"> </w:t>
      </w:r>
      <w:r w:rsidR="00220B17">
        <w:rPr>
          <w:rFonts w:ascii="Arial" w:hAnsi="Arial" w:cs="Arial"/>
        </w:rPr>
        <w:t xml:space="preserve">at the start of each sample series, for which analysis took approximately 60 </w:t>
      </w:r>
      <w:r w:rsidR="00BC0205">
        <w:rPr>
          <w:rFonts w:ascii="Arial" w:hAnsi="Arial" w:cs="Arial"/>
        </w:rPr>
        <w:t xml:space="preserve">continuous </w:t>
      </w:r>
      <w:r w:rsidR="00220B17">
        <w:rPr>
          <w:rFonts w:ascii="Arial" w:hAnsi="Arial" w:cs="Arial"/>
        </w:rPr>
        <w:t>hours,</w:t>
      </w:r>
      <w:r w:rsidR="000038EF">
        <w:rPr>
          <w:rFonts w:ascii="Arial" w:hAnsi="Arial" w:cs="Arial"/>
        </w:rPr>
        <w:t xml:space="preserve"> </w:t>
      </w:r>
      <w:r w:rsidR="007F6C46" w:rsidRPr="007F6C46">
        <w:rPr>
          <w:rFonts w:ascii="Arial" w:hAnsi="Arial" w:cs="Arial"/>
        </w:rPr>
        <w:t xml:space="preserve">using standard solutions </w:t>
      </w:r>
      <w:r w:rsidR="007F6C46">
        <w:rPr>
          <w:rFonts w:ascii="Arial" w:hAnsi="Arial" w:cs="Arial"/>
        </w:rPr>
        <w:t>of 10</w:t>
      </w:r>
      <w:r w:rsidR="00E0743B">
        <w:rPr>
          <w:rFonts w:ascii="Arial" w:hAnsi="Arial" w:cs="Arial"/>
        </w:rPr>
        <w:t xml:space="preserve"> </w:t>
      </w:r>
      <w:r w:rsidR="007F6C46">
        <w:rPr>
          <w:rFonts w:ascii="Arial" w:hAnsi="Arial" w:cs="Arial"/>
        </w:rPr>
        <w:t>ppt,100</w:t>
      </w:r>
      <w:r w:rsidR="00E0743B">
        <w:rPr>
          <w:rFonts w:ascii="Arial" w:hAnsi="Arial" w:cs="Arial"/>
        </w:rPr>
        <w:t xml:space="preserve"> </w:t>
      </w:r>
      <w:r w:rsidR="007F6C46">
        <w:rPr>
          <w:rFonts w:ascii="Arial" w:hAnsi="Arial" w:cs="Arial"/>
        </w:rPr>
        <w:t>ppt,1</w:t>
      </w:r>
      <w:r w:rsidR="00E0743B">
        <w:rPr>
          <w:rFonts w:ascii="Arial" w:hAnsi="Arial" w:cs="Arial"/>
        </w:rPr>
        <w:t xml:space="preserve"> </w:t>
      </w:r>
      <w:r w:rsidR="007F6C46">
        <w:rPr>
          <w:rFonts w:ascii="Arial" w:hAnsi="Arial" w:cs="Arial"/>
        </w:rPr>
        <w:t>ppb,10</w:t>
      </w:r>
      <w:r w:rsidR="00E0743B">
        <w:rPr>
          <w:rFonts w:ascii="Arial" w:hAnsi="Arial" w:cs="Arial"/>
        </w:rPr>
        <w:t xml:space="preserve"> </w:t>
      </w:r>
      <w:r w:rsidR="007F6C46">
        <w:rPr>
          <w:rFonts w:ascii="Arial" w:hAnsi="Arial" w:cs="Arial"/>
        </w:rPr>
        <w:t>ppb and 100</w:t>
      </w:r>
      <w:r w:rsidR="00E0743B">
        <w:rPr>
          <w:rFonts w:ascii="Arial" w:hAnsi="Arial" w:cs="Arial"/>
        </w:rPr>
        <w:t xml:space="preserve"> </w:t>
      </w:r>
      <w:r w:rsidR="007F6C46">
        <w:rPr>
          <w:rFonts w:ascii="Arial" w:hAnsi="Arial" w:cs="Arial"/>
        </w:rPr>
        <w:t xml:space="preserve">ppb. </w:t>
      </w:r>
      <w:r w:rsidR="003F3499">
        <w:rPr>
          <w:rFonts w:ascii="Arial" w:hAnsi="Arial" w:cs="Arial"/>
        </w:rPr>
        <w:t xml:space="preserve">Deuterated </w:t>
      </w:r>
      <w:r w:rsidR="003E770D">
        <w:rPr>
          <w:rFonts w:ascii="Arial" w:hAnsi="Arial" w:cs="Arial"/>
        </w:rPr>
        <w:t xml:space="preserve">internal </w:t>
      </w:r>
      <w:r w:rsidR="003F3499">
        <w:rPr>
          <w:rFonts w:ascii="Arial" w:hAnsi="Arial" w:cs="Arial"/>
        </w:rPr>
        <w:t xml:space="preserve">standards </w:t>
      </w:r>
      <w:r w:rsidR="00AF58EB">
        <w:rPr>
          <w:rFonts w:ascii="Arial" w:hAnsi="Arial" w:cs="Arial"/>
        </w:rPr>
        <w:t>d3-m</w:t>
      </w:r>
      <w:r w:rsidR="007F6C46" w:rsidRPr="007F6C46">
        <w:rPr>
          <w:rFonts w:ascii="Arial" w:hAnsi="Arial" w:cs="Arial"/>
        </w:rPr>
        <w:t>alic acid, d10-pimelic acid and d31-palmitic acid at a concentration of 10 ppb were used as internal standards</w:t>
      </w:r>
      <w:r w:rsidR="00932492">
        <w:rPr>
          <w:rFonts w:ascii="Arial" w:hAnsi="Arial" w:cs="Arial"/>
        </w:rPr>
        <w:t xml:space="preserve"> to adjust concentrations accounting for methodological </w:t>
      </w:r>
      <w:r w:rsidR="00966DA5">
        <w:rPr>
          <w:rFonts w:ascii="Arial" w:hAnsi="Arial" w:cs="Arial"/>
        </w:rPr>
        <w:t>and</w:t>
      </w:r>
      <w:r w:rsidR="00932492">
        <w:rPr>
          <w:rFonts w:ascii="Arial" w:hAnsi="Arial" w:cs="Arial"/>
        </w:rPr>
        <w:t xml:space="preserve"> instrumental variability</w:t>
      </w:r>
      <w:r w:rsidR="007F6C46" w:rsidRPr="007F6C46">
        <w:rPr>
          <w:rFonts w:ascii="Arial" w:hAnsi="Arial" w:cs="Arial"/>
        </w:rPr>
        <w:t xml:space="preserve">. Quality check standards </w:t>
      </w:r>
      <w:r w:rsidR="00932492">
        <w:rPr>
          <w:rFonts w:ascii="Arial" w:hAnsi="Arial" w:cs="Arial"/>
        </w:rPr>
        <w:t xml:space="preserve">solutions </w:t>
      </w:r>
      <w:r w:rsidR="007F6C46" w:rsidRPr="007F6C46">
        <w:rPr>
          <w:rFonts w:ascii="Arial" w:hAnsi="Arial" w:cs="Arial"/>
        </w:rPr>
        <w:t xml:space="preserve">at a concentration of 10 ppb have also </w:t>
      </w:r>
      <w:r w:rsidR="00932492">
        <w:rPr>
          <w:rFonts w:ascii="Arial" w:hAnsi="Arial" w:cs="Arial"/>
        </w:rPr>
        <w:t>been analysed every 10 samples to ensure no changes in detection sensitivity throughout the sequence of analysis.</w:t>
      </w:r>
    </w:p>
    <w:p w14:paraId="4A4DD0E4" w14:textId="77777777" w:rsidR="00FD73EB" w:rsidRPr="00FD73EB" w:rsidRDefault="00FD73EB" w:rsidP="00FD73EB">
      <w:pPr>
        <w:pStyle w:val="Heading1"/>
        <w:spacing w:line="360" w:lineRule="auto"/>
        <w:rPr>
          <w:rFonts w:ascii="Arial" w:hAnsi="Arial" w:cs="Arial"/>
          <w:color w:val="000000" w:themeColor="text1"/>
          <w:sz w:val="22"/>
          <w:szCs w:val="22"/>
        </w:rPr>
      </w:pPr>
      <w:r w:rsidRPr="00FD73EB">
        <w:rPr>
          <w:rFonts w:ascii="Arial" w:hAnsi="Arial" w:cs="Arial"/>
          <w:color w:val="000000" w:themeColor="text1"/>
          <w:sz w:val="22"/>
          <w:szCs w:val="22"/>
        </w:rPr>
        <w:t>2.4 Sample preparation</w:t>
      </w:r>
    </w:p>
    <w:p w14:paraId="33911506" w14:textId="491E287F" w:rsidR="00270DFA" w:rsidRDefault="00FD73EB" w:rsidP="00FD73EB">
      <w:pPr>
        <w:spacing w:line="360" w:lineRule="auto"/>
        <w:jc w:val="both"/>
        <w:rPr>
          <w:rFonts w:ascii="Arial" w:hAnsi="Arial" w:cs="Arial"/>
        </w:rPr>
      </w:pPr>
      <w:r>
        <w:rPr>
          <w:rFonts w:ascii="Arial" w:hAnsi="Arial" w:cs="Arial"/>
        </w:rPr>
        <w:t>Ice samples analysed were from the Belukha glacier ice core, Russian Altai mountains, for which details on drilling, transportation and cutting can be found in</w:t>
      </w:r>
      <w:r w:rsidR="0013393D">
        <w:rPr>
          <w:rFonts w:ascii="Arial" w:hAnsi="Arial" w:cs="Arial"/>
        </w:rPr>
        <w:t xml:space="preserve"> </w:t>
      </w:r>
      <w:r w:rsidR="0013393D" w:rsidRPr="0013393D">
        <w:rPr>
          <w:rFonts w:ascii="Arial" w:hAnsi="Arial" w:cs="Arial"/>
        </w:rPr>
        <w:t>Olivier</w:t>
      </w:r>
      <w:r w:rsidR="0013393D">
        <w:rPr>
          <w:rFonts w:ascii="Arial" w:hAnsi="Arial" w:cs="Arial"/>
        </w:rPr>
        <w:t xml:space="preserve"> et al.</w:t>
      </w:r>
      <w:r>
        <w:rPr>
          <w:rFonts w:ascii="Arial" w:hAnsi="Arial" w:cs="Arial"/>
        </w:rPr>
        <w:t xml:space="preserve"> </w:t>
      </w:r>
      <w:r>
        <w:rPr>
          <w:rFonts w:ascii="Arial" w:hAnsi="Arial" w:cs="Arial"/>
        </w:rPr>
        <w:fldChar w:fldCharType="begin" w:fldLock="1"/>
      </w:r>
      <w:r w:rsidR="009C6FFE">
        <w:rPr>
          <w:rFonts w:ascii="Arial" w:hAnsi="Arial" w:cs="Arial"/>
        </w:rPr>
        <w:instrText>ADDIN CSL_CITATION {"citationItems":[{"id":"ITEM-1","itemData":{"DOI":"10.1029/2003GL018290","ISBN":"0094-8276","ISSN":"00948276","abstract":"[1] During summer 2001, a 140 m long ice core was recovered from the Belukha glacier (49degrees48'26\"N, 86degrees34'43\"E, 4062 m a. s. l.) in the Siberian Altai. The englacial temperature of - 17 degreesC indicates that this unique glaciochemical record is well preserved and suitable for the reconstruction of air pollution levels in this previously unexplored region. The upper 86 m were dated by Pb-210 and cover the period 1862 - 2001. A lack of strong winter minima was observed in the delta(1)8O record and attributed to the small amount of precipitation during that season and to wind erosion. The ion concentrations are comparable to those observed in Swiss glaciers, except for ammonium and formate, where enhanced concentrations indicate biogenic emissions from Siberian forests. Sulfate, ammonium and nitrate records all show anthropogenic impacts despite the remoteness of this site.","author":[{"dropping-particle":"","family":"Olivier","given":"Susanne","non-dropping-particle":"","parse-names":false,"suffix":""},{"dropping-particle":"","family":"Schwikowski","given":"Margit","non-dropping-particle":"","parse-names":false,"suffix":""},{"dropping-particle":"","family":"Brütsch","given":"Sabina","non-dropping-particle":"","parse-names":false,"suffix":""},{"dropping-particle":"","family":"Eyrikh","given":"Stella","non-dropping-particle":"","parse-names":false,"suffix":""},{"dropping-particle":"","family":"Gäggeler","given":"Heinz W.","non-dropping-particle":"","parse-names":false,"suffix":""},{"dropping-particle":"","family":"Lüthi","given":"Martin","non-dropping-particle":"","parse-names":false,"suffix":""},{"dropping-particle":"","family":"Papina","given":"Tatyana","non-dropping-particle":"","parse-names":false,"suffix":""},{"dropping-particle":"","family":"Saurer","given":"Matthias","non-dropping-particle":"","parse-names":false,"suffix":""},{"dropping-particle":"","family":"Schotterer","given":"Ulrich","non-dropping-particle":"","parse-names":false,"suffix":""},{"dropping-particle":"","family":"Tobler","given":"Leonhard","non-dropping-particle":"","parse-names":false,"suffix":""},{"dropping-particle":"","family":"Vogel","given":"Edith","non-dropping-particle":"","parse-names":false,"suffix":""}],"container-title":"Geophysical Research Letters","id":"ITEM-1","issue":"19","issued":{"date-parts":[["2003"]]},"page":"3-6","title":"Glaciochemical investigation of an ice core from Belukha glacier, Siberian Altai","type":"article-journal","volume":"30"},"uris":["http://www.mendeley.com/documents/?uuid=eb984d72-8e82-4831-9e66-6276a3bcb9f9","http://www.mendeley.com/documents/?uuid=df25167c-5c8c-4963-a5dd-fb7e4f5b2ab1"]}],"mendeley":{"formattedCitation":"&lt;sup&gt;8&lt;/sup&gt;","plainTextFormattedCitation":"8","previouslyFormattedCitation":"&lt;sup&gt;8&lt;/sup&gt;"},"properties":{"noteIndex":0},"schema":"https://github.com/citation-style-language/schema/raw/master/csl-citation.json"}</w:instrText>
      </w:r>
      <w:r>
        <w:rPr>
          <w:rFonts w:ascii="Arial" w:hAnsi="Arial" w:cs="Arial"/>
        </w:rPr>
        <w:fldChar w:fldCharType="separate"/>
      </w:r>
      <w:r w:rsidR="002B34DF" w:rsidRPr="002B34DF">
        <w:rPr>
          <w:rFonts w:ascii="Arial" w:hAnsi="Arial" w:cs="Arial"/>
          <w:noProof/>
          <w:vertAlign w:val="superscript"/>
        </w:rPr>
        <w:t>8</w:t>
      </w:r>
      <w:r>
        <w:rPr>
          <w:rFonts w:ascii="Arial" w:hAnsi="Arial" w:cs="Arial"/>
        </w:rPr>
        <w:fldChar w:fldCharType="end"/>
      </w:r>
      <w:r>
        <w:rPr>
          <w:rFonts w:ascii="Arial" w:hAnsi="Arial" w:cs="Arial"/>
        </w:rPr>
        <w:t xml:space="preserve">. </w:t>
      </w:r>
      <w:r w:rsidR="00270DFA">
        <w:rPr>
          <w:rFonts w:ascii="Arial" w:hAnsi="Arial" w:cs="Arial"/>
        </w:rPr>
        <w:t>A total of 18 samples were tested representing ice from a range of ice-core ages, accounting for differences in ice chemistry and physical ice properties which may affect analysis. These were 12 samples from 1866-1869, and 6 sample</w:t>
      </w:r>
      <w:r w:rsidR="002E0A12">
        <w:rPr>
          <w:rFonts w:ascii="Arial" w:hAnsi="Arial" w:cs="Arial"/>
        </w:rPr>
        <w:t>s</w:t>
      </w:r>
      <w:r w:rsidR="00270DFA">
        <w:rPr>
          <w:rFonts w:ascii="Arial" w:hAnsi="Arial" w:cs="Arial"/>
        </w:rPr>
        <w:t xml:space="preserve"> from 1821-1823. </w:t>
      </w:r>
    </w:p>
    <w:p w14:paraId="26539232" w14:textId="2D50A58F" w:rsidR="007F6C46" w:rsidRPr="00FD73EB" w:rsidRDefault="00DE6AD2" w:rsidP="00FD73EB">
      <w:pPr>
        <w:spacing w:line="360" w:lineRule="auto"/>
        <w:jc w:val="both"/>
        <w:rPr>
          <w:rFonts w:ascii="Arial" w:hAnsi="Arial" w:cs="Arial"/>
        </w:rPr>
      </w:pPr>
      <w:r>
        <w:rPr>
          <w:rFonts w:ascii="Arial" w:hAnsi="Arial" w:cs="Arial"/>
        </w:rPr>
        <w:t xml:space="preserve">Sample sections were cut to avoid the outer-most ice of the core, which has been exposed to potential contamination. </w:t>
      </w:r>
      <w:r w:rsidR="009F02BE">
        <w:rPr>
          <w:rFonts w:ascii="Arial" w:hAnsi="Arial" w:cs="Arial"/>
        </w:rPr>
        <w:t>Additionally, once cut, samples</w:t>
      </w:r>
      <w:r w:rsidR="0090659D">
        <w:rPr>
          <w:rFonts w:ascii="Arial" w:hAnsi="Arial" w:cs="Arial"/>
        </w:rPr>
        <w:t xml:space="preserve"> for the analysis of organic compounds</w:t>
      </w:r>
      <w:r w:rsidR="009F02BE">
        <w:rPr>
          <w:rFonts w:ascii="Arial" w:hAnsi="Arial" w:cs="Arial"/>
        </w:rPr>
        <w:t xml:space="preserve"> were scraped </w:t>
      </w:r>
      <w:r w:rsidR="003F3499">
        <w:rPr>
          <w:rFonts w:ascii="Arial" w:hAnsi="Arial" w:cs="Arial"/>
        </w:rPr>
        <w:t>with a metal scalpel to remove c</w:t>
      </w:r>
      <w:r w:rsidR="009F02BE">
        <w:rPr>
          <w:rFonts w:ascii="Arial" w:hAnsi="Arial" w:cs="Arial"/>
        </w:rPr>
        <w:t>ut surfaces and placed directly in pre-cleaned a</w:t>
      </w:r>
      <w:r w:rsidR="003F3499">
        <w:rPr>
          <w:rFonts w:ascii="Arial" w:hAnsi="Arial" w:cs="Arial"/>
        </w:rPr>
        <w:t>mber glass vials with PTFE lined</w:t>
      </w:r>
      <w:r w:rsidR="009F02BE">
        <w:rPr>
          <w:rFonts w:ascii="Arial" w:hAnsi="Arial" w:cs="Arial"/>
        </w:rPr>
        <w:t xml:space="preserve"> caps. </w:t>
      </w:r>
      <w:r w:rsidR="00FD73EB">
        <w:rPr>
          <w:rFonts w:ascii="Arial" w:hAnsi="Arial" w:cs="Arial"/>
        </w:rPr>
        <w:t>Samples were stored at -25</w:t>
      </w:r>
      <w:r w:rsidR="00FD73EB">
        <w:rPr>
          <w:rFonts w:ascii="Arial" w:hAnsi="Arial" w:cs="Arial"/>
          <w:vertAlign w:val="superscript"/>
        </w:rPr>
        <w:t>o</w:t>
      </w:r>
      <w:r w:rsidR="00FD73EB">
        <w:rPr>
          <w:rFonts w:ascii="Arial" w:hAnsi="Arial" w:cs="Arial"/>
        </w:rPr>
        <w:t>C before melting</w:t>
      </w:r>
      <w:r w:rsidR="009F02BE">
        <w:rPr>
          <w:rFonts w:ascii="Arial" w:hAnsi="Arial" w:cs="Arial"/>
        </w:rPr>
        <w:t xml:space="preserve"> in sealed vials inside a class 100 clean room, at approximately 16</w:t>
      </w:r>
      <w:r w:rsidR="009F02BE">
        <w:rPr>
          <w:rFonts w:ascii="Arial" w:hAnsi="Arial" w:cs="Arial"/>
          <w:vertAlign w:val="superscript"/>
        </w:rPr>
        <w:t>o</w:t>
      </w:r>
      <w:r w:rsidR="009F02BE">
        <w:rPr>
          <w:rFonts w:ascii="Arial" w:hAnsi="Arial" w:cs="Arial"/>
        </w:rPr>
        <w:t>C</w:t>
      </w:r>
      <w:r w:rsidR="00590DC3">
        <w:rPr>
          <w:rFonts w:ascii="Arial" w:hAnsi="Arial" w:cs="Arial"/>
        </w:rPr>
        <w:t>. Each sample represented 10</w:t>
      </w:r>
      <w:r w:rsidR="00AB7732">
        <w:rPr>
          <w:rFonts w:ascii="Arial" w:hAnsi="Arial" w:cs="Arial"/>
        </w:rPr>
        <w:t xml:space="preserve"> </w:t>
      </w:r>
      <w:r w:rsidR="00590DC3">
        <w:rPr>
          <w:rFonts w:ascii="Arial" w:hAnsi="Arial" w:cs="Arial"/>
        </w:rPr>
        <w:t>cm ice core resolution, equivalent to sub-annual resolution. 1</w:t>
      </w:r>
      <w:r w:rsidR="006F31C1">
        <w:rPr>
          <w:rFonts w:ascii="Arial" w:hAnsi="Arial" w:cs="Arial"/>
        </w:rPr>
        <w:t xml:space="preserve"> </w:t>
      </w:r>
      <w:r w:rsidR="00590DC3">
        <w:rPr>
          <w:rFonts w:ascii="Arial" w:hAnsi="Arial" w:cs="Arial"/>
        </w:rPr>
        <w:t>mL of the well</w:t>
      </w:r>
      <w:r w:rsidR="00293337">
        <w:rPr>
          <w:rFonts w:ascii="Arial" w:hAnsi="Arial" w:cs="Arial"/>
        </w:rPr>
        <w:t>-</w:t>
      </w:r>
      <w:r w:rsidR="00590DC3">
        <w:rPr>
          <w:rFonts w:ascii="Arial" w:hAnsi="Arial" w:cs="Arial"/>
        </w:rPr>
        <w:t>mixed sample was transferred to a glass LC-MS vial and spiked w</w:t>
      </w:r>
      <w:r w:rsidR="00AF58EB">
        <w:rPr>
          <w:rFonts w:ascii="Arial" w:hAnsi="Arial" w:cs="Arial"/>
        </w:rPr>
        <w:t>ith 10</w:t>
      </w:r>
      <w:r w:rsidR="00E0743B">
        <w:rPr>
          <w:rFonts w:ascii="Arial" w:hAnsi="Arial" w:cs="Arial"/>
        </w:rPr>
        <w:t xml:space="preserve"> </w:t>
      </w:r>
      <w:r w:rsidR="00AF58EB">
        <w:rPr>
          <w:rFonts w:ascii="Arial" w:hAnsi="Arial" w:cs="Arial"/>
        </w:rPr>
        <w:t>ppb deuterated standards for immediate analysis.</w:t>
      </w:r>
    </w:p>
    <w:p w14:paraId="6F1C5A0F" w14:textId="77777777" w:rsidR="007F6C46" w:rsidRPr="003A5F09" w:rsidRDefault="007F6C46" w:rsidP="007F6C46">
      <w:pPr>
        <w:pStyle w:val="Heading1"/>
        <w:numPr>
          <w:ilvl w:val="0"/>
          <w:numId w:val="1"/>
        </w:numPr>
        <w:spacing w:line="360" w:lineRule="auto"/>
        <w:rPr>
          <w:rFonts w:ascii="Arial" w:hAnsi="Arial" w:cs="Arial"/>
          <w:color w:val="000000" w:themeColor="text1"/>
          <w:sz w:val="22"/>
          <w:szCs w:val="22"/>
        </w:rPr>
      </w:pPr>
      <w:r w:rsidRPr="003A5F09">
        <w:rPr>
          <w:rFonts w:ascii="Arial" w:hAnsi="Arial" w:cs="Arial"/>
          <w:color w:val="000000" w:themeColor="text1"/>
          <w:sz w:val="22"/>
          <w:szCs w:val="22"/>
        </w:rPr>
        <w:t>Results and discussion</w:t>
      </w:r>
    </w:p>
    <w:p w14:paraId="2DB7DFBF" w14:textId="77777777" w:rsidR="007F6C46" w:rsidRPr="003A5F09" w:rsidRDefault="007F6C46" w:rsidP="003A5F09">
      <w:pPr>
        <w:pStyle w:val="Heading1"/>
        <w:numPr>
          <w:ilvl w:val="1"/>
          <w:numId w:val="1"/>
        </w:numPr>
        <w:spacing w:line="360" w:lineRule="auto"/>
        <w:jc w:val="both"/>
        <w:rPr>
          <w:rFonts w:ascii="Arial" w:hAnsi="Arial" w:cs="Arial"/>
          <w:color w:val="000000" w:themeColor="text1"/>
          <w:sz w:val="22"/>
          <w:szCs w:val="22"/>
        </w:rPr>
      </w:pPr>
      <w:r w:rsidRPr="003A5F09">
        <w:rPr>
          <w:rFonts w:ascii="Arial" w:hAnsi="Arial" w:cs="Arial"/>
          <w:color w:val="000000" w:themeColor="text1"/>
          <w:sz w:val="22"/>
          <w:szCs w:val="22"/>
        </w:rPr>
        <w:t>Methodological optimisation</w:t>
      </w:r>
    </w:p>
    <w:p w14:paraId="020F6441" w14:textId="0CEA3E24" w:rsidR="00932492" w:rsidRDefault="00932492" w:rsidP="003A5F09">
      <w:pPr>
        <w:spacing w:line="360" w:lineRule="auto"/>
        <w:jc w:val="both"/>
        <w:rPr>
          <w:rFonts w:ascii="Arial" w:hAnsi="Arial" w:cs="Arial"/>
        </w:rPr>
      </w:pPr>
      <w:r>
        <w:rPr>
          <w:rFonts w:ascii="Arial" w:hAnsi="Arial" w:cs="Arial"/>
        </w:rPr>
        <w:t xml:space="preserve">While </w:t>
      </w:r>
      <w:r w:rsidR="003E770D">
        <w:rPr>
          <w:rFonts w:ascii="Arial" w:hAnsi="Arial" w:cs="Arial"/>
        </w:rPr>
        <w:t>the HPLC-MS method was optimised in our previous study</w:t>
      </w:r>
      <w:r w:rsidRPr="00E855B0">
        <w:rPr>
          <w:rFonts w:ascii="Arial" w:hAnsi="Arial" w:cs="Arial"/>
        </w:rPr>
        <w:t xml:space="preserve"> </w:t>
      </w:r>
      <w:r w:rsidR="003E770D">
        <w:rPr>
          <w:rFonts w:ascii="Arial" w:hAnsi="Arial" w:cs="Arial"/>
        </w:rPr>
        <w:t>(</w:t>
      </w:r>
      <w:r w:rsidR="00E855B0" w:rsidRPr="006E43C7">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sidRPr="006E43C7">
        <w:rPr>
          <w:rFonts w:ascii="Arial" w:hAnsi="Arial" w:cs="Arial"/>
        </w:rPr>
        <w:fldChar w:fldCharType="separate"/>
      </w:r>
      <w:r w:rsidR="002B34DF" w:rsidRPr="002B34DF">
        <w:rPr>
          <w:rFonts w:ascii="Arial" w:hAnsi="Arial" w:cs="Arial"/>
          <w:noProof/>
          <w:vertAlign w:val="superscript"/>
        </w:rPr>
        <w:t>5</w:t>
      </w:r>
      <w:r w:rsidR="00E855B0" w:rsidRPr="006E43C7">
        <w:rPr>
          <w:rFonts w:ascii="Arial" w:hAnsi="Arial" w:cs="Arial"/>
        </w:rPr>
        <w:fldChar w:fldCharType="end"/>
      </w:r>
      <w:r w:rsidR="003E770D">
        <w:rPr>
          <w:rFonts w:ascii="Arial" w:hAnsi="Arial" w:cs="Arial"/>
        </w:rPr>
        <w:t>)</w:t>
      </w:r>
      <w:r w:rsidRPr="00E855B0">
        <w:rPr>
          <w:rFonts w:ascii="Arial" w:hAnsi="Arial" w:cs="Arial"/>
        </w:rPr>
        <w:t xml:space="preserve">, some parameters were re-tested </w:t>
      </w:r>
      <w:r w:rsidR="000174F3" w:rsidRPr="00E855B0">
        <w:rPr>
          <w:rFonts w:ascii="Arial" w:hAnsi="Arial" w:cs="Arial"/>
        </w:rPr>
        <w:t>to ensure the methodology was appropriate</w:t>
      </w:r>
      <w:r w:rsidR="000174F3">
        <w:rPr>
          <w:rFonts w:ascii="Arial" w:hAnsi="Arial" w:cs="Arial"/>
        </w:rPr>
        <w:t xml:space="preserve"> </w:t>
      </w:r>
      <w:r w:rsidR="0090659D">
        <w:rPr>
          <w:rFonts w:ascii="Arial" w:hAnsi="Arial" w:cs="Arial"/>
        </w:rPr>
        <w:t>for</w:t>
      </w:r>
      <w:r>
        <w:rPr>
          <w:rFonts w:ascii="Arial" w:hAnsi="Arial" w:cs="Arial"/>
        </w:rPr>
        <w:t xml:space="preserve"> th</w:t>
      </w:r>
      <w:r w:rsidR="00D21B3D">
        <w:rPr>
          <w:rFonts w:ascii="Arial" w:hAnsi="Arial" w:cs="Arial"/>
        </w:rPr>
        <w:t>e</w:t>
      </w:r>
      <w:r w:rsidR="000174F3">
        <w:rPr>
          <w:rFonts w:ascii="Arial" w:hAnsi="Arial" w:cs="Arial"/>
        </w:rPr>
        <w:t xml:space="preserve"> new</w:t>
      </w:r>
      <w:r w:rsidR="00266441">
        <w:rPr>
          <w:rFonts w:ascii="Arial" w:hAnsi="Arial" w:cs="Arial"/>
        </w:rPr>
        <w:t xml:space="preserve"> instrument (i.e. the Q Exactive</w:t>
      </w:r>
      <w:r w:rsidR="00266441">
        <w:rPr>
          <w:rFonts w:ascii="Arial" w:hAnsi="Arial" w:cs="Arial"/>
          <w:vertAlign w:val="superscript"/>
        </w:rPr>
        <w:t>TM</w:t>
      </w:r>
      <w:r w:rsidR="00266441">
        <w:rPr>
          <w:rFonts w:ascii="Arial" w:hAnsi="Arial" w:cs="Arial"/>
        </w:rPr>
        <w:t xml:space="preserve"> Orbitrap MS)</w:t>
      </w:r>
      <w:r>
        <w:rPr>
          <w:rFonts w:ascii="Arial" w:hAnsi="Arial" w:cs="Arial"/>
        </w:rPr>
        <w:t>. This particularly included steps in reducing background contamination, which can be different fo</w:t>
      </w:r>
      <w:r w:rsidR="0090659D">
        <w:rPr>
          <w:rFonts w:ascii="Arial" w:hAnsi="Arial" w:cs="Arial"/>
        </w:rPr>
        <w:t>r individual compounds depending</w:t>
      </w:r>
      <w:r>
        <w:rPr>
          <w:rFonts w:ascii="Arial" w:hAnsi="Arial" w:cs="Arial"/>
        </w:rPr>
        <w:t xml:space="preserve"> on the instrument and </w:t>
      </w:r>
      <w:r w:rsidR="00263F0C">
        <w:rPr>
          <w:rFonts w:ascii="Arial" w:hAnsi="Arial" w:cs="Arial"/>
        </w:rPr>
        <w:t xml:space="preserve">lab </w:t>
      </w:r>
      <w:r>
        <w:rPr>
          <w:rFonts w:ascii="Arial" w:hAnsi="Arial" w:cs="Arial"/>
        </w:rPr>
        <w:t>environment being used.</w:t>
      </w:r>
    </w:p>
    <w:p w14:paraId="2385B821" w14:textId="506FAC63" w:rsidR="00932492" w:rsidRDefault="00932492" w:rsidP="003A5F09">
      <w:pPr>
        <w:spacing w:line="360" w:lineRule="auto"/>
        <w:jc w:val="both"/>
        <w:rPr>
          <w:rFonts w:ascii="Arial" w:hAnsi="Arial" w:cs="Arial"/>
        </w:rPr>
      </w:pPr>
      <w:r>
        <w:rPr>
          <w:rFonts w:ascii="Arial" w:hAnsi="Arial" w:cs="Arial"/>
        </w:rPr>
        <w:t>The repeated test</w:t>
      </w:r>
      <w:r w:rsidR="00BC0205">
        <w:rPr>
          <w:rFonts w:ascii="Arial" w:hAnsi="Arial" w:cs="Arial"/>
        </w:rPr>
        <w:t>s were:</w:t>
      </w:r>
      <w:r>
        <w:rPr>
          <w:rFonts w:ascii="Arial" w:hAnsi="Arial" w:cs="Arial"/>
        </w:rPr>
        <w:t xml:space="preserve"> testing of non-ozonated and ozonated solvents, </w:t>
      </w:r>
      <w:r w:rsidR="00263F0C">
        <w:rPr>
          <w:rFonts w:ascii="Arial" w:hAnsi="Arial" w:cs="Arial"/>
        </w:rPr>
        <w:t xml:space="preserve">testing of the inclusion of a post-column injection, </w:t>
      </w:r>
      <w:r w:rsidR="00966DA5">
        <w:rPr>
          <w:rFonts w:ascii="Arial" w:hAnsi="Arial" w:cs="Arial"/>
        </w:rPr>
        <w:t xml:space="preserve">and </w:t>
      </w:r>
      <w:r w:rsidR="00263F0C">
        <w:rPr>
          <w:rFonts w:ascii="Arial" w:hAnsi="Arial" w:cs="Arial"/>
        </w:rPr>
        <w:t>the application of MS-MS analysis to ensure correct identification of peaks in the mass spectra.</w:t>
      </w:r>
    </w:p>
    <w:p w14:paraId="19279632" w14:textId="407348C1" w:rsidR="00231EF9" w:rsidRDefault="00231EF9" w:rsidP="003A5F09">
      <w:pPr>
        <w:spacing w:line="360" w:lineRule="auto"/>
        <w:jc w:val="both"/>
        <w:rPr>
          <w:rFonts w:ascii="Arial" w:hAnsi="Arial" w:cs="Arial"/>
        </w:rPr>
      </w:pPr>
      <w:r>
        <w:rPr>
          <w:rFonts w:ascii="Arial" w:hAnsi="Arial" w:cs="Arial"/>
        </w:rPr>
        <w:t>On average, the application of a post column injection</w:t>
      </w:r>
      <w:r w:rsidR="0090659D">
        <w:rPr>
          <w:rFonts w:ascii="Arial" w:hAnsi="Arial" w:cs="Arial"/>
        </w:rPr>
        <w:t xml:space="preserve"> of 5</w:t>
      </w:r>
      <w:r w:rsidR="00016003">
        <w:rPr>
          <w:rFonts w:ascii="Arial" w:hAnsi="Arial" w:cs="Arial"/>
        </w:rPr>
        <w:t xml:space="preserve"> </w:t>
      </w:r>
      <w:r w:rsidR="0090659D">
        <w:rPr>
          <w:rFonts w:ascii="Arial" w:hAnsi="Arial" w:cs="Arial"/>
        </w:rPr>
        <w:t>mM NH</w:t>
      </w:r>
      <w:r w:rsidR="0090659D">
        <w:rPr>
          <w:rFonts w:ascii="Arial" w:hAnsi="Arial" w:cs="Arial"/>
          <w:vertAlign w:val="subscript"/>
        </w:rPr>
        <w:t>4</w:t>
      </w:r>
      <w:r w:rsidR="0090659D">
        <w:rPr>
          <w:rFonts w:ascii="Arial" w:hAnsi="Arial" w:cs="Arial"/>
        </w:rPr>
        <w:t>OH in methanol</w:t>
      </w:r>
      <w:r>
        <w:rPr>
          <w:rFonts w:ascii="Arial" w:hAnsi="Arial" w:cs="Arial"/>
        </w:rPr>
        <w:t xml:space="preserve"> </w:t>
      </w:r>
      <w:r w:rsidR="00F61326">
        <w:rPr>
          <w:rFonts w:ascii="Arial" w:hAnsi="Arial" w:cs="Arial"/>
        </w:rPr>
        <w:t xml:space="preserve">increased peak areas by 1.5 to 2 times </w:t>
      </w:r>
      <w:r w:rsidR="00053124">
        <w:rPr>
          <w:rFonts w:ascii="Arial" w:hAnsi="Arial" w:cs="Arial"/>
        </w:rPr>
        <w:t xml:space="preserve">compared to </w:t>
      </w:r>
      <w:r w:rsidR="00F61326">
        <w:rPr>
          <w:rFonts w:ascii="Arial" w:hAnsi="Arial" w:cs="Arial"/>
        </w:rPr>
        <w:t xml:space="preserve">peak areas without a post-column injection. The use of ozonated solvents was again shown to be effective at reducing background contamination of unsaturated fatty acids which break down during ozonolysis; </w:t>
      </w:r>
      <w:r w:rsidR="004156B6">
        <w:rPr>
          <w:rFonts w:ascii="Arial" w:hAnsi="Arial" w:cs="Arial"/>
        </w:rPr>
        <w:t>in non-</w:t>
      </w:r>
      <w:r w:rsidR="00F61326">
        <w:rPr>
          <w:rFonts w:ascii="Arial" w:hAnsi="Arial" w:cs="Arial"/>
        </w:rPr>
        <w:t xml:space="preserve">ozonated solvents these compounds were </w:t>
      </w:r>
      <w:r w:rsidR="004156B6">
        <w:rPr>
          <w:rFonts w:ascii="Arial" w:hAnsi="Arial" w:cs="Arial"/>
        </w:rPr>
        <w:t>present at</w:t>
      </w:r>
      <w:r w:rsidR="00F61326">
        <w:rPr>
          <w:rFonts w:ascii="Arial" w:hAnsi="Arial" w:cs="Arial"/>
        </w:rPr>
        <w:t xml:space="preserve"> contamination </w:t>
      </w:r>
      <w:r w:rsidR="004156B6">
        <w:rPr>
          <w:rFonts w:ascii="Arial" w:hAnsi="Arial" w:cs="Arial"/>
        </w:rPr>
        <w:t>levels of ≥</w:t>
      </w:r>
      <w:r w:rsidR="00F61326">
        <w:rPr>
          <w:rFonts w:ascii="Arial" w:hAnsi="Arial" w:cs="Arial"/>
        </w:rPr>
        <w:t>10</w:t>
      </w:r>
      <w:r w:rsidR="00414776">
        <w:rPr>
          <w:rFonts w:ascii="Arial" w:hAnsi="Arial" w:cs="Arial"/>
        </w:rPr>
        <w:t xml:space="preserve"> </w:t>
      </w:r>
      <w:r w:rsidR="00F61326">
        <w:rPr>
          <w:rFonts w:ascii="Arial" w:hAnsi="Arial" w:cs="Arial"/>
        </w:rPr>
        <w:t>ppb, wh</w:t>
      </w:r>
      <w:r w:rsidR="003F3499">
        <w:rPr>
          <w:rFonts w:ascii="Arial" w:hAnsi="Arial" w:cs="Arial"/>
        </w:rPr>
        <w:t>ile</w:t>
      </w:r>
      <w:r w:rsidR="00F61326">
        <w:rPr>
          <w:rFonts w:ascii="Arial" w:hAnsi="Arial" w:cs="Arial"/>
        </w:rPr>
        <w:t xml:space="preserve"> ozonated solvents allowed </w:t>
      </w:r>
      <w:r w:rsidR="00C63CBB">
        <w:rPr>
          <w:rFonts w:ascii="Arial" w:hAnsi="Arial" w:cs="Arial"/>
        </w:rPr>
        <w:t xml:space="preserve">detection </w:t>
      </w:r>
      <w:r w:rsidR="00F61326">
        <w:rPr>
          <w:rFonts w:ascii="Arial" w:hAnsi="Arial" w:cs="Arial"/>
        </w:rPr>
        <w:t>at as low as 10</w:t>
      </w:r>
      <w:r w:rsidR="00414776">
        <w:rPr>
          <w:rFonts w:ascii="Arial" w:hAnsi="Arial" w:cs="Arial"/>
        </w:rPr>
        <w:t xml:space="preserve"> </w:t>
      </w:r>
      <w:r w:rsidR="00F61326">
        <w:rPr>
          <w:rFonts w:ascii="Arial" w:hAnsi="Arial" w:cs="Arial"/>
        </w:rPr>
        <w:t>ppt.</w:t>
      </w:r>
    </w:p>
    <w:p w14:paraId="5BF58B67" w14:textId="6132FE08" w:rsidR="00263F0C" w:rsidRDefault="008C4241" w:rsidP="003A5F09">
      <w:pPr>
        <w:spacing w:line="360" w:lineRule="auto"/>
        <w:jc w:val="both"/>
        <w:rPr>
          <w:rFonts w:ascii="Arial" w:hAnsi="Arial" w:cs="Arial"/>
        </w:rPr>
      </w:pPr>
      <w:r>
        <w:rPr>
          <w:rFonts w:ascii="Arial" w:hAnsi="Arial" w:cs="Arial"/>
        </w:rPr>
        <w:t>Instrumental</w:t>
      </w:r>
      <w:r w:rsidR="00644D29">
        <w:rPr>
          <w:rFonts w:ascii="Arial" w:hAnsi="Arial" w:cs="Arial"/>
        </w:rPr>
        <w:t xml:space="preserve"> analysis showed </w:t>
      </w:r>
      <w:r>
        <w:rPr>
          <w:rFonts w:ascii="Arial" w:hAnsi="Arial" w:cs="Arial"/>
        </w:rPr>
        <w:t xml:space="preserve">that </w:t>
      </w:r>
      <w:r w:rsidR="00644D29">
        <w:rPr>
          <w:rFonts w:ascii="Arial" w:hAnsi="Arial" w:cs="Arial"/>
        </w:rPr>
        <w:t xml:space="preserve">the retention time of some compounds shifted when comparing </w:t>
      </w:r>
      <w:r w:rsidR="00DB550C">
        <w:rPr>
          <w:rFonts w:ascii="Arial" w:hAnsi="Arial" w:cs="Arial"/>
        </w:rPr>
        <w:t>preconcentration</w:t>
      </w:r>
      <w:r w:rsidR="00644D29">
        <w:rPr>
          <w:rFonts w:ascii="Arial" w:hAnsi="Arial" w:cs="Arial"/>
        </w:rPr>
        <w:t xml:space="preserve">/direct injection </w:t>
      </w:r>
      <w:r w:rsidR="00DB550C">
        <w:rPr>
          <w:rFonts w:ascii="Arial" w:hAnsi="Arial" w:cs="Arial"/>
        </w:rPr>
        <w:t>analysis</w:t>
      </w:r>
      <w:r w:rsidR="00644D29">
        <w:rPr>
          <w:rFonts w:ascii="Arial" w:hAnsi="Arial" w:cs="Arial"/>
        </w:rPr>
        <w:t xml:space="preserve">. This is because the </w:t>
      </w:r>
      <w:r w:rsidR="004701BF">
        <w:rPr>
          <w:rFonts w:ascii="Arial" w:hAnsi="Arial" w:cs="Arial"/>
        </w:rPr>
        <w:t xml:space="preserve">solvent </w:t>
      </w:r>
      <w:r w:rsidR="00644D29">
        <w:rPr>
          <w:rFonts w:ascii="Arial" w:hAnsi="Arial" w:cs="Arial"/>
        </w:rPr>
        <w:t xml:space="preserve">of the final sample </w:t>
      </w:r>
      <w:r w:rsidR="00DB550C">
        <w:rPr>
          <w:rFonts w:ascii="Arial" w:hAnsi="Arial" w:cs="Arial"/>
        </w:rPr>
        <w:t xml:space="preserve">(and standard solutions) </w:t>
      </w:r>
      <w:r w:rsidR="00644D29">
        <w:rPr>
          <w:rFonts w:ascii="Arial" w:hAnsi="Arial" w:cs="Arial"/>
        </w:rPr>
        <w:t xml:space="preserve">is different in the two cases; in the preconcentrated samples the </w:t>
      </w:r>
      <w:r w:rsidR="008E70BC">
        <w:rPr>
          <w:rFonts w:ascii="Arial" w:hAnsi="Arial" w:cs="Arial"/>
        </w:rPr>
        <w:t xml:space="preserve">solvent </w:t>
      </w:r>
      <w:r w:rsidR="00644D29">
        <w:rPr>
          <w:rFonts w:ascii="Arial" w:hAnsi="Arial" w:cs="Arial"/>
        </w:rPr>
        <w:t xml:space="preserve">is methanol, used to </w:t>
      </w:r>
      <w:r w:rsidR="004701BF">
        <w:rPr>
          <w:rFonts w:ascii="Arial" w:hAnsi="Arial" w:cs="Arial"/>
        </w:rPr>
        <w:t xml:space="preserve">re-dissolve </w:t>
      </w:r>
      <w:r w:rsidR="00644D29">
        <w:rPr>
          <w:rFonts w:ascii="Arial" w:hAnsi="Arial" w:cs="Arial"/>
        </w:rPr>
        <w:t xml:space="preserve">the compounds from the rotary evaporation vial. In direct injection, the </w:t>
      </w:r>
      <w:r w:rsidR="004701BF">
        <w:rPr>
          <w:rFonts w:ascii="Arial" w:hAnsi="Arial" w:cs="Arial"/>
        </w:rPr>
        <w:t xml:space="preserve">solvent </w:t>
      </w:r>
      <w:r w:rsidR="00644D29">
        <w:rPr>
          <w:rFonts w:ascii="Arial" w:hAnsi="Arial" w:cs="Arial"/>
        </w:rPr>
        <w:t>is the snow melt water of the sample</w:t>
      </w:r>
      <w:r w:rsidR="00304AA3">
        <w:rPr>
          <w:rFonts w:ascii="Arial" w:hAnsi="Arial" w:cs="Arial"/>
        </w:rPr>
        <w:t xml:space="preserve"> or LC-MS water for the standard solutions</w:t>
      </w:r>
      <w:r w:rsidR="00644D29">
        <w:rPr>
          <w:rFonts w:ascii="Arial" w:hAnsi="Arial" w:cs="Arial"/>
        </w:rPr>
        <w:t>. The retention times</w:t>
      </w:r>
      <w:r w:rsidR="00EC4977">
        <w:rPr>
          <w:rFonts w:ascii="Arial" w:hAnsi="Arial" w:cs="Arial"/>
        </w:rPr>
        <w:t xml:space="preserve"> </w:t>
      </w:r>
      <w:r w:rsidR="00266441">
        <w:rPr>
          <w:rFonts w:ascii="Arial" w:hAnsi="Arial" w:cs="Arial"/>
        </w:rPr>
        <w:t xml:space="preserve">for the direct injection, aqueous sample </w:t>
      </w:r>
      <w:r w:rsidR="00644D29">
        <w:rPr>
          <w:rFonts w:ascii="Arial" w:hAnsi="Arial" w:cs="Arial"/>
        </w:rPr>
        <w:t>are presented in Table 2</w:t>
      </w:r>
      <w:r w:rsidR="00EC4977">
        <w:rPr>
          <w:rFonts w:ascii="Arial" w:hAnsi="Arial" w:cs="Arial"/>
        </w:rPr>
        <w:t xml:space="preserve">. </w:t>
      </w:r>
      <w:r w:rsidR="009471C0" w:rsidRPr="00E855B0">
        <w:rPr>
          <w:rFonts w:ascii="Arial" w:hAnsi="Arial" w:cs="Arial"/>
        </w:rPr>
        <w:t>In general, the retention times of SOA compounds are slightly shorter</w:t>
      </w:r>
      <w:r w:rsidR="009471C0" w:rsidRPr="009471C0">
        <w:rPr>
          <w:rFonts w:ascii="Arial" w:hAnsi="Arial" w:cs="Arial"/>
        </w:rPr>
        <w:t xml:space="preserve"> while retention times of fatty acids are longer </w:t>
      </w:r>
      <w:r w:rsidR="00745D92">
        <w:rPr>
          <w:rFonts w:ascii="Arial" w:hAnsi="Arial" w:cs="Arial"/>
        </w:rPr>
        <w:t xml:space="preserve">for </w:t>
      </w:r>
      <w:r w:rsidR="00304AA3">
        <w:rPr>
          <w:rFonts w:ascii="Arial" w:hAnsi="Arial" w:cs="Arial"/>
        </w:rPr>
        <w:t xml:space="preserve">samples and </w:t>
      </w:r>
      <w:r w:rsidR="00745D92">
        <w:rPr>
          <w:rFonts w:ascii="Arial" w:hAnsi="Arial" w:cs="Arial"/>
        </w:rPr>
        <w:t xml:space="preserve">standard solutions in water compared with methanol </w:t>
      </w:r>
      <w:r w:rsidR="00745D92" w:rsidRPr="00F25E53">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745D92" w:rsidRPr="00F25E53">
        <w:rPr>
          <w:rFonts w:ascii="Arial" w:hAnsi="Arial" w:cs="Arial"/>
        </w:rPr>
        <w:fldChar w:fldCharType="separate"/>
      </w:r>
      <w:r w:rsidR="002B34DF" w:rsidRPr="002B34DF">
        <w:rPr>
          <w:rFonts w:ascii="Arial" w:hAnsi="Arial" w:cs="Arial"/>
          <w:noProof/>
          <w:vertAlign w:val="superscript"/>
        </w:rPr>
        <w:t>5</w:t>
      </w:r>
      <w:r w:rsidR="00745D92" w:rsidRPr="00F25E53">
        <w:rPr>
          <w:rFonts w:ascii="Arial" w:hAnsi="Arial" w:cs="Arial"/>
        </w:rPr>
        <w:fldChar w:fldCharType="end"/>
      </w:r>
      <w:r w:rsidR="009471C0" w:rsidRPr="009471C0">
        <w:rPr>
          <w:rFonts w:ascii="Arial" w:hAnsi="Arial" w:cs="Arial"/>
        </w:rPr>
        <w:t>.</w:t>
      </w:r>
    </w:p>
    <w:p w14:paraId="0CF5E93A" w14:textId="77777777" w:rsidR="003A5F09" w:rsidRDefault="003A5F09" w:rsidP="00117965">
      <w:pPr>
        <w:pStyle w:val="Heading1"/>
        <w:numPr>
          <w:ilvl w:val="1"/>
          <w:numId w:val="1"/>
        </w:numPr>
        <w:spacing w:line="360" w:lineRule="auto"/>
        <w:jc w:val="both"/>
        <w:rPr>
          <w:rFonts w:ascii="Arial" w:hAnsi="Arial" w:cs="Arial"/>
          <w:color w:val="000000" w:themeColor="text1"/>
          <w:sz w:val="22"/>
          <w:szCs w:val="22"/>
        </w:rPr>
      </w:pPr>
      <w:r w:rsidRPr="003A5F09">
        <w:rPr>
          <w:rFonts w:ascii="Arial" w:hAnsi="Arial" w:cs="Arial"/>
          <w:color w:val="000000" w:themeColor="text1"/>
          <w:sz w:val="22"/>
          <w:szCs w:val="22"/>
        </w:rPr>
        <w:t>Methodological validation</w:t>
      </w:r>
    </w:p>
    <w:p w14:paraId="51010679" w14:textId="3FC1C7F1" w:rsidR="00D93BBE" w:rsidRDefault="00D93BBE" w:rsidP="00576EE6">
      <w:pPr>
        <w:spacing w:line="360" w:lineRule="auto"/>
        <w:jc w:val="both"/>
        <w:rPr>
          <w:rFonts w:ascii="Arial" w:hAnsi="Arial" w:cs="Arial"/>
        </w:rPr>
      </w:pPr>
      <w:r w:rsidRPr="00D93BBE">
        <w:rPr>
          <w:rFonts w:ascii="Arial" w:hAnsi="Arial" w:cs="Arial"/>
        </w:rPr>
        <w:t>Instrumental LODs were</w:t>
      </w:r>
      <w:r>
        <w:rPr>
          <w:rFonts w:ascii="Arial" w:hAnsi="Arial" w:cs="Arial"/>
        </w:rPr>
        <w:t xml:space="preserve"> evaluated on standard solutions prepared in water to matc</w:t>
      </w:r>
      <w:r w:rsidR="00266441">
        <w:rPr>
          <w:rFonts w:ascii="Arial" w:hAnsi="Arial" w:cs="Arial"/>
        </w:rPr>
        <w:t>h the matrix of the ice samples.</w:t>
      </w:r>
      <w:r>
        <w:rPr>
          <w:rFonts w:ascii="Arial" w:hAnsi="Arial" w:cs="Arial"/>
        </w:rPr>
        <w:t xml:space="preserve"> Calculation used</w:t>
      </w:r>
      <w:r w:rsidRPr="00D93BBE">
        <w:rPr>
          <w:rFonts w:ascii="Arial" w:hAnsi="Arial" w:cs="Arial"/>
        </w:rPr>
        <w:t xml:space="preserve"> the Hubaux-Vos method, following IUPAC recommendations</w:t>
      </w:r>
      <w:r w:rsidR="00AF1813">
        <w:rPr>
          <w:rFonts w:ascii="Arial" w:hAnsi="Arial" w:cs="Arial"/>
        </w:rPr>
        <w:t xml:space="preserve"> </w:t>
      </w:r>
      <w:r w:rsidR="00AF1813">
        <w:rPr>
          <w:rFonts w:ascii="Arial" w:hAnsi="Arial" w:cs="Arial"/>
        </w:rPr>
        <w:fldChar w:fldCharType="begin" w:fldLock="1"/>
      </w:r>
      <w:r w:rsidR="009C6FFE">
        <w:rPr>
          <w:rFonts w:ascii="Arial" w:hAnsi="Arial" w:cs="Arial"/>
        </w:rPr>
        <w:instrText>ADDIN CSL_CITATION {"citationItems":[{"id":"ITEM-1","itemData":{"DOI":"10.1021/ac60290a013","ISBN":"0003-2700","ISSN":"15206882","PMID":"221","abstract":"For linear calibration curves, two kinds of lower limits may be connected to the notion of confidence limits- a decision limit, the lowest signal that can be distin- guished from the background and a detection limit, the content under which, a priori, any sample may erroneously be taken for the blank. From a few algebraical and computational developments, several practical rules are deduced to lower these limits. The influence of the precision of the analytical method, the number of standards, the range of their contents, the various modes of their repartition, and the rep- lication of measurements on the unknown sample are studied from a statistical point of view.","author":[{"dropping-particle":"","family":"Hubaux","given":"André","non-dropping-particle":"","parse-names":false,"suffix":""},{"dropping-particle":"","family":"Vos","given":"Gilbert","non-dropping-particle":"","parse-names":false,"suffix":""}],"container-title":"Analytical Chemistry","id":"ITEM-1","issue":"8","issued":{"date-parts":[["1970"]]},"page":"849-855","title":"Decision and Detection Limits for Linear Calibration Curves","type":"article-journal","volume":"42"},"uris":["http://www.mendeley.com/documents/?uuid=df3f7b05-f94a-4519-b1be-19ae39c3b7cf"]},{"id":"ITEM-2","itemData":{"DOI":"10.1016/S0003-2670(99)00104-X","ISBN":"0033-4545","ISSN":"00032670","abstract":"Republication of this report is permitted without the need for formal IUPAC permission on condition that an acknowledgement, with full reference together with IUPAC copyright symbol (0 1995 IUPAC), is printed.","author":[{"dropping-particle":"","family":"Currie","given":"Lloyd A","non-dropping-particle":"","parse-names":false,"suffix":""}],"container-title":"International Union of Pure and Applied Chemistry","id":"ITEM-2","issue":"10","issued":{"date-parts":[["1995"]]},"page":"1699-1723","title":"Nomenclature in Evaluation of Analytical Methods Including Detection and Quantification Capabilities","type":"article-journal","volume":"67"},"uris":["http://www.mendeley.com/documents/?uuid=cd36933b-6655-4ba4-86a7-4a0eb041867b"]}],"mendeley":{"formattedCitation":"&lt;sup&gt;9,10&lt;/sup&gt;","plainTextFormattedCitation":"9,10","previouslyFormattedCitation":"&lt;sup&gt;9,10&lt;/sup&gt;"},"properties":{"noteIndex":0},"schema":"https://github.com/citation-style-language/schema/raw/master/csl-citation.json"}</w:instrText>
      </w:r>
      <w:r w:rsidR="00AF1813">
        <w:rPr>
          <w:rFonts w:ascii="Arial" w:hAnsi="Arial" w:cs="Arial"/>
        </w:rPr>
        <w:fldChar w:fldCharType="separate"/>
      </w:r>
      <w:r w:rsidR="002B34DF" w:rsidRPr="002B34DF">
        <w:rPr>
          <w:rFonts w:ascii="Arial" w:hAnsi="Arial" w:cs="Arial"/>
          <w:noProof/>
          <w:vertAlign w:val="superscript"/>
        </w:rPr>
        <w:t>9,10</w:t>
      </w:r>
      <w:r w:rsidR="00AF1813">
        <w:rPr>
          <w:rFonts w:ascii="Arial" w:hAnsi="Arial" w:cs="Arial"/>
        </w:rPr>
        <w:fldChar w:fldCharType="end"/>
      </w:r>
      <w:r w:rsidR="00AF1813">
        <w:rPr>
          <w:rFonts w:ascii="Arial" w:hAnsi="Arial" w:cs="Arial"/>
        </w:rPr>
        <w:t>.</w:t>
      </w:r>
      <w:r w:rsidRPr="00D93BBE">
        <w:rPr>
          <w:rFonts w:ascii="Arial" w:hAnsi="Arial" w:cs="Arial"/>
        </w:rPr>
        <w:t xml:space="preserve"> Limits of quantifications (LOQs) </w:t>
      </w:r>
      <w:r>
        <w:rPr>
          <w:rFonts w:ascii="Arial" w:hAnsi="Arial" w:cs="Arial"/>
        </w:rPr>
        <w:t>are</w:t>
      </w:r>
      <w:r w:rsidRPr="00D93BBE">
        <w:rPr>
          <w:rFonts w:ascii="Arial" w:hAnsi="Arial" w:cs="Arial"/>
        </w:rPr>
        <w:t xml:space="preserve"> 10/3*LODs. Sensitivity (slope of the calibration line) and linearity range were tested using both the r-Pearson correlation test and the F-test to compare linear and quadratic fits. Results showed a good linearity in the tested range</w:t>
      </w:r>
      <w:r>
        <w:rPr>
          <w:rFonts w:ascii="Arial" w:hAnsi="Arial" w:cs="Arial"/>
        </w:rPr>
        <w:t xml:space="preserve"> (10</w:t>
      </w:r>
      <w:r w:rsidR="00414776">
        <w:rPr>
          <w:rFonts w:ascii="Arial" w:hAnsi="Arial" w:cs="Arial"/>
        </w:rPr>
        <w:t xml:space="preserve"> </w:t>
      </w:r>
      <w:r>
        <w:rPr>
          <w:rFonts w:ascii="Arial" w:hAnsi="Arial" w:cs="Arial"/>
        </w:rPr>
        <w:t>ppt-100</w:t>
      </w:r>
      <w:r w:rsidR="00414776">
        <w:rPr>
          <w:rFonts w:ascii="Arial" w:hAnsi="Arial" w:cs="Arial"/>
        </w:rPr>
        <w:t xml:space="preserve"> </w:t>
      </w:r>
      <w:r>
        <w:rPr>
          <w:rFonts w:ascii="Arial" w:hAnsi="Arial" w:cs="Arial"/>
        </w:rPr>
        <w:t>ppb) for all compounds</w:t>
      </w:r>
      <w:r w:rsidRPr="00D93BBE">
        <w:rPr>
          <w:rFonts w:ascii="Arial" w:hAnsi="Arial" w:cs="Arial"/>
        </w:rPr>
        <w:t xml:space="preserve">. Method/instrumental repeatability </w:t>
      </w:r>
      <w:r w:rsidR="00266441">
        <w:rPr>
          <w:rFonts w:ascii="Arial" w:hAnsi="Arial" w:cs="Arial"/>
        </w:rPr>
        <w:t>was</w:t>
      </w:r>
      <w:r w:rsidRPr="00D93BBE">
        <w:rPr>
          <w:rFonts w:ascii="Arial" w:hAnsi="Arial" w:cs="Arial"/>
        </w:rPr>
        <w:t xml:space="preserve"> evaluated in real ice core samples. Validation parameters are reported in Table 2.</w:t>
      </w:r>
    </w:p>
    <w:p w14:paraId="25E177AF" w14:textId="3F668EDF" w:rsidR="009471C0" w:rsidRDefault="00576EE6" w:rsidP="00576EE6">
      <w:pPr>
        <w:spacing w:line="360" w:lineRule="auto"/>
        <w:jc w:val="both"/>
        <w:rPr>
          <w:rFonts w:ascii="Arial" w:hAnsi="Arial" w:cs="Arial"/>
        </w:rPr>
      </w:pPr>
      <w:r w:rsidRPr="00EE2BA6">
        <w:rPr>
          <w:rFonts w:ascii="Arial" w:hAnsi="Arial" w:cs="Arial"/>
        </w:rPr>
        <w:t>Matrix effects of direct-injection samples were tested by comparing the linear calibration</w:t>
      </w:r>
      <w:r>
        <w:rPr>
          <w:rFonts w:ascii="Arial" w:hAnsi="Arial" w:cs="Arial"/>
        </w:rPr>
        <w:t xml:space="preserve"> lines of two different sets of prepared standards</w:t>
      </w:r>
      <w:r w:rsidR="00CD75E8">
        <w:rPr>
          <w:rFonts w:ascii="Arial" w:hAnsi="Arial" w:cs="Arial"/>
        </w:rPr>
        <w:t>, each analysed in triplicate</w:t>
      </w:r>
      <w:r>
        <w:rPr>
          <w:rFonts w:ascii="Arial" w:hAnsi="Arial" w:cs="Arial"/>
        </w:rPr>
        <w:t>; one set of 1</w:t>
      </w:r>
      <w:r w:rsidR="006574C3">
        <w:rPr>
          <w:rFonts w:ascii="Arial" w:hAnsi="Arial" w:cs="Arial"/>
        </w:rPr>
        <w:t xml:space="preserve"> </w:t>
      </w:r>
      <w:r>
        <w:rPr>
          <w:rFonts w:ascii="Arial" w:hAnsi="Arial" w:cs="Arial"/>
        </w:rPr>
        <w:t>ppb, 10</w:t>
      </w:r>
      <w:r w:rsidR="006574C3">
        <w:rPr>
          <w:rFonts w:ascii="Arial" w:hAnsi="Arial" w:cs="Arial"/>
        </w:rPr>
        <w:t xml:space="preserve"> </w:t>
      </w:r>
      <w:r>
        <w:rPr>
          <w:rFonts w:ascii="Arial" w:hAnsi="Arial" w:cs="Arial"/>
        </w:rPr>
        <w:t>ppb, and 100</w:t>
      </w:r>
      <w:r w:rsidR="006574C3">
        <w:rPr>
          <w:rFonts w:ascii="Arial" w:hAnsi="Arial" w:cs="Arial"/>
        </w:rPr>
        <w:t xml:space="preserve"> </w:t>
      </w:r>
      <w:r>
        <w:rPr>
          <w:rFonts w:ascii="Arial" w:hAnsi="Arial" w:cs="Arial"/>
        </w:rPr>
        <w:t>ppb concentrations diluted with water</w:t>
      </w:r>
      <w:r w:rsidR="003B6D06">
        <w:rPr>
          <w:rFonts w:ascii="Arial" w:hAnsi="Arial" w:cs="Arial"/>
        </w:rPr>
        <w:t xml:space="preserve"> (external calibration)</w:t>
      </w:r>
      <w:r>
        <w:rPr>
          <w:rFonts w:ascii="Arial" w:hAnsi="Arial" w:cs="Arial"/>
        </w:rPr>
        <w:t>, and another of the same concentrations diluted with ice-sample melt</w:t>
      </w:r>
      <w:r w:rsidR="003B6D06">
        <w:rPr>
          <w:rFonts w:ascii="Arial" w:hAnsi="Arial" w:cs="Arial"/>
        </w:rPr>
        <w:t xml:space="preserve"> </w:t>
      </w:r>
      <w:r w:rsidR="00CD75E8">
        <w:rPr>
          <w:rFonts w:ascii="Arial" w:hAnsi="Arial" w:cs="Arial"/>
        </w:rPr>
        <w:t xml:space="preserve">made by pooling together aliquots of the different ice samples analysed in this study </w:t>
      </w:r>
      <w:r w:rsidR="003B6D06">
        <w:rPr>
          <w:rFonts w:ascii="Arial" w:hAnsi="Arial" w:cs="Arial"/>
        </w:rPr>
        <w:t>(internal calibration)</w:t>
      </w:r>
      <w:r>
        <w:rPr>
          <w:rFonts w:ascii="Arial" w:hAnsi="Arial" w:cs="Arial"/>
        </w:rPr>
        <w:t>. Comparison of the slopes of the lines</w:t>
      </w:r>
      <w:r w:rsidR="00683BDA">
        <w:rPr>
          <w:rFonts w:ascii="Arial" w:hAnsi="Arial" w:cs="Arial"/>
        </w:rPr>
        <w:t>, using a t-test,</w:t>
      </w:r>
      <w:r>
        <w:rPr>
          <w:rFonts w:ascii="Arial" w:hAnsi="Arial" w:cs="Arial"/>
        </w:rPr>
        <w:t xml:space="preserve"> </w:t>
      </w:r>
      <w:r w:rsidR="00683BDA">
        <w:rPr>
          <w:rFonts w:ascii="Arial" w:hAnsi="Arial" w:cs="Arial"/>
        </w:rPr>
        <w:t>was</w:t>
      </w:r>
      <w:r>
        <w:rPr>
          <w:rFonts w:ascii="Arial" w:hAnsi="Arial" w:cs="Arial"/>
        </w:rPr>
        <w:t xml:space="preserve"> used to </w:t>
      </w:r>
      <w:r w:rsidR="00CD75E8">
        <w:rPr>
          <w:rFonts w:ascii="Arial" w:hAnsi="Arial" w:cs="Arial"/>
        </w:rPr>
        <w:t>evaluate</w:t>
      </w:r>
      <w:r>
        <w:rPr>
          <w:rFonts w:ascii="Arial" w:hAnsi="Arial" w:cs="Arial"/>
        </w:rPr>
        <w:t xml:space="preserve"> </w:t>
      </w:r>
      <w:r w:rsidR="003F3499">
        <w:rPr>
          <w:rFonts w:ascii="Arial" w:hAnsi="Arial" w:cs="Arial"/>
        </w:rPr>
        <w:t xml:space="preserve">the </w:t>
      </w:r>
      <w:r>
        <w:rPr>
          <w:rFonts w:ascii="Arial" w:hAnsi="Arial" w:cs="Arial"/>
        </w:rPr>
        <w:t xml:space="preserve">difference in values quantified </w:t>
      </w:r>
      <w:r w:rsidR="00683BDA">
        <w:rPr>
          <w:rFonts w:ascii="Arial" w:hAnsi="Arial" w:cs="Arial"/>
        </w:rPr>
        <w:t xml:space="preserve">between the two standard types. </w:t>
      </w:r>
      <w:r w:rsidR="009F7E5F">
        <w:rPr>
          <w:rFonts w:ascii="Arial" w:hAnsi="Arial" w:cs="Arial"/>
        </w:rPr>
        <w:t>This approach was used instead of the post</w:t>
      </w:r>
      <w:r w:rsidR="007D5A4F">
        <w:rPr>
          <w:rFonts w:ascii="Arial" w:hAnsi="Arial" w:cs="Arial"/>
        </w:rPr>
        <w:t>-</w:t>
      </w:r>
      <w:r w:rsidR="009F7E5F">
        <w:rPr>
          <w:rFonts w:ascii="Arial" w:hAnsi="Arial" w:cs="Arial"/>
        </w:rPr>
        <w:t xml:space="preserve">column infusion </w:t>
      </w:r>
      <w:r w:rsidR="0014776C">
        <w:rPr>
          <w:rFonts w:ascii="Arial" w:hAnsi="Arial" w:cs="Arial"/>
        </w:rPr>
        <w:t>and post</w:t>
      </w:r>
      <w:r w:rsidR="007D5A4F">
        <w:rPr>
          <w:rFonts w:ascii="Arial" w:hAnsi="Arial" w:cs="Arial"/>
        </w:rPr>
        <w:t>-</w:t>
      </w:r>
      <w:r w:rsidR="0014776C">
        <w:rPr>
          <w:rFonts w:ascii="Arial" w:hAnsi="Arial" w:cs="Arial"/>
        </w:rPr>
        <w:t>extraction addition protocol</w:t>
      </w:r>
      <w:r w:rsidR="00624876">
        <w:rPr>
          <w:rFonts w:ascii="Arial" w:hAnsi="Arial" w:cs="Arial"/>
        </w:rPr>
        <w:t xml:space="preserve">s </w:t>
      </w:r>
      <w:r w:rsidR="00624876">
        <w:rPr>
          <w:rFonts w:ascii="Arial" w:hAnsi="Arial" w:cs="Arial"/>
        </w:rPr>
        <w:fldChar w:fldCharType="begin" w:fldLock="1"/>
      </w:r>
      <w:r w:rsidR="009C6FFE">
        <w:rPr>
          <w:rFonts w:ascii="Arial" w:hAnsi="Arial" w:cs="Arial"/>
        </w:rPr>
        <w:instrText>ADDIN CSL_CITATION {"citationItems":[{"id":"ITEM-1","itemData":{"DOI":"10.4155/bio-2017-0214","ISSN":"17576199","PMID":"29171768","abstract":"Although, LC–MS is one of the most sensitive and selective analytical techniques, it often suffers from matrix effects, especially when using ESI for analyzing extracts of complicated matrices [1–3].Matrix effects are often caused by the alteration of ionization efficiency of target analytes in the presence of co-eluting compounds in the same matrix. Matrix effects can be observed either as a loss in response (ion suppression) or as an increase in response (ion enhancement). Both the ion suppression and enhancement dramatically affect analytical performance of a method [4]. Therefore, matrix effects must be evaluated when validating an LC–MS method. Since, matrix effects were first observed, efforts have been devoted to understanding the mechanisms andminimizing them [5–8].Inthis commentary article, the causes of matrix effects and methods for evaluating, minimizing and/or compensating for them are discussed. A novel concept, matrix effect factor (MEF) using stable isotopically labeled internal standards (SIL-ISs) is introduced and its application is presented. Since, SIL-ISs are usually added in the very beginning of the sample preparation procedure to compensate for matrix effects and recovery, theMEF reflects any loss/gain from both the sample preparation and ‘conventional’ matrix effects caused by co-eluting components during ionization in a mass spectrometer (MS) ion source.","author":[{"dropping-particle":"","family":"Zhou","given":"Wanlong","non-dropping-particle":"","parse-names":false,"suffix":""},{"dropping-particle":"","family":"Yang","given":"Shuang","non-dropping-particle":"","parse-names":false,"suffix":""},{"dropping-particle":"","family":"Wang","given":"Perry G.","non-dropping-particle":"","parse-names":false,"suffix":""}],"container-title":"Bioanalysis","id":"ITEM-1","issue":"23","issued":{"date-parts":[["2017"]]},"page":"1839-1844","title":"Matrix effects and application of matrix effect factor","type":"article-journal","volume":"9"},"uris":["http://www.mendeley.com/documents/?uuid=0622e0ab-8523-4931-98d5-b9270753604a","http://www.mendeley.com/documents/?uuid=82cdb749-0b73-42d2-858e-1b362b2de0d2"]}],"mendeley":{"formattedCitation":"&lt;sup&gt;11&lt;/sup&gt;","plainTextFormattedCitation":"11","previouslyFormattedCitation":"&lt;sup&gt;11&lt;/sup&gt;"},"properties":{"noteIndex":0},"schema":"https://github.com/citation-style-language/schema/raw/master/csl-citation.json"}</w:instrText>
      </w:r>
      <w:r w:rsidR="00624876">
        <w:rPr>
          <w:rFonts w:ascii="Arial" w:hAnsi="Arial" w:cs="Arial"/>
        </w:rPr>
        <w:fldChar w:fldCharType="separate"/>
      </w:r>
      <w:r w:rsidR="002B34DF" w:rsidRPr="002B34DF">
        <w:rPr>
          <w:rFonts w:ascii="Arial" w:hAnsi="Arial" w:cs="Arial"/>
          <w:noProof/>
          <w:vertAlign w:val="superscript"/>
        </w:rPr>
        <w:t>11</w:t>
      </w:r>
      <w:r w:rsidR="00624876">
        <w:rPr>
          <w:rFonts w:ascii="Arial" w:hAnsi="Arial" w:cs="Arial"/>
        </w:rPr>
        <w:fldChar w:fldCharType="end"/>
      </w:r>
      <w:r w:rsidR="0014776C">
        <w:rPr>
          <w:rFonts w:ascii="Arial" w:hAnsi="Arial" w:cs="Arial"/>
        </w:rPr>
        <w:t xml:space="preserve"> due to unavailability of blank samples</w:t>
      </w:r>
      <w:r w:rsidR="0011334B">
        <w:rPr>
          <w:rFonts w:ascii="Arial" w:hAnsi="Arial" w:cs="Arial"/>
        </w:rPr>
        <w:t xml:space="preserve"> (i.e. melted ice samples free from target analytes)</w:t>
      </w:r>
      <w:r w:rsidR="0014776C">
        <w:rPr>
          <w:rFonts w:ascii="Arial" w:hAnsi="Arial" w:cs="Arial"/>
        </w:rPr>
        <w:t>.</w:t>
      </w:r>
      <w:r w:rsidR="003F3499">
        <w:rPr>
          <w:rFonts w:ascii="Arial" w:hAnsi="Arial" w:cs="Arial"/>
        </w:rPr>
        <w:t xml:space="preserve"> Results show (T</w:t>
      </w:r>
      <w:r w:rsidR="00997D2C">
        <w:rPr>
          <w:rFonts w:ascii="Arial" w:hAnsi="Arial" w:cs="Arial"/>
        </w:rPr>
        <w:t>able 2)</w:t>
      </w:r>
      <w:r w:rsidR="000F2154">
        <w:rPr>
          <w:rFonts w:ascii="Arial" w:hAnsi="Arial" w:cs="Arial"/>
        </w:rPr>
        <w:t xml:space="preserve"> the presence of </w:t>
      </w:r>
      <w:r w:rsidR="00997D2C">
        <w:rPr>
          <w:rFonts w:ascii="Arial" w:hAnsi="Arial" w:cs="Arial"/>
        </w:rPr>
        <w:t xml:space="preserve">a small but significant matrix effect </w:t>
      </w:r>
      <w:r w:rsidR="00FC68CC">
        <w:rPr>
          <w:rFonts w:ascii="Arial" w:hAnsi="Arial" w:cs="Arial"/>
        </w:rPr>
        <w:t>for most of the analytes.</w:t>
      </w:r>
      <w:r w:rsidR="00AD12AD">
        <w:rPr>
          <w:rFonts w:ascii="Arial" w:hAnsi="Arial" w:cs="Arial"/>
        </w:rPr>
        <w:t xml:space="preserve"> Analytes with lower background contaminations are generall</w:t>
      </w:r>
      <w:r w:rsidR="005542B8">
        <w:rPr>
          <w:rFonts w:ascii="Arial" w:hAnsi="Arial" w:cs="Arial"/>
        </w:rPr>
        <w:t>y</w:t>
      </w:r>
      <w:r w:rsidR="007D5A4F">
        <w:rPr>
          <w:rFonts w:ascii="Arial" w:hAnsi="Arial" w:cs="Arial"/>
        </w:rPr>
        <w:t xml:space="preserve"> </w:t>
      </w:r>
      <w:r w:rsidR="00EB7626">
        <w:rPr>
          <w:rFonts w:ascii="Arial" w:hAnsi="Arial" w:cs="Arial"/>
        </w:rPr>
        <w:t>also less affected by matrix effects while compounds with higher background contaminations are more affected by matrix effects (e.g. fatty acids).</w:t>
      </w:r>
      <w:r w:rsidR="00C03C34">
        <w:rPr>
          <w:rFonts w:ascii="Arial" w:hAnsi="Arial" w:cs="Arial"/>
        </w:rPr>
        <w:t xml:space="preserve"> </w:t>
      </w:r>
      <w:r w:rsidR="00095D01">
        <w:rPr>
          <w:rFonts w:ascii="Arial" w:hAnsi="Arial" w:cs="Arial"/>
        </w:rPr>
        <w:t>Isotopically labelled (deuterated) standards do not compensate for matrix effects</w:t>
      </w:r>
      <w:r w:rsidR="00D2367C">
        <w:rPr>
          <w:rFonts w:ascii="Arial" w:hAnsi="Arial" w:cs="Arial"/>
        </w:rPr>
        <w:t xml:space="preserve">, probably due to slight differences in </w:t>
      </w:r>
      <w:r w:rsidR="00EE2BA6">
        <w:rPr>
          <w:rFonts w:ascii="Arial" w:hAnsi="Arial" w:cs="Arial"/>
        </w:rPr>
        <w:t>lipophilicity</w:t>
      </w:r>
      <w:r w:rsidR="00D2367C">
        <w:rPr>
          <w:rFonts w:ascii="Arial" w:hAnsi="Arial" w:cs="Arial"/>
        </w:rPr>
        <w:t xml:space="preserve"> and ion suppression effects</w:t>
      </w:r>
      <w:r w:rsidR="00EE2BA6">
        <w:rPr>
          <w:rFonts w:ascii="Arial" w:hAnsi="Arial" w:cs="Arial"/>
        </w:rPr>
        <w:t xml:space="preserve">, as observed in previous studies </w:t>
      </w:r>
      <w:r w:rsidR="00EE2BA6">
        <w:rPr>
          <w:rFonts w:ascii="Arial" w:hAnsi="Arial" w:cs="Arial"/>
        </w:rPr>
        <w:fldChar w:fldCharType="begin" w:fldLock="1"/>
      </w:r>
      <w:r w:rsidR="009C6FFE">
        <w:rPr>
          <w:rFonts w:ascii="Arial" w:hAnsi="Arial" w:cs="Arial"/>
        </w:rPr>
        <w:instrText>ADDIN CSL_CITATION {"citationItems":[{"id":"ITEM-1","itemData":{"DOI":"10.4155/bio-2017-0059","ISSN":"1757-6180","author":[{"dropping-particle":"De","family":"Nicolò","given":"Amedeo","non-dropping-particle":"","parse-names":false,"suffix":""},{"dropping-particle":"","family":"Cantù","given":"Marco","non-dropping-particle":"","parse-names":false,"suffix":""},{"dropping-particle":"","family":"D'Avolio","given":"Antonio","non-dropping-particle":"","parse-names":false,"suffix":""}],"container-title":"Bioanalysis","id":"ITEM-1","issue":"14","issued":{"date-parts":[["2017","7"]]},"page":"1093-1105","title":"Matrix effect management in liquid chromatography mass spectrometry: the internal standard normalized matrix effect","type":"article-journal","volume":"9"},"uris":["http://www.mendeley.com/documents/?uuid=2bc77239-ece8-421a-ad83-e14d9869e3ae","http://www.mendeley.com/documents/?uuid=c668a161-cffa-4a1f-b229-cf3169de56cf"]},{"id":"ITEM-2","itemData":{"DOI":"10.1016/j.jpba.2006.08.010","ISBN":"0731-7085 (Print)","ISSN":"07317085","PMID":"16959461","abstract":"A stable isotopically labeled (SIL) analogue is believed to be the most appropriate internal standard in a quantitative bioanalytical liquid chromatography/tandem mass spectrometry (LC/MS/MS) assay. It is assumed that a SIL internal standard always compensates for variability in chemical derivatization, sample extraction and LC/MS/MS analysis due to its nearly identical chemical and physical properties to the unlabeled analyte. Hence, the analyte to internal standard peak area ratio should be constant despite any variations in sample processing or analysis. However, in our laboratories, a deuterium labeled internal standard of carvedilol demonstrated an unexpected behavior-the analyte to internal standard peak area ratio changed with two specific lots of commercially supplied human plasma. Several experiments, including dilution of the extract with LC mobile phase and post-column infusion of the carvedilol solution followed by the injection of extracted blank plasma, have indicated that a high level of matrix suppression affected the ionization of the carvedilol-S enantiomer and its deuterated internal standard differently in these two lots of plasma. For the first time, it was clearly demonstrated that a slight difference in retention time between the analyte and the SIL internal standard, caused by deuterium isotope effect, has resulted in a different degree of ion suppression between these two analogues. This difference was significant enough to change the analyte to internal standard peak area ratio and affect the accuracy of the method. © 2006 Elsevier B.V. All rights reserved.","author":[{"dropping-particle":"","family":"Wang","given":"Sherry","non-dropping-particle":"","parse-names":false,"suffix":""},{"dropping-particle":"","family":"Cyronak","given":"Matthew","non-dropping-particle":"","parse-names":false,"suffix":""},{"dropping-particle":"","family":"Yang","given":"Eric","non-dropping-particle":"","parse-names":false,"suffix":""}],"container-title":"Journal of Pharmaceutical and Biomedical Analysis","id":"ITEM-2","issue":"2","issued":{"date-parts":[["2007"]]},"page":"701-707","title":"Does a stable isotopically labeled internal standard always correct analyte response?. A matrix effect study on a LC/MS/MS method for the determination of carvedilol enantiomers in human plasma","type":"article-journal","volume":"43"},"uris":["http://www.mendeley.com/documents/?uuid=6521138b-1c5f-4320-b3c1-4edc98442c0f","http://www.mendeley.com/documents/?uuid=85b80627-0dac-4b0d-a95b-1842384921f2"]}],"mendeley":{"formattedCitation":"&lt;sup&gt;12,13&lt;/sup&gt;","plainTextFormattedCitation":"12,13","previouslyFormattedCitation":"&lt;sup&gt;12,13&lt;/sup&gt;"},"properties":{"noteIndex":0},"schema":"https://github.com/citation-style-language/schema/raw/master/csl-citation.json"}</w:instrText>
      </w:r>
      <w:r w:rsidR="00EE2BA6">
        <w:rPr>
          <w:rFonts w:ascii="Arial" w:hAnsi="Arial" w:cs="Arial"/>
        </w:rPr>
        <w:fldChar w:fldCharType="separate"/>
      </w:r>
      <w:r w:rsidR="002B34DF" w:rsidRPr="002B34DF">
        <w:rPr>
          <w:rFonts w:ascii="Arial" w:hAnsi="Arial" w:cs="Arial"/>
          <w:noProof/>
          <w:vertAlign w:val="superscript"/>
        </w:rPr>
        <w:t>12,13</w:t>
      </w:r>
      <w:r w:rsidR="00EE2BA6">
        <w:rPr>
          <w:rFonts w:ascii="Arial" w:hAnsi="Arial" w:cs="Arial"/>
        </w:rPr>
        <w:fldChar w:fldCharType="end"/>
      </w:r>
      <w:r w:rsidR="00EE2BA6">
        <w:rPr>
          <w:rFonts w:ascii="Arial" w:hAnsi="Arial" w:cs="Arial"/>
        </w:rPr>
        <w:t>.</w:t>
      </w:r>
    </w:p>
    <w:p w14:paraId="0ACFAF19" w14:textId="5ADC37E6" w:rsidR="005A2293" w:rsidRDefault="005A2293" w:rsidP="00576EE6">
      <w:pPr>
        <w:spacing w:line="360" w:lineRule="auto"/>
        <w:jc w:val="both"/>
        <w:rPr>
          <w:rFonts w:ascii="Arial" w:hAnsi="Arial" w:cs="Arial"/>
        </w:rPr>
      </w:pPr>
    </w:p>
    <w:p w14:paraId="4D596079" w14:textId="62972796" w:rsidR="005A2293" w:rsidRDefault="005A2293" w:rsidP="00576EE6">
      <w:pPr>
        <w:spacing w:line="360" w:lineRule="auto"/>
        <w:jc w:val="both"/>
        <w:rPr>
          <w:rFonts w:ascii="Arial" w:hAnsi="Arial" w:cs="Arial"/>
        </w:rPr>
      </w:pPr>
    </w:p>
    <w:p w14:paraId="5BD6A10C" w14:textId="10232E0B" w:rsidR="005A2293" w:rsidRDefault="005A2293" w:rsidP="00576EE6">
      <w:pPr>
        <w:spacing w:line="360" w:lineRule="auto"/>
        <w:jc w:val="both"/>
        <w:rPr>
          <w:rFonts w:ascii="Arial" w:hAnsi="Arial" w:cs="Arial"/>
        </w:rPr>
      </w:pPr>
    </w:p>
    <w:p w14:paraId="30AA0ECC" w14:textId="0A1EBC0B" w:rsidR="005A2293" w:rsidRDefault="005A2293" w:rsidP="00576EE6">
      <w:pPr>
        <w:spacing w:line="360" w:lineRule="auto"/>
        <w:jc w:val="both"/>
        <w:rPr>
          <w:rFonts w:ascii="Arial" w:hAnsi="Arial" w:cs="Arial"/>
        </w:rPr>
      </w:pPr>
    </w:p>
    <w:p w14:paraId="5820AFE3" w14:textId="2090E2D7" w:rsidR="005A2293" w:rsidRDefault="005A2293" w:rsidP="00576EE6">
      <w:pPr>
        <w:spacing w:line="360" w:lineRule="auto"/>
        <w:jc w:val="both"/>
        <w:rPr>
          <w:rFonts w:ascii="Arial" w:hAnsi="Arial" w:cs="Arial"/>
        </w:rPr>
      </w:pPr>
    </w:p>
    <w:p w14:paraId="715B1863" w14:textId="37B88103" w:rsidR="005A2293" w:rsidRDefault="005A2293" w:rsidP="00576EE6">
      <w:pPr>
        <w:spacing w:line="360" w:lineRule="auto"/>
        <w:jc w:val="both"/>
        <w:rPr>
          <w:rFonts w:ascii="Arial" w:hAnsi="Arial" w:cs="Arial"/>
        </w:rPr>
      </w:pPr>
    </w:p>
    <w:p w14:paraId="3C3A2D14" w14:textId="10062B9F" w:rsidR="005A2293" w:rsidRDefault="005A2293" w:rsidP="00576EE6">
      <w:pPr>
        <w:spacing w:line="360" w:lineRule="auto"/>
        <w:jc w:val="both"/>
        <w:rPr>
          <w:rFonts w:ascii="Arial" w:hAnsi="Arial" w:cs="Arial"/>
        </w:rPr>
      </w:pPr>
    </w:p>
    <w:p w14:paraId="57C42F87" w14:textId="283B6F88" w:rsidR="005A2293" w:rsidRDefault="005A2293" w:rsidP="00576EE6">
      <w:pPr>
        <w:spacing w:line="360" w:lineRule="auto"/>
        <w:jc w:val="both"/>
        <w:rPr>
          <w:rFonts w:ascii="Arial" w:hAnsi="Arial" w:cs="Arial"/>
        </w:rPr>
      </w:pPr>
    </w:p>
    <w:p w14:paraId="0B328F26" w14:textId="7E5E5117" w:rsidR="005A2293" w:rsidRDefault="005A2293" w:rsidP="00576EE6">
      <w:pPr>
        <w:spacing w:line="360" w:lineRule="auto"/>
        <w:jc w:val="both"/>
        <w:rPr>
          <w:rFonts w:ascii="Arial" w:hAnsi="Arial" w:cs="Arial"/>
        </w:rPr>
      </w:pPr>
    </w:p>
    <w:p w14:paraId="0359E16F" w14:textId="7227AE65" w:rsidR="005A2293" w:rsidRDefault="005A2293" w:rsidP="00576EE6">
      <w:pPr>
        <w:spacing w:line="360" w:lineRule="auto"/>
        <w:jc w:val="both"/>
        <w:rPr>
          <w:rFonts w:ascii="Arial" w:hAnsi="Arial" w:cs="Arial"/>
        </w:rPr>
      </w:pPr>
    </w:p>
    <w:p w14:paraId="775A572B" w14:textId="6834A333" w:rsidR="005A2293" w:rsidRDefault="005A2293" w:rsidP="00576EE6">
      <w:pPr>
        <w:spacing w:line="360" w:lineRule="auto"/>
        <w:jc w:val="both"/>
        <w:rPr>
          <w:rFonts w:ascii="Arial" w:hAnsi="Arial" w:cs="Arial"/>
        </w:rPr>
      </w:pPr>
    </w:p>
    <w:p w14:paraId="4665C0AE" w14:textId="755E0441" w:rsidR="005A2293" w:rsidRDefault="005A2293" w:rsidP="00576EE6">
      <w:pPr>
        <w:spacing w:line="360" w:lineRule="auto"/>
        <w:jc w:val="both"/>
        <w:rPr>
          <w:rFonts w:ascii="Arial" w:hAnsi="Arial" w:cs="Arial"/>
        </w:rPr>
      </w:pPr>
    </w:p>
    <w:p w14:paraId="32D63770" w14:textId="70C4DCDD" w:rsidR="005A2293" w:rsidRDefault="005A2293" w:rsidP="00576EE6">
      <w:pPr>
        <w:spacing w:line="360" w:lineRule="auto"/>
        <w:jc w:val="both"/>
        <w:rPr>
          <w:rFonts w:ascii="Arial" w:hAnsi="Arial" w:cs="Arial"/>
        </w:rPr>
      </w:pPr>
    </w:p>
    <w:p w14:paraId="4B5A0EE8" w14:textId="3FFEFE26" w:rsidR="005A2293" w:rsidRDefault="005A2293" w:rsidP="00576EE6">
      <w:pPr>
        <w:spacing w:line="360" w:lineRule="auto"/>
        <w:jc w:val="both"/>
        <w:rPr>
          <w:rFonts w:ascii="Arial" w:hAnsi="Arial" w:cs="Arial"/>
        </w:rPr>
      </w:pPr>
    </w:p>
    <w:p w14:paraId="3468CF52" w14:textId="77777777" w:rsidR="005A2293" w:rsidRDefault="005A2293" w:rsidP="00576EE6">
      <w:pPr>
        <w:spacing w:line="360" w:lineRule="auto"/>
        <w:jc w:val="both"/>
        <w:rPr>
          <w:rFonts w:ascii="Arial" w:hAnsi="Arial" w:cs="Arial"/>
        </w:rPr>
      </w:pPr>
    </w:p>
    <w:p w14:paraId="6EB9EC09" w14:textId="77777777" w:rsidR="008D4E8D" w:rsidRDefault="008D4E8D" w:rsidP="00576EE6">
      <w:pPr>
        <w:spacing w:line="360" w:lineRule="auto"/>
        <w:jc w:val="both"/>
        <w:rPr>
          <w:rFonts w:ascii="Arial" w:hAnsi="Arial" w:cs="Arial"/>
        </w:rPr>
      </w:pPr>
    </w:p>
    <w:p w14:paraId="51F9CEF0" w14:textId="77777777" w:rsidR="005A2293" w:rsidRDefault="005A2293" w:rsidP="00576EE6">
      <w:pPr>
        <w:spacing w:line="360" w:lineRule="auto"/>
        <w:jc w:val="both"/>
        <w:rPr>
          <w:rFonts w:ascii="Arial" w:hAnsi="Arial" w:cs="Arial"/>
          <w:b/>
        </w:rPr>
        <w:sectPr w:rsidR="005A2293" w:rsidSect="008A68BF">
          <w:pgSz w:w="12240" w:h="15840" w:code="1"/>
          <w:pgMar w:top="1440" w:right="1440" w:bottom="1440" w:left="1440" w:header="709" w:footer="709" w:gutter="0"/>
          <w:lnNumType w:countBy="1" w:restart="continuous"/>
          <w:cols w:space="708"/>
          <w:docGrid w:linePitch="360"/>
        </w:sectPr>
      </w:pPr>
    </w:p>
    <w:p w14:paraId="711F3EAE" w14:textId="26848CAA" w:rsidR="009471C0" w:rsidRPr="00066EFD" w:rsidRDefault="008D4E8D" w:rsidP="00576EE6">
      <w:pPr>
        <w:spacing w:line="360" w:lineRule="auto"/>
        <w:jc w:val="both"/>
        <w:rPr>
          <w:rFonts w:ascii="Arial" w:hAnsi="Arial" w:cs="Arial"/>
        </w:rPr>
      </w:pPr>
      <w:r w:rsidRPr="00734DEF">
        <w:rPr>
          <w:rFonts w:ascii="Arial" w:hAnsi="Arial" w:cs="Arial"/>
          <w:b/>
        </w:rPr>
        <w:t xml:space="preserve">Table 2: </w:t>
      </w:r>
      <w:r w:rsidRPr="0016161A">
        <w:rPr>
          <w:rFonts w:ascii="Arial" w:hAnsi="Arial" w:cs="Arial"/>
        </w:rPr>
        <w:t>Parameters of methodological validation of the direct injection</w:t>
      </w:r>
      <w:r w:rsidR="00076784">
        <w:rPr>
          <w:rFonts w:ascii="Arial" w:hAnsi="Arial" w:cs="Arial"/>
        </w:rPr>
        <w:t xml:space="preserve"> HPLC-MS</w:t>
      </w:r>
      <w:r w:rsidRPr="0016161A">
        <w:rPr>
          <w:rFonts w:ascii="Arial" w:hAnsi="Arial" w:cs="Arial"/>
        </w:rPr>
        <w:t xml:space="preserve"> analysis, which are presented in order of increasing LOD. Also presented are LOQ, retention time, repeatability (presented as residual standard deviation from three repeat injections of calibration samples each of 10</w:t>
      </w:r>
      <w:r>
        <w:rPr>
          <w:rFonts w:ascii="Arial" w:hAnsi="Arial" w:cs="Arial"/>
        </w:rPr>
        <w:t xml:space="preserve"> </w:t>
      </w:r>
      <w:r w:rsidRPr="0016161A">
        <w:rPr>
          <w:rFonts w:ascii="Arial" w:hAnsi="Arial" w:cs="Arial"/>
        </w:rPr>
        <w:t>ppt, 100</w:t>
      </w:r>
      <w:r>
        <w:rPr>
          <w:rFonts w:ascii="Arial" w:hAnsi="Arial" w:cs="Arial"/>
        </w:rPr>
        <w:t xml:space="preserve"> </w:t>
      </w:r>
      <w:r w:rsidRPr="0016161A">
        <w:rPr>
          <w:rFonts w:ascii="Arial" w:hAnsi="Arial" w:cs="Arial"/>
        </w:rPr>
        <w:t>ppt, 1</w:t>
      </w:r>
      <w:r>
        <w:rPr>
          <w:rFonts w:ascii="Arial" w:hAnsi="Arial" w:cs="Arial"/>
        </w:rPr>
        <w:t xml:space="preserve"> </w:t>
      </w:r>
      <w:r w:rsidRPr="0016161A">
        <w:rPr>
          <w:rFonts w:ascii="Arial" w:hAnsi="Arial" w:cs="Arial"/>
        </w:rPr>
        <w:t>ppb, 10</w:t>
      </w:r>
      <w:r>
        <w:rPr>
          <w:rFonts w:ascii="Arial" w:hAnsi="Arial" w:cs="Arial"/>
        </w:rPr>
        <w:t xml:space="preserve"> </w:t>
      </w:r>
      <w:r w:rsidRPr="0016161A">
        <w:rPr>
          <w:rFonts w:ascii="Arial" w:hAnsi="Arial" w:cs="Arial"/>
        </w:rPr>
        <w:t>ppb and 100</w:t>
      </w:r>
      <w:r>
        <w:rPr>
          <w:rFonts w:ascii="Arial" w:hAnsi="Arial" w:cs="Arial"/>
        </w:rPr>
        <w:t xml:space="preserve"> </w:t>
      </w:r>
      <w:r w:rsidRPr="0016161A">
        <w:rPr>
          <w:rFonts w:ascii="Arial" w:hAnsi="Arial" w:cs="Arial"/>
        </w:rPr>
        <w:t>ppb)</w:t>
      </w:r>
      <w:r w:rsidR="00476A9C">
        <w:rPr>
          <w:rFonts w:ascii="Arial" w:hAnsi="Arial" w:cs="Arial"/>
        </w:rPr>
        <w:t>, intra</w:t>
      </w:r>
      <w:r w:rsidR="00B663F3">
        <w:rPr>
          <w:rFonts w:ascii="Arial" w:hAnsi="Arial" w:cs="Arial"/>
        </w:rPr>
        <w:t xml:space="preserve">laboratory comparison </w:t>
      </w:r>
      <w:r w:rsidRPr="0016161A">
        <w:rPr>
          <w:rFonts w:ascii="Arial" w:hAnsi="Arial" w:cs="Arial"/>
        </w:rPr>
        <w:t>(presented as R</w:t>
      </w:r>
      <w:r w:rsidRPr="0016161A">
        <w:rPr>
          <w:rFonts w:ascii="Arial" w:hAnsi="Arial" w:cs="Arial"/>
          <w:vertAlign w:val="superscript"/>
        </w:rPr>
        <w:t>2</w:t>
      </w:r>
      <w:r w:rsidRPr="0016161A">
        <w:rPr>
          <w:rFonts w:ascii="Arial" w:hAnsi="Arial" w:cs="Arial"/>
        </w:rPr>
        <w:t xml:space="preserve"> values of a linear trend line of preconcentrated-direct injection samples</w:t>
      </w:r>
      <w:r w:rsidR="00B663F3">
        <w:rPr>
          <w:rFonts w:ascii="Arial" w:hAnsi="Arial" w:cs="Arial"/>
        </w:rPr>
        <w:t>, see also Figure 1) and matrix effects</w:t>
      </w:r>
      <w:r w:rsidR="003F3499">
        <w:rPr>
          <w:rFonts w:ascii="Arial" w:hAnsi="Arial" w:cs="Arial"/>
        </w:rPr>
        <w:t xml:space="preserve"> (presented as the change in calibration slope between the standards diluted in ice sample melt compared to those diluted in water).</w:t>
      </w:r>
      <w:r w:rsidR="00134A72">
        <w:rPr>
          <w:rFonts w:ascii="Arial" w:hAnsi="Arial" w:cs="Arial"/>
        </w:rPr>
        <w:t xml:space="preserve"> NA=not applicable.</w:t>
      </w:r>
      <w:r w:rsidR="00602D19">
        <w:rPr>
          <w:rFonts w:ascii="Arial" w:hAnsi="Arial" w:cs="Arial"/>
        </w:rPr>
        <w:t xml:space="preserve"> Calibration curves and respective plots showing instrumental repeatability for example compounds are shown in Figure S1 of the supplementary information.</w:t>
      </w:r>
    </w:p>
    <w:tbl>
      <w:tblPr>
        <w:tblStyle w:val="PlainTable41"/>
        <w:tblW w:w="5000" w:type="pct"/>
        <w:jc w:val="center"/>
        <w:shd w:val="clear" w:color="auto" w:fill="FFFFFF" w:themeFill="background1"/>
        <w:tblLayout w:type="fixed"/>
        <w:tblLook w:val="04A0" w:firstRow="1" w:lastRow="0" w:firstColumn="1" w:lastColumn="0" w:noHBand="0" w:noVBand="1"/>
      </w:tblPr>
      <w:tblGrid>
        <w:gridCol w:w="2782"/>
        <w:gridCol w:w="1198"/>
        <w:gridCol w:w="902"/>
        <w:gridCol w:w="1446"/>
        <w:gridCol w:w="1446"/>
        <w:gridCol w:w="1809"/>
        <w:gridCol w:w="1809"/>
        <w:gridCol w:w="179"/>
        <w:gridCol w:w="1389"/>
      </w:tblGrid>
      <w:tr w:rsidR="005A2293" w:rsidRPr="00486849" w14:paraId="6F8D5B47" w14:textId="71C7F1CD" w:rsidTr="002D34D6">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bottom w:val="single" w:sz="4" w:space="0" w:color="auto"/>
            </w:tcBorders>
            <w:shd w:val="clear" w:color="auto" w:fill="FFFFFF" w:themeFill="background1"/>
            <w:noWrap/>
            <w:hideMark/>
          </w:tcPr>
          <w:p w14:paraId="0A0C97C0" w14:textId="77777777" w:rsidR="005A2293" w:rsidRPr="00962EDB" w:rsidRDefault="005A2293" w:rsidP="006B6DFF">
            <w:pPr>
              <w:spacing w:line="360" w:lineRule="auto"/>
              <w:jc w:val="both"/>
              <w:rPr>
                <w:rFonts w:ascii="Arial" w:hAnsi="Arial" w:cs="Arial"/>
                <w:sz w:val="18"/>
                <w:szCs w:val="18"/>
              </w:rPr>
            </w:pPr>
            <w:r w:rsidRPr="00962EDB">
              <w:rPr>
                <w:rFonts w:ascii="Arial" w:hAnsi="Arial" w:cs="Arial"/>
                <w:sz w:val="18"/>
                <w:szCs w:val="18"/>
              </w:rPr>
              <w:t>Compound</w:t>
            </w:r>
          </w:p>
        </w:tc>
        <w:tc>
          <w:tcPr>
            <w:tcW w:w="462" w:type="pct"/>
            <w:tcBorders>
              <w:top w:val="single" w:sz="4" w:space="0" w:color="auto"/>
              <w:bottom w:val="single" w:sz="4" w:space="0" w:color="auto"/>
            </w:tcBorders>
            <w:shd w:val="clear" w:color="auto" w:fill="FFFFFF" w:themeFill="background1"/>
          </w:tcPr>
          <w:p w14:paraId="2026665C" w14:textId="77777777" w:rsidR="005A2293" w:rsidRPr="00962EDB" w:rsidRDefault="005A2293" w:rsidP="006B6DF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LOD</w:t>
            </w:r>
          </w:p>
          <w:p w14:paraId="17F199F5" w14:textId="77777777" w:rsidR="005A2293" w:rsidRPr="00962EDB" w:rsidRDefault="005A2293" w:rsidP="006261A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(ppb)</w:t>
            </w:r>
          </w:p>
        </w:tc>
        <w:tc>
          <w:tcPr>
            <w:tcW w:w="348" w:type="pct"/>
            <w:tcBorders>
              <w:top w:val="single" w:sz="4" w:space="0" w:color="auto"/>
              <w:bottom w:val="single" w:sz="4" w:space="0" w:color="auto"/>
            </w:tcBorders>
            <w:shd w:val="clear" w:color="auto" w:fill="FFFFFF" w:themeFill="background1"/>
          </w:tcPr>
          <w:p w14:paraId="2AAC01E1" w14:textId="77777777" w:rsidR="005A2293" w:rsidRPr="00962EDB" w:rsidRDefault="005A2293" w:rsidP="006B6DF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LOQ</w:t>
            </w:r>
          </w:p>
          <w:p w14:paraId="1F102FF4" w14:textId="362B9D66" w:rsidR="005A2293" w:rsidRPr="00962EDB" w:rsidRDefault="005A2293" w:rsidP="006261A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(ppb)</w:t>
            </w:r>
          </w:p>
        </w:tc>
        <w:tc>
          <w:tcPr>
            <w:tcW w:w="558" w:type="pct"/>
            <w:tcBorders>
              <w:top w:val="single" w:sz="4" w:space="0" w:color="auto"/>
              <w:bottom w:val="single" w:sz="4" w:space="0" w:color="auto"/>
            </w:tcBorders>
            <w:shd w:val="clear" w:color="auto" w:fill="auto"/>
          </w:tcPr>
          <w:p w14:paraId="6A08C51D" w14:textId="02922216" w:rsidR="005A2293" w:rsidRPr="00962EDB" w:rsidRDefault="005A2293" w:rsidP="005A229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LOD of previous study (ppb)</w:t>
            </w:r>
          </w:p>
        </w:tc>
        <w:tc>
          <w:tcPr>
            <w:tcW w:w="558" w:type="pct"/>
            <w:tcBorders>
              <w:top w:val="single" w:sz="4" w:space="0" w:color="auto"/>
              <w:bottom w:val="single" w:sz="4" w:space="0" w:color="auto"/>
            </w:tcBorders>
            <w:shd w:val="clear" w:color="auto" w:fill="FFFFFF" w:themeFill="background1"/>
          </w:tcPr>
          <w:p w14:paraId="33854AED" w14:textId="5A00C169" w:rsidR="005A2293" w:rsidRPr="00962EDB" w:rsidRDefault="005A2293" w:rsidP="006261A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Retention time (min)</w:t>
            </w:r>
          </w:p>
        </w:tc>
        <w:tc>
          <w:tcPr>
            <w:tcW w:w="698" w:type="pct"/>
            <w:tcBorders>
              <w:top w:val="single" w:sz="4" w:space="0" w:color="auto"/>
              <w:bottom w:val="single" w:sz="4" w:space="0" w:color="auto"/>
            </w:tcBorders>
            <w:shd w:val="clear" w:color="auto" w:fill="FFFFFF" w:themeFill="background1"/>
          </w:tcPr>
          <w:p w14:paraId="1B982AE2" w14:textId="12C2DE7F" w:rsidR="005A2293" w:rsidRPr="00962EDB" w:rsidRDefault="005A2293" w:rsidP="00B1599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 xml:space="preserve">Instrumental Repeatability (%RSD) </w:t>
            </w:r>
          </w:p>
        </w:tc>
        <w:tc>
          <w:tcPr>
            <w:tcW w:w="767" w:type="pct"/>
            <w:gridSpan w:val="2"/>
            <w:tcBorders>
              <w:top w:val="single" w:sz="4" w:space="0" w:color="auto"/>
              <w:bottom w:val="single" w:sz="4" w:space="0" w:color="auto"/>
            </w:tcBorders>
            <w:shd w:val="clear" w:color="auto" w:fill="FFFFFF" w:themeFill="background1"/>
          </w:tcPr>
          <w:p w14:paraId="2625F250" w14:textId="67F00DE6" w:rsidR="005A2293" w:rsidRPr="00962EDB" w:rsidRDefault="005A2293" w:rsidP="006B6DF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Intra</w:t>
            </w:r>
            <w:r w:rsidRPr="00962EDB">
              <w:rPr>
                <w:rFonts w:ascii="Arial" w:hAnsi="Arial" w:cs="Arial"/>
                <w:sz w:val="18"/>
                <w:szCs w:val="18"/>
              </w:rPr>
              <w:t>laboratory</w:t>
            </w:r>
            <w:r w:rsidRPr="00962EDB">
              <w:rPr>
                <w:rFonts w:ascii="Arial" w:hAnsi="Arial" w:cs="Arial"/>
                <w:sz w:val="18"/>
                <w:szCs w:val="18"/>
              </w:rPr>
              <w:br/>
              <w:t>comparison</w:t>
            </w:r>
          </w:p>
          <w:p w14:paraId="2523F57C" w14:textId="4A8100A6" w:rsidR="005A2293" w:rsidRPr="00962EDB" w:rsidRDefault="005A2293" w:rsidP="006261A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(R</w:t>
            </w:r>
            <w:r w:rsidRPr="00962EDB">
              <w:rPr>
                <w:rFonts w:ascii="Arial" w:hAnsi="Arial" w:cs="Arial"/>
                <w:sz w:val="18"/>
                <w:szCs w:val="18"/>
                <w:vertAlign w:val="superscript"/>
              </w:rPr>
              <w:t>2</w:t>
            </w:r>
            <w:r w:rsidRPr="00962EDB">
              <w:rPr>
                <w:rFonts w:ascii="Arial" w:hAnsi="Arial" w:cs="Arial"/>
                <w:sz w:val="18"/>
                <w:szCs w:val="18"/>
              </w:rPr>
              <w:t>)</w:t>
            </w:r>
          </w:p>
        </w:tc>
        <w:tc>
          <w:tcPr>
            <w:tcW w:w="536" w:type="pct"/>
            <w:tcBorders>
              <w:top w:val="single" w:sz="4" w:space="0" w:color="auto"/>
              <w:bottom w:val="single" w:sz="4" w:space="0" w:color="auto"/>
            </w:tcBorders>
            <w:shd w:val="clear" w:color="auto" w:fill="FFFFFF" w:themeFill="background1"/>
          </w:tcPr>
          <w:p w14:paraId="0CE49A9B" w14:textId="2E7352F9" w:rsidR="005A2293" w:rsidRPr="00962EDB" w:rsidRDefault="005A2293" w:rsidP="006B6DF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Matrix effect (%</w:t>
            </w:r>
            <w:r>
              <w:rPr>
                <w:rFonts w:ascii="Arial" w:hAnsi="Arial" w:cs="Arial"/>
                <w:sz w:val="18"/>
                <w:szCs w:val="18"/>
              </w:rPr>
              <w:t>±%RSD</w:t>
            </w:r>
            <w:r w:rsidRPr="00962EDB">
              <w:rPr>
                <w:rFonts w:ascii="Arial" w:hAnsi="Arial" w:cs="Arial"/>
                <w:sz w:val="18"/>
                <w:szCs w:val="18"/>
              </w:rPr>
              <w:t>)</w:t>
            </w:r>
          </w:p>
        </w:tc>
      </w:tr>
      <w:tr w:rsidR="005A2293" w:rsidRPr="00486849" w14:paraId="1E9D6FD0" w14:textId="3847BAC6"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tcBorders>
            <w:shd w:val="clear" w:color="auto" w:fill="FFFFFF" w:themeFill="background1"/>
            <w:noWrap/>
          </w:tcPr>
          <w:p w14:paraId="1CF3ACB4" w14:textId="77777777" w:rsidR="005A2293" w:rsidRPr="00962EDB" w:rsidRDefault="005A2293" w:rsidP="006B6DFF">
            <w:pPr>
              <w:spacing w:line="360" w:lineRule="auto"/>
              <w:jc w:val="both"/>
              <w:rPr>
                <w:rFonts w:ascii="Arial" w:hAnsi="Arial" w:cs="Arial"/>
                <w:sz w:val="18"/>
                <w:szCs w:val="18"/>
              </w:rPr>
            </w:pPr>
          </w:p>
        </w:tc>
        <w:tc>
          <w:tcPr>
            <w:tcW w:w="462" w:type="pct"/>
            <w:tcBorders>
              <w:top w:val="single" w:sz="4" w:space="0" w:color="auto"/>
            </w:tcBorders>
            <w:shd w:val="clear" w:color="auto" w:fill="auto"/>
          </w:tcPr>
          <w:p w14:paraId="4B353D3F" w14:textId="77777777" w:rsidR="005A2293" w:rsidRPr="00962EDB" w:rsidRDefault="005A2293" w:rsidP="006B6DF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48" w:type="pct"/>
            <w:tcBorders>
              <w:top w:val="single" w:sz="4" w:space="0" w:color="auto"/>
            </w:tcBorders>
            <w:shd w:val="clear" w:color="auto" w:fill="auto"/>
          </w:tcPr>
          <w:p w14:paraId="547B7B25" w14:textId="77777777" w:rsidR="005A2293" w:rsidRPr="00962EDB" w:rsidRDefault="005A2293" w:rsidP="006B6DFF">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58" w:type="pct"/>
            <w:tcBorders>
              <w:top w:val="single" w:sz="4" w:space="0" w:color="auto"/>
            </w:tcBorders>
            <w:shd w:val="clear" w:color="auto" w:fill="auto"/>
          </w:tcPr>
          <w:p w14:paraId="37613A46" w14:textId="77777777" w:rsidR="005A2293" w:rsidRPr="00962EDB" w:rsidRDefault="005A2293"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58" w:type="pct"/>
            <w:tcBorders>
              <w:top w:val="single" w:sz="4" w:space="0" w:color="auto"/>
            </w:tcBorders>
            <w:shd w:val="clear" w:color="auto" w:fill="auto"/>
          </w:tcPr>
          <w:p w14:paraId="20300B71" w14:textId="6D7EDFEB" w:rsidR="005A2293" w:rsidRPr="00962EDB" w:rsidRDefault="005A2293" w:rsidP="006B6DFF">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8" w:type="pct"/>
            <w:tcBorders>
              <w:top w:val="single" w:sz="4" w:space="0" w:color="auto"/>
            </w:tcBorders>
            <w:shd w:val="clear" w:color="auto" w:fill="auto"/>
          </w:tcPr>
          <w:p w14:paraId="6E33AF16" w14:textId="77777777" w:rsidR="005A2293" w:rsidRPr="00962EDB" w:rsidRDefault="005A2293" w:rsidP="006B6DFF">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8" w:type="pct"/>
            <w:tcBorders>
              <w:top w:val="single" w:sz="4" w:space="0" w:color="auto"/>
            </w:tcBorders>
            <w:shd w:val="clear" w:color="auto" w:fill="FFFFFF" w:themeFill="background1"/>
          </w:tcPr>
          <w:p w14:paraId="1920E928" w14:textId="77777777" w:rsidR="005A2293" w:rsidRPr="00962EDB" w:rsidRDefault="005A2293" w:rsidP="006B6DFF">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5" w:type="pct"/>
            <w:gridSpan w:val="2"/>
            <w:tcBorders>
              <w:top w:val="single" w:sz="4" w:space="0" w:color="auto"/>
            </w:tcBorders>
            <w:shd w:val="clear" w:color="auto" w:fill="FFFFFF" w:themeFill="background1"/>
          </w:tcPr>
          <w:p w14:paraId="16672146" w14:textId="77777777" w:rsidR="005A2293" w:rsidRPr="00962EDB" w:rsidRDefault="005A2293" w:rsidP="006B6DFF">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A2293" w:rsidRPr="00486849" w14:paraId="74D0032B" w14:textId="30297E57"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18D72E98" w14:textId="3F39E853" w:rsidR="005A2293" w:rsidRPr="00962EDB" w:rsidRDefault="005A2293" w:rsidP="006E55CC">
            <w:pPr>
              <w:spacing w:line="360" w:lineRule="auto"/>
              <w:jc w:val="both"/>
              <w:rPr>
                <w:rFonts w:ascii="Arial" w:hAnsi="Arial" w:cs="Arial"/>
                <w:sz w:val="18"/>
                <w:szCs w:val="18"/>
              </w:rPr>
            </w:pPr>
            <w:r w:rsidRPr="00962EDB">
              <w:rPr>
                <w:rFonts w:ascii="Arial" w:hAnsi="Arial" w:cs="Arial"/>
                <w:sz w:val="18"/>
                <w:szCs w:val="18"/>
              </w:rPr>
              <w:t>BTCA</w:t>
            </w:r>
            <w:r>
              <w:rPr>
                <w:rFonts w:ascii="Arial" w:hAnsi="Arial" w:cs="Arial"/>
                <w:sz w:val="18"/>
                <w:szCs w:val="18"/>
              </w:rPr>
              <w:t>*</w:t>
            </w:r>
          </w:p>
        </w:tc>
        <w:tc>
          <w:tcPr>
            <w:tcW w:w="462" w:type="pct"/>
            <w:shd w:val="clear" w:color="auto" w:fill="auto"/>
          </w:tcPr>
          <w:p w14:paraId="12234142" w14:textId="37776CB8" w:rsidR="005A2293" w:rsidRPr="00962EDB" w:rsidRDefault="005A2293" w:rsidP="006E55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0.01</w:t>
            </w:r>
          </w:p>
        </w:tc>
        <w:tc>
          <w:tcPr>
            <w:tcW w:w="348" w:type="pct"/>
            <w:shd w:val="clear" w:color="auto" w:fill="auto"/>
          </w:tcPr>
          <w:p w14:paraId="6D8B31C1" w14:textId="12B52349" w:rsidR="005A2293" w:rsidRPr="00962EDB" w:rsidRDefault="005A2293" w:rsidP="006E55CC">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0.03</w:t>
            </w:r>
          </w:p>
        </w:tc>
        <w:tc>
          <w:tcPr>
            <w:tcW w:w="558" w:type="pct"/>
            <w:shd w:val="clear" w:color="auto" w:fill="auto"/>
          </w:tcPr>
          <w:p w14:paraId="73004999" w14:textId="58B494D0" w:rsidR="005A2293" w:rsidRPr="00962EDB"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3.09</w:t>
            </w:r>
          </w:p>
        </w:tc>
        <w:tc>
          <w:tcPr>
            <w:tcW w:w="558" w:type="pct"/>
            <w:shd w:val="clear" w:color="auto" w:fill="auto"/>
          </w:tcPr>
          <w:p w14:paraId="10009C79" w14:textId="28056BAB" w:rsidR="005A2293" w:rsidRPr="00962EDB" w:rsidRDefault="005A2293" w:rsidP="006E55CC">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1.70</w:t>
            </w:r>
          </w:p>
        </w:tc>
        <w:tc>
          <w:tcPr>
            <w:tcW w:w="698" w:type="pct"/>
            <w:shd w:val="clear" w:color="auto" w:fill="auto"/>
          </w:tcPr>
          <w:p w14:paraId="027F7C0B" w14:textId="012F5EC8" w:rsidR="005A2293" w:rsidRPr="00962EDB" w:rsidRDefault="005A2293" w:rsidP="006E55CC">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5</w:t>
            </w:r>
          </w:p>
        </w:tc>
        <w:tc>
          <w:tcPr>
            <w:tcW w:w="698" w:type="pct"/>
            <w:shd w:val="clear" w:color="auto" w:fill="FFFFFF" w:themeFill="background1"/>
          </w:tcPr>
          <w:p w14:paraId="278357E7" w14:textId="412B9903" w:rsidR="005A2293" w:rsidRPr="00962EDB" w:rsidRDefault="005A2293" w:rsidP="006E55CC">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NA</w:t>
            </w:r>
          </w:p>
        </w:tc>
        <w:tc>
          <w:tcPr>
            <w:tcW w:w="605" w:type="pct"/>
            <w:gridSpan w:val="2"/>
            <w:shd w:val="clear" w:color="auto" w:fill="FFFFFF" w:themeFill="background1"/>
          </w:tcPr>
          <w:p w14:paraId="3E9BBD3C" w14:textId="0C992318" w:rsidR="005A2293" w:rsidRPr="00962EDB" w:rsidRDefault="005A2293" w:rsidP="006E55CC">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13.5±9.1</w:t>
            </w:r>
            <w:r w:rsidRPr="00962EDB">
              <w:rPr>
                <w:rFonts w:ascii="Arial" w:hAnsi="Arial" w:cs="Arial"/>
                <w:sz w:val="18"/>
                <w:szCs w:val="18"/>
                <w:vertAlign w:val="superscript"/>
              </w:rPr>
              <w:t>a</w:t>
            </w:r>
          </w:p>
        </w:tc>
      </w:tr>
      <w:tr w:rsidR="005A2293" w:rsidRPr="00486849" w14:paraId="42F34237" w14:textId="3DA0C54E"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6D3DF066" w14:textId="0F54596E" w:rsidR="005A2293" w:rsidRPr="00962EDB" w:rsidRDefault="005A2293" w:rsidP="00ED06E1">
            <w:pPr>
              <w:spacing w:line="360" w:lineRule="auto"/>
              <w:jc w:val="both"/>
              <w:rPr>
                <w:rFonts w:ascii="Arial" w:hAnsi="Arial" w:cs="Arial"/>
                <w:sz w:val="18"/>
                <w:szCs w:val="18"/>
              </w:rPr>
            </w:pPr>
            <w:r w:rsidRPr="00962EDB">
              <w:rPr>
                <w:rFonts w:ascii="Arial" w:hAnsi="Arial" w:cs="Arial"/>
                <w:sz w:val="18"/>
                <w:szCs w:val="18"/>
              </w:rPr>
              <w:t>MBTCA</w:t>
            </w:r>
            <w:r>
              <w:rPr>
                <w:rFonts w:ascii="Arial" w:hAnsi="Arial" w:cs="Arial"/>
                <w:sz w:val="18"/>
                <w:szCs w:val="18"/>
              </w:rPr>
              <w:t>**</w:t>
            </w:r>
          </w:p>
        </w:tc>
        <w:tc>
          <w:tcPr>
            <w:tcW w:w="462" w:type="pct"/>
            <w:shd w:val="clear" w:color="auto" w:fill="auto"/>
          </w:tcPr>
          <w:p w14:paraId="7C3C7954" w14:textId="65B31E5C" w:rsidR="005A2293" w:rsidRPr="00962EDB"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0.02</w:t>
            </w:r>
          </w:p>
        </w:tc>
        <w:tc>
          <w:tcPr>
            <w:tcW w:w="348" w:type="pct"/>
            <w:shd w:val="clear" w:color="auto" w:fill="auto"/>
          </w:tcPr>
          <w:p w14:paraId="37078A85" w14:textId="575E396F"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0.06</w:t>
            </w:r>
          </w:p>
        </w:tc>
        <w:tc>
          <w:tcPr>
            <w:tcW w:w="558" w:type="pct"/>
            <w:shd w:val="clear" w:color="auto" w:fill="auto"/>
          </w:tcPr>
          <w:p w14:paraId="41EF3883" w14:textId="559D43C0" w:rsidR="005A2293" w:rsidRPr="00962EDB"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2.68</w:t>
            </w:r>
          </w:p>
        </w:tc>
        <w:tc>
          <w:tcPr>
            <w:tcW w:w="558" w:type="pct"/>
            <w:shd w:val="clear" w:color="auto" w:fill="auto"/>
          </w:tcPr>
          <w:p w14:paraId="3759E5A9" w14:textId="6D14618C"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1.70</w:t>
            </w:r>
          </w:p>
        </w:tc>
        <w:tc>
          <w:tcPr>
            <w:tcW w:w="698" w:type="pct"/>
            <w:shd w:val="clear" w:color="auto" w:fill="auto"/>
          </w:tcPr>
          <w:p w14:paraId="0ECC59F7" w14:textId="7ABF6EE2"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5</w:t>
            </w:r>
          </w:p>
        </w:tc>
        <w:tc>
          <w:tcPr>
            <w:tcW w:w="698" w:type="pct"/>
            <w:shd w:val="clear" w:color="auto" w:fill="FFFFFF" w:themeFill="background1"/>
          </w:tcPr>
          <w:p w14:paraId="50A41CD7" w14:textId="2683DD42"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NA</w:t>
            </w:r>
          </w:p>
        </w:tc>
        <w:tc>
          <w:tcPr>
            <w:tcW w:w="605" w:type="pct"/>
            <w:gridSpan w:val="2"/>
            <w:shd w:val="clear" w:color="auto" w:fill="FFFFFF" w:themeFill="background1"/>
          </w:tcPr>
          <w:p w14:paraId="575E4CE9" w14:textId="67954B6B"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5.7±9.2</w:t>
            </w:r>
            <w:r w:rsidRPr="00962EDB">
              <w:rPr>
                <w:rFonts w:ascii="Arial" w:hAnsi="Arial" w:cs="Arial"/>
                <w:sz w:val="18"/>
                <w:szCs w:val="18"/>
                <w:vertAlign w:val="superscript"/>
              </w:rPr>
              <w:t>a</w:t>
            </w:r>
          </w:p>
        </w:tc>
      </w:tr>
      <w:tr w:rsidR="005A2293" w:rsidRPr="00486849" w14:paraId="558DE228" w14:textId="26C6834A"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434EA485" w14:textId="5A846AF4" w:rsidR="005A2293" w:rsidRPr="00962EDB" w:rsidRDefault="005A2293" w:rsidP="00ED06E1">
            <w:pPr>
              <w:spacing w:line="360" w:lineRule="auto"/>
              <w:jc w:val="both"/>
              <w:rPr>
                <w:rFonts w:ascii="Arial" w:hAnsi="Arial" w:cs="Arial"/>
                <w:sz w:val="18"/>
                <w:szCs w:val="18"/>
              </w:rPr>
            </w:pPr>
            <w:r w:rsidRPr="00962EDB">
              <w:rPr>
                <w:rFonts w:ascii="Arial" w:hAnsi="Arial" w:cs="Arial"/>
                <w:sz w:val="18"/>
                <w:szCs w:val="18"/>
              </w:rPr>
              <w:t>Keto-pinic acid</w:t>
            </w:r>
          </w:p>
        </w:tc>
        <w:tc>
          <w:tcPr>
            <w:tcW w:w="462" w:type="pct"/>
            <w:shd w:val="clear" w:color="auto" w:fill="auto"/>
          </w:tcPr>
          <w:p w14:paraId="3B0A49B9" w14:textId="2508006A" w:rsidR="005A2293" w:rsidRPr="00962EDB"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0.02</w:t>
            </w:r>
          </w:p>
        </w:tc>
        <w:tc>
          <w:tcPr>
            <w:tcW w:w="348" w:type="pct"/>
            <w:shd w:val="clear" w:color="auto" w:fill="auto"/>
          </w:tcPr>
          <w:p w14:paraId="14BB1C05" w14:textId="60DCEDB4" w:rsidR="005A2293" w:rsidRPr="00962EDB"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0.07</w:t>
            </w:r>
          </w:p>
        </w:tc>
        <w:tc>
          <w:tcPr>
            <w:tcW w:w="558" w:type="pct"/>
            <w:shd w:val="clear" w:color="auto" w:fill="auto"/>
          </w:tcPr>
          <w:p w14:paraId="70A4BCA6" w14:textId="57A02B31" w:rsidR="005A2293" w:rsidRPr="00962EDB"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2.62</w:t>
            </w:r>
          </w:p>
        </w:tc>
        <w:tc>
          <w:tcPr>
            <w:tcW w:w="558" w:type="pct"/>
            <w:shd w:val="clear" w:color="auto" w:fill="auto"/>
          </w:tcPr>
          <w:p w14:paraId="692EAF2D" w14:textId="1157CEC9" w:rsidR="005A2293" w:rsidRPr="00962EDB"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7.85</w:t>
            </w:r>
          </w:p>
        </w:tc>
        <w:tc>
          <w:tcPr>
            <w:tcW w:w="698" w:type="pct"/>
            <w:shd w:val="clear" w:color="auto" w:fill="auto"/>
          </w:tcPr>
          <w:p w14:paraId="3F033680" w14:textId="08CE133B" w:rsidR="005A2293" w:rsidRPr="00962EDB"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7</w:t>
            </w:r>
          </w:p>
        </w:tc>
        <w:tc>
          <w:tcPr>
            <w:tcW w:w="698" w:type="pct"/>
            <w:shd w:val="clear" w:color="auto" w:fill="FFFFFF" w:themeFill="background1"/>
          </w:tcPr>
          <w:p w14:paraId="5A8C5B0D" w14:textId="2B2B888A" w:rsidR="005A2293" w:rsidRPr="00962EDB"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0.68</w:t>
            </w:r>
          </w:p>
        </w:tc>
        <w:tc>
          <w:tcPr>
            <w:tcW w:w="605" w:type="pct"/>
            <w:gridSpan w:val="2"/>
            <w:shd w:val="clear" w:color="auto" w:fill="FFFFFF" w:themeFill="background1"/>
          </w:tcPr>
          <w:p w14:paraId="7E0D82D6" w14:textId="657B3856" w:rsidR="005A2293" w:rsidRPr="00962EDB"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EDB">
              <w:rPr>
                <w:rFonts w:ascii="Arial" w:hAnsi="Arial" w:cs="Arial"/>
                <w:sz w:val="18"/>
                <w:szCs w:val="18"/>
              </w:rPr>
              <w:t>4.9±4.8</w:t>
            </w:r>
            <w:r w:rsidRPr="00962EDB">
              <w:rPr>
                <w:rFonts w:ascii="Arial" w:hAnsi="Arial" w:cs="Arial"/>
                <w:sz w:val="18"/>
                <w:szCs w:val="18"/>
                <w:vertAlign w:val="superscript"/>
              </w:rPr>
              <w:t>a</w:t>
            </w:r>
          </w:p>
        </w:tc>
      </w:tr>
      <w:tr w:rsidR="005A2293" w:rsidRPr="00486849" w14:paraId="12853812" w14:textId="3B5F94CA"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3F29E99B" w14:textId="044BD642" w:rsidR="005A2293" w:rsidRPr="00962EDB" w:rsidRDefault="005A2293" w:rsidP="00ED06E1">
            <w:pPr>
              <w:spacing w:line="360" w:lineRule="auto"/>
              <w:jc w:val="both"/>
              <w:rPr>
                <w:rFonts w:ascii="Arial" w:hAnsi="Arial" w:cs="Arial"/>
                <w:sz w:val="18"/>
                <w:szCs w:val="18"/>
              </w:rPr>
            </w:pPr>
            <w:r w:rsidRPr="00962EDB">
              <w:rPr>
                <w:rFonts w:ascii="Arial" w:hAnsi="Arial" w:cs="Arial"/>
                <w:sz w:val="18"/>
                <w:szCs w:val="18"/>
              </w:rPr>
              <w:t>β-caryophyllinic acid</w:t>
            </w:r>
          </w:p>
        </w:tc>
        <w:tc>
          <w:tcPr>
            <w:tcW w:w="462" w:type="pct"/>
            <w:shd w:val="clear" w:color="auto" w:fill="auto"/>
          </w:tcPr>
          <w:p w14:paraId="45F3A751" w14:textId="6C674FAE" w:rsidR="005A2293" w:rsidRPr="00962EDB"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0.02</w:t>
            </w:r>
          </w:p>
        </w:tc>
        <w:tc>
          <w:tcPr>
            <w:tcW w:w="348" w:type="pct"/>
            <w:shd w:val="clear" w:color="auto" w:fill="auto"/>
          </w:tcPr>
          <w:p w14:paraId="2F669742" w14:textId="7B4013DD"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0.08</w:t>
            </w:r>
          </w:p>
        </w:tc>
        <w:tc>
          <w:tcPr>
            <w:tcW w:w="558" w:type="pct"/>
            <w:shd w:val="clear" w:color="auto" w:fill="auto"/>
          </w:tcPr>
          <w:p w14:paraId="6940E040" w14:textId="5330BF24" w:rsidR="005A2293" w:rsidRPr="00962EDB"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2.91</w:t>
            </w:r>
          </w:p>
        </w:tc>
        <w:tc>
          <w:tcPr>
            <w:tcW w:w="558" w:type="pct"/>
            <w:shd w:val="clear" w:color="auto" w:fill="auto"/>
          </w:tcPr>
          <w:p w14:paraId="0DC587BC" w14:textId="7AE61F04"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7.79</w:t>
            </w:r>
          </w:p>
        </w:tc>
        <w:tc>
          <w:tcPr>
            <w:tcW w:w="698" w:type="pct"/>
            <w:shd w:val="clear" w:color="auto" w:fill="auto"/>
          </w:tcPr>
          <w:p w14:paraId="6DF4F915" w14:textId="03B042F5"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6</w:t>
            </w:r>
          </w:p>
        </w:tc>
        <w:tc>
          <w:tcPr>
            <w:tcW w:w="698" w:type="pct"/>
            <w:shd w:val="clear" w:color="auto" w:fill="FFFFFF" w:themeFill="background1"/>
          </w:tcPr>
          <w:p w14:paraId="4AB81187" w14:textId="6C5BB1C0"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NA</w:t>
            </w:r>
          </w:p>
        </w:tc>
        <w:tc>
          <w:tcPr>
            <w:tcW w:w="605" w:type="pct"/>
            <w:gridSpan w:val="2"/>
            <w:shd w:val="clear" w:color="auto" w:fill="FFFFFF" w:themeFill="background1"/>
          </w:tcPr>
          <w:p w14:paraId="1952642F" w14:textId="432D2DBC"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5.6±4.3</w:t>
            </w:r>
            <w:r w:rsidRPr="00F46B63">
              <w:rPr>
                <w:rFonts w:ascii="Arial" w:hAnsi="Arial" w:cs="Arial"/>
                <w:sz w:val="18"/>
                <w:szCs w:val="18"/>
                <w:vertAlign w:val="superscript"/>
              </w:rPr>
              <w:t>a</w:t>
            </w:r>
          </w:p>
        </w:tc>
      </w:tr>
      <w:tr w:rsidR="005A2293" w:rsidRPr="00486849" w14:paraId="0D901B5F" w14:textId="78B789C0"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6B96E187" w14:textId="278A5472"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D-malic acid</w:t>
            </w:r>
          </w:p>
        </w:tc>
        <w:tc>
          <w:tcPr>
            <w:tcW w:w="462" w:type="pct"/>
            <w:shd w:val="clear" w:color="auto" w:fill="auto"/>
          </w:tcPr>
          <w:p w14:paraId="1656EB23" w14:textId="00D662A0"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0.04</w:t>
            </w:r>
          </w:p>
        </w:tc>
        <w:tc>
          <w:tcPr>
            <w:tcW w:w="348" w:type="pct"/>
            <w:shd w:val="clear" w:color="auto" w:fill="auto"/>
          </w:tcPr>
          <w:p w14:paraId="1F875131" w14:textId="7F7C93CE"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0.13</w:t>
            </w:r>
          </w:p>
        </w:tc>
        <w:tc>
          <w:tcPr>
            <w:tcW w:w="558" w:type="pct"/>
            <w:shd w:val="clear" w:color="auto" w:fill="auto"/>
          </w:tcPr>
          <w:p w14:paraId="73388F66" w14:textId="6EF2AFBD"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2.61</w:t>
            </w:r>
          </w:p>
        </w:tc>
        <w:tc>
          <w:tcPr>
            <w:tcW w:w="558" w:type="pct"/>
            <w:shd w:val="clear" w:color="auto" w:fill="auto"/>
          </w:tcPr>
          <w:p w14:paraId="25429679" w14:textId="78E7E491"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1.76</w:t>
            </w:r>
          </w:p>
        </w:tc>
        <w:tc>
          <w:tcPr>
            <w:tcW w:w="698" w:type="pct"/>
            <w:shd w:val="clear" w:color="auto" w:fill="auto"/>
          </w:tcPr>
          <w:p w14:paraId="0693795A" w14:textId="0D33B47D"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4</w:t>
            </w:r>
          </w:p>
        </w:tc>
        <w:tc>
          <w:tcPr>
            <w:tcW w:w="698" w:type="pct"/>
            <w:shd w:val="clear" w:color="auto" w:fill="FFFFFF" w:themeFill="background1"/>
          </w:tcPr>
          <w:p w14:paraId="26184EB4" w14:textId="72BB342E"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0.75</w:t>
            </w:r>
          </w:p>
        </w:tc>
        <w:tc>
          <w:tcPr>
            <w:tcW w:w="605" w:type="pct"/>
            <w:gridSpan w:val="2"/>
            <w:shd w:val="clear" w:color="auto" w:fill="FFFFFF" w:themeFill="background1"/>
          </w:tcPr>
          <w:p w14:paraId="315F98E3" w14:textId="37404DC1"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3.9±6.8</w:t>
            </w:r>
            <w:r w:rsidRPr="00F46B63">
              <w:rPr>
                <w:rFonts w:ascii="Arial" w:hAnsi="Arial" w:cs="Arial"/>
                <w:sz w:val="18"/>
                <w:szCs w:val="18"/>
                <w:vertAlign w:val="superscript"/>
              </w:rPr>
              <w:t>a</w:t>
            </w:r>
          </w:p>
        </w:tc>
      </w:tr>
      <w:tr w:rsidR="005A2293" w:rsidRPr="00486849" w14:paraId="77DF69EE" w14:textId="296600A3"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6C76C607" w14:textId="77777777"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β-caryophyllonic acid</w:t>
            </w:r>
          </w:p>
        </w:tc>
        <w:tc>
          <w:tcPr>
            <w:tcW w:w="462" w:type="pct"/>
            <w:shd w:val="clear" w:color="auto" w:fill="auto"/>
          </w:tcPr>
          <w:p w14:paraId="2397F56D" w14:textId="3DB5105C"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0.10</w:t>
            </w:r>
          </w:p>
        </w:tc>
        <w:tc>
          <w:tcPr>
            <w:tcW w:w="348" w:type="pct"/>
            <w:shd w:val="clear" w:color="auto" w:fill="auto"/>
          </w:tcPr>
          <w:p w14:paraId="17AF2C3E" w14:textId="3C01D8C2"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0.32</w:t>
            </w:r>
          </w:p>
        </w:tc>
        <w:tc>
          <w:tcPr>
            <w:tcW w:w="558" w:type="pct"/>
            <w:shd w:val="clear" w:color="auto" w:fill="auto"/>
          </w:tcPr>
          <w:p w14:paraId="118A7D97" w14:textId="140E8F44"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2.73</w:t>
            </w:r>
          </w:p>
        </w:tc>
        <w:tc>
          <w:tcPr>
            <w:tcW w:w="558" w:type="pct"/>
            <w:shd w:val="clear" w:color="auto" w:fill="auto"/>
          </w:tcPr>
          <w:p w14:paraId="3641119A" w14:textId="5BE23EA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13.12</w:t>
            </w:r>
          </w:p>
        </w:tc>
        <w:tc>
          <w:tcPr>
            <w:tcW w:w="698" w:type="pct"/>
            <w:shd w:val="clear" w:color="auto" w:fill="auto"/>
          </w:tcPr>
          <w:p w14:paraId="794D1AEE" w14:textId="19A32D59"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6</w:t>
            </w:r>
          </w:p>
        </w:tc>
        <w:tc>
          <w:tcPr>
            <w:tcW w:w="698" w:type="pct"/>
            <w:shd w:val="clear" w:color="auto" w:fill="FFFFFF" w:themeFill="background1"/>
          </w:tcPr>
          <w:p w14:paraId="45A8CD79" w14:textId="32C5BE0A"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2D6276A4" w14:textId="38F3B164"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-2.0±3.5</w:t>
            </w:r>
            <w:r w:rsidRPr="00F46B63">
              <w:rPr>
                <w:rFonts w:ascii="Arial" w:hAnsi="Arial" w:cs="Arial"/>
                <w:sz w:val="18"/>
                <w:szCs w:val="18"/>
                <w:vertAlign w:val="superscript"/>
              </w:rPr>
              <w:t>a</w:t>
            </w:r>
          </w:p>
        </w:tc>
      </w:tr>
      <w:tr w:rsidR="005A2293" w:rsidRPr="00486849" w14:paraId="736023AA" w14:textId="4C6DF5F6"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1A115299" w14:textId="28E745FB"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Methyl-tetrols</w:t>
            </w:r>
          </w:p>
        </w:tc>
        <w:tc>
          <w:tcPr>
            <w:tcW w:w="462" w:type="pct"/>
            <w:shd w:val="clear" w:color="auto" w:fill="auto"/>
          </w:tcPr>
          <w:p w14:paraId="259A80DD" w14:textId="4B747F7B"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0.13</w:t>
            </w:r>
          </w:p>
        </w:tc>
        <w:tc>
          <w:tcPr>
            <w:tcW w:w="348" w:type="pct"/>
            <w:shd w:val="clear" w:color="auto" w:fill="auto"/>
          </w:tcPr>
          <w:p w14:paraId="334E6A7D" w14:textId="0B055365"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0.43</w:t>
            </w:r>
          </w:p>
        </w:tc>
        <w:tc>
          <w:tcPr>
            <w:tcW w:w="558" w:type="pct"/>
            <w:shd w:val="clear" w:color="auto" w:fill="auto"/>
          </w:tcPr>
          <w:p w14:paraId="7AE26944" w14:textId="58FB8816"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4.57</w:t>
            </w:r>
          </w:p>
        </w:tc>
        <w:tc>
          <w:tcPr>
            <w:tcW w:w="558" w:type="pct"/>
            <w:shd w:val="clear" w:color="auto" w:fill="auto"/>
          </w:tcPr>
          <w:p w14:paraId="62580CD5" w14:textId="0900B312"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3.57</w:t>
            </w:r>
          </w:p>
        </w:tc>
        <w:tc>
          <w:tcPr>
            <w:tcW w:w="698" w:type="pct"/>
            <w:shd w:val="clear" w:color="auto" w:fill="auto"/>
          </w:tcPr>
          <w:p w14:paraId="66F135E5" w14:textId="3563100C"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4</w:t>
            </w:r>
          </w:p>
        </w:tc>
        <w:tc>
          <w:tcPr>
            <w:tcW w:w="698" w:type="pct"/>
            <w:shd w:val="clear" w:color="auto" w:fill="FFFFFF" w:themeFill="background1"/>
          </w:tcPr>
          <w:p w14:paraId="4EAD8F52" w14:textId="1BDEA00D"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0.92</w:t>
            </w:r>
          </w:p>
        </w:tc>
        <w:tc>
          <w:tcPr>
            <w:tcW w:w="605" w:type="pct"/>
            <w:gridSpan w:val="2"/>
            <w:shd w:val="clear" w:color="auto" w:fill="FFFFFF" w:themeFill="background1"/>
          </w:tcPr>
          <w:p w14:paraId="6216C7A3" w14:textId="6BA54C22"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11.4±2.3</w:t>
            </w:r>
            <w:r w:rsidRPr="00F46B63">
              <w:rPr>
                <w:rFonts w:ascii="Arial" w:hAnsi="Arial" w:cs="Arial"/>
                <w:sz w:val="18"/>
                <w:szCs w:val="18"/>
                <w:vertAlign w:val="superscript"/>
              </w:rPr>
              <w:t>b</w:t>
            </w:r>
          </w:p>
        </w:tc>
      </w:tr>
      <w:tr w:rsidR="005A2293" w:rsidRPr="00486849" w14:paraId="0AA46FBC" w14:textId="57008C62"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5B847102" w14:textId="08E64AA1"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Terebic acid</w:t>
            </w:r>
          </w:p>
        </w:tc>
        <w:tc>
          <w:tcPr>
            <w:tcW w:w="462" w:type="pct"/>
            <w:shd w:val="clear" w:color="auto" w:fill="auto"/>
          </w:tcPr>
          <w:p w14:paraId="02F04926" w14:textId="05C9BFA2"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0.14</w:t>
            </w:r>
          </w:p>
        </w:tc>
        <w:tc>
          <w:tcPr>
            <w:tcW w:w="348" w:type="pct"/>
            <w:shd w:val="clear" w:color="auto" w:fill="auto"/>
          </w:tcPr>
          <w:p w14:paraId="5732EE1A" w14:textId="2CA3D6EE"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0.46</w:t>
            </w:r>
          </w:p>
        </w:tc>
        <w:tc>
          <w:tcPr>
            <w:tcW w:w="558" w:type="pct"/>
            <w:shd w:val="clear" w:color="auto" w:fill="auto"/>
          </w:tcPr>
          <w:p w14:paraId="5C536A7B" w14:textId="179E3FE3"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5.65</w:t>
            </w:r>
          </w:p>
        </w:tc>
        <w:tc>
          <w:tcPr>
            <w:tcW w:w="558" w:type="pct"/>
            <w:shd w:val="clear" w:color="auto" w:fill="auto"/>
          </w:tcPr>
          <w:p w14:paraId="57E5373C" w14:textId="5AED4A9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3.22</w:t>
            </w:r>
          </w:p>
        </w:tc>
        <w:tc>
          <w:tcPr>
            <w:tcW w:w="698" w:type="pct"/>
            <w:shd w:val="clear" w:color="auto" w:fill="auto"/>
          </w:tcPr>
          <w:p w14:paraId="0F84D6D6" w14:textId="32B1BEBA"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3</w:t>
            </w:r>
          </w:p>
        </w:tc>
        <w:tc>
          <w:tcPr>
            <w:tcW w:w="698" w:type="pct"/>
            <w:shd w:val="clear" w:color="auto" w:fill="FFFFFF" w:themeFill="background1"/>
          </w:tcPr>
          <w:p w14:paraId="763281A4" w14:textId="2AD02749"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0.64</w:t>
            </w:r>
          </w:p>
        </w:tc>
        <w:tc>
          <w:tcPr>
            <w:tcW w:w="605" w:type="pct"/>
            <w:gridSpan w:val="2"/>
            <w:shd w:val="clear" w:color="auto" w:fill="FFFFFF" w:themeFill="background1"/>
          </w:tcPr>
          <w:p w14:paraId="51F32696" w14:textId="77E91FB8"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-9.4±5.5</w:t>
            </w:r>
            <w:r w:rsidRPr="00F46B63">
              <w:rPr>
                <w:rFonts w:ascii="Arial" w:hAnsi="Arial" w:cs="Arial"/>
                <w:sz w:val="18"/>
                <w:szCs w:val="18"/>
                <w:vertAlign w:val="superscript"/>
              </w:rPr>
              <w:t>a</w:t>
            </w:r>
          </w:p>
        </w:tc>
      </w:tr>
      <w:tr w:rsidR="005A2293" w:rsidRPr="00486849" w14:paraId="5DD4BD3E" w14:textId="380FF143"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7AC156D5" w14:textId="10688CC8"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Pimelic acid</w:t>
            </w:r>
          </w:p>
        </w:tc>
        <w:tc>
          <w:tcPr>
            <w:tcW w:w="462" w:type="pct"/>
            <w:shd w:val="clear" w:color="auto" w:fill="auto"/>
          </w:tcPr>
          <w:p w14:paraId="662D266F" w14:textId="15ED8E94"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0.22</w:t>
            </w:r>
          </w:p>
        </w:tc>
        <w:tc>
          <w:tcPr>
            <w:tcW w:w="348" w:type="pct"/>
            <w:shd w:val="clear" w:color="auto" w:fill="auto"/>
          </w:tcPr>
          <w:p w14:paraId="6D28504E" w14:textId="3796129A"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0.74</w:t>
            </w:r>
          </w:p>
        </w:tc>
        <w:tc>
          <w:tcPr>
            <w:tcW w:w="558" w:type="pct"/>
            <w:shd w:val="clear" w:color="auto" w:fill="auto"/>
          </w:tcPr>
          <w:p w14:paraId="4421DA84" w14:textId="40F2B851"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2.32</w:t>
            </w:r>
          </w:p>
        </w:tc>
        <w:tc>
          <w:tcPr>
            <w:tcW w:w="558" w:type="pct"/>
            <w:shd w:val="clear" w:color="auto" w:fill="auto"/>
          </w:tcPr>
          <w:p w14:paraId="3E9DB453" w14:textId="0728D28B"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1.79</w:t>
            </w:r>
          </w:p>
        </w:tc>
        <w:tc>
          <w:tcPr>
            <w:tcW w:w="698" w:type="pct"/>
            <w:shd w:val="clear" w:color="auto" w:fill="auto"/>
          </w:tcPr>
          <w:p w14:paraId="431BB4E3" w14:textId="55D75625"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5</w:t>
            </w:r>
          </w:p>
        </w:tc>
        <w:tc>
          <w:tcPr>
            <w:tcW w:w="698" w:type="pct"/>
            <w:shd w:val="clear" w:color="auto" w:fill="FFFFFF" w:themeFill="background1"/>
          </w:tcPr>
          <w:p w14:paraId="18F72F0D" w14:textId="065B86EA"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0.50</w:t>
            </w:r>
          </w:p>
        </w:tc>
        <w:tc>
          <w:tcPr>
            <w:tcW w:w="605" w:type="pct"/>
            <w:gridSpan w:val="2"/>
            <w:shd w:val="clear" w:color="auto" w:fill="FFFFFF" w:themeFill="background1"/>
          </w:tcPr>
          <w:p w14:paraId="6E09DE42" w14:textId="4572C03E"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-4.2±8.4</w:t>
            </w:r>
            <w:r w:rsidRPr="00F46B63">
              <w:rPr>
                <w:rFonts w:ascii="Arial" w:hAnsi="Arial" w:cs="Arial"/>
                <w:sz w:val="18"/>
                <w:szCs w:val="18"/>
                <w:vertAlign w:val="superscript"/>
              </w:rPr>
              <w:t>a</w:t>
            </w:r>
          </w:p>
        </w:tc>
      </w:tr>
      <w:tr w:rsidR="005A2293" w:rsidRPr="00486849" w14:paraId="76D82CC6" w14:textId="70D321B3"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7780BADB" w14:textId="3335C1D4" w:rsidR="005A2293" w:rsidRPr="00F46B63" w:rsidRDefault="005A2293" w:rsidP="00ED06E1">
            <w:pPr>
              <w:spacing w:line="360" w:lineRule="auto"/>
              <w:jc w:val="both"/>
              <w:rPr>
                <w:rFonts w:ascii="Arial" w:hAnsi="Arial" w:cs="Arial"/>
                <w:sz w:val="18"/>
                <w:szCs w:val="18"/>
              </w:rPr>
            </w:pPr>
            <w:r w:rsidRPr="00F46B63">
              <w:rPr>
                <w:rFonts w:ascii="Arial" w:hAnsi="Arial" w:cs="Arial"/>
                <w:i/>
                <w:sz w:val="18"/>
                <w:szCs w:val="18"/>
              </w:rPr>
              <w:t>Cis-</w:t>
            </w:r>
            <w:r w:rsidRPr="00F46B63">
              <w:rPr>
                <w:rFonts w:ascii="Arial" w:hAnsi="Arial" w:cs="Arial"/>
                <w:sz w:val="18"/>
                <w:szCs w:val="18"/>
              </w:rPr>
              <w:t>pinonic acid</w:t>
            </w:r>
          </w:p>
        </w:tc>
        <w:tc>
          <w:tcPr>
            <w:tcW w:w="462" w:type="pct"/>
            <w:shd w:val="clear" w:color="auto" w:fill="auto"/>
          </w:tcPr>
          <w:p w14:paraId="208D6663" w14:textId="3059A767"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0.35</w:t>
            </w:r>
          </w:p>
        </w:tc>
        <w:tc>
          <w:tcPr>
            <w:tcW w:w="348" w:type="pct"/>
            <w:shd w:val="clear" w:color="auto" w:fill="auto"/>
          </w:tcPr>
          <w:p w14:paraId="6B9D9D22" w14:textId="14DC6CD0"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1.16</w:t>
            </w:r>
          </w:p>
        </w:tc>
        <w:tc>
          <w:tcPr>
            <w:tcW w:w="558" w:type="pct"/>
            <w:shd w:val="clear" w:color="auto" w:fill="auto"/>
          </w:tcPr>
          <w:p w14:paraId="6D8965E9" w14:textId="6B84D33F"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8.94</w:t>
            </w:r>
          </w:p>
        </w:tc>
        <w:tc>
          <w:tcPr>
            <w:tcW w:w="558" w:type="pct"/>
            <w:shd w:val="clear" w:color="auto" w:fill="auto"/>
          </w:tcPr>
          <w:p w14:paraId="18A211E6" w14:textId="61C8C062"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7.61</w:t>
            </w:r>
          </w:p>
        </w:tc>
        <w:tc>
          <w:tcPr>
            <w:tcW w:w="698" w:type="pct"/>
            <w:shd w:val="clear" w:color="auto" w:fill="auto"/>
          </w:tcPr>
          <w:p w14:paraId="1C955170" w14:textId="6743186C"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6</w:t>
            </w:r>
          </w:p>
        </w:tc>
        <w:tc>
          <w:tcPr>
            <w:tcW w:w="698" w:type="pct"/>
            <w:shd w:val="clear" w:color="auto" w:fill="FFFFFF" w:themeFill="background1"/>
          </w:tcPr>
          <w:p w14:paraId="276207F6" w14:textId="5C463CA9"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2818A183" w14:textId="5E45E1AA"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4.3±6.9</w:t>
            </w:r>
            <w:r w:rsidRPr="00F46B63">
              <w:rPr>
                <w:rFonts w:ascii="Arial" w:hAnsi="Arial" w:cs="Arial"/>
                <w:sz w:val="18"/>
                <w:szCs w:val="18"/>
                <w:vertAlign w:val="superscript"/>
              </w:rPr>
              <w:t>a</w:t>
            </w:r>
          </w:p>
        </w:tc>
      </w:tr>
      <w:tr w:rsidR="005A2293" w:rsidRPr="00486849" w14:paraId="112A5F5F" w14:textId="73A87448"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061CEE8D" w14:textId="59E12DB4" w:rsidR="005A2293" w:rsidRPr="00F46B63" w:rsidRDefault="005A2293" w:rsidP="00ED06E1">
            <w:pPr>
              <w:spacing w:line="360" w:lineRule="auto"/>
              <w:jc w:val="both"/>
              <w:rPr>
                <w:rFonts w:ascii="Arial" w:hAnsi="Arial" w:cs="Arial"/>
                <w:i/>
                <w:sz w:val="18"/>
                <w:szCs w:val="18"/>
              </w:rPr>
            </w:pPr>
            <w:r w:rsidRPr="00F46B63">
              <w:rPr>
                <w:rFonts w:ascii="Arial" w:hAnsi="Arial" w:cs="Arial"/>
                <w:sz w:val="18"/>
                <w:szCs w:val="18"/>
              </w:rPr>
              <w:t>Arachidonic acid</w:t>
            </w:r>
          </w:p>
        </w:tc>
        <w:tc>
          <w:tcPr>
            <w:tcW w:w="462" w:type="pct"/>
            <w:shd w:val="clear" w:color="auto" w:fill="auto"/>
          </w:tcPr>
          <w:p w14:paraId="1EF847C7" w14:textId="2EA32DBB"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0.44</w:t>
            </w:r>
          </w:p>
        </w:tc>
        <w:tc>
          <w:tcPr>
            <w:tcW w:w="348" w:type="pct"/>
            <w:shd w:val="clear" w:color="auto" w:fill="auto"/>
          </w:tcPr>
          <w:p w14:paraId="35E66BBE" w14:textId="1D675B3D"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1.46</w:t>
            </w:r>
          </w:p>
        </w:tc>
        <w:tc>
          <w:tcPr>
            <w:tcW w:w="558" w:type="pct"/>
            <w:shd w:val="clear" w:color="auto" w:fill="auto"/>
          </w:tcPr>
          <w:p w14:paraId="62ABD232" w14:textId="087A2094"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4.69</w:t>
            </w:r>
          </w:p>
        </w:tc>
        <w:tc>
          <w:tcPr>
            <w:tcW w:w="558" w:type="pct"/>
            <w:shd w:val="clear" w:color="auto" w:fill="auto"/>
          </w:tcPr>
          <w:p w14:paraId="63C038AE" w14:textId="4B179494"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14.09</w:t>
            </w:r>
          </w:p>
        </w:tc>
        <w:tc>
          <w:tcPr>
            <w:tcW w:w="698" w:type="pct"/>
            <w:shd w:val="clear" w:color="auto" w:fill="auto"/>
          </w:tcPr>
          <w:p w14:paraId="604B5130" w14:textId="4B3C5B2F"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9</w:t>
            </w:r>
          </w:p>
        </w:tc>
        <w:tc>
          <w:tcPr>
            <w:tcW w:w="698" w:type="pct"/>
            <w:shd w:val="clear" w:color="auto" w:fill="FFFFFF" w:themeFill="background1"/>
          </w:tcPr>
          <w:p w14:paraId="44768072" w14:textId="245560D5"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0F965A33" w14:textId="033F0F73"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1.1±3.1</w:t>
            </w:r>
            <w:r w:rsidRPr="00F46B63">
              <w:rPr>
                <w:rFonts w:ascii="Arial" w:hAnsi="Arial" w:cs="Arial"/>
                <w:sz w:val="18"/>
                <w:szCs w:val="18"/>
                <w:vertAlign w:val="superscript"/>
              </w:rPr>
              <w:t>b</w:t>
            </w:r>
          </w:p>
        </w:tc>
      </w:tr>
      <w:tr w:rsidR="005A2293" w:rsidRPr="00486849" w14:paraId="67B1F090" w14:textId="32829E1A"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68E85859" w14:textId="74D421F5" w:rsidR="005A2293" w:rsidRPr="00962EDB" w:rsidRDefault="005A2293" w:rsidP="00ED06E1">
            <w:pPr>
              <w:spacing w:line="360" w:lineRule="auto"/>
              <w:jc w:val="both"/>
              <w:rPr>
                <w:rFonts w:ascii="Arial" w:hAnsi="Arial" w:cs="Arial"/>
                <w:sz w:val="18"/>
                <w:szCs w:val="18"/>
              </w:rPr>
            </w:pPr>
            <w:r w:rsidRPr="00962EDB">
              <w:rPr>
                <w:rFonts w:ascii="Arial" w:hAnsi="Arial" w:cs="Arial"/>
                <w:sz w:val="18"/>
                <w:szCs w:val="18"/>
              </w:rPr>
              <w:t>Pinolic acid</w:t>
            </w:r>
          </w:p>
        </w:tc>
        <w:tc>
          <w:tcPr>
            <w:tcW w:w="462" w:type="pct"/>
            <w:shd w:val="clear" w:color="auto" w:fill="auto"/>
          </w:tcPr>
          <w:p w14:paraId="3492324A" w14:textId="0927AC44" w:rsidR="005A2293" w:rsidRPr="00962EDB"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0.59</w:t>
            </w:r>
          </w:p>
        </w:tc>
        <w:tc>
          <w:tcPr>
            <w:tcW w:w="348" w:type="pct"/>
            <w:shd w:val="clear" w:color="auto" w:fill="auto"/>
          </w:tcPr>
          <w:p w14:paraId="67A00032" w14:textId="6034D34E"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1.96</w:t>
            </w:r>
          </w:p>
        </w:tc>
        <w:tc>
          <w:tcPr>
            <w:tcW w:w="558" w:type="pct"/>
            <w:shd w:val="clear" w:color="auto" w:fill="auto"/>
          </w:tcPr>
          <w:p w14:paraId="7BE23EF3" w14:textId="2C1EE68F" w:rsidR="005A2293" w:rsidRPr="00962EDB"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8.38</w:t>
            </w:r>
          </w:p>
        </w:tc>
        <w:tc>
          <w:tcPr>
            <w:tcW w:w="558" w:type="pct"/>
            <w:shd w:val="clear" w:color="auto" w:fill="auto"/>
          </w:tcPr>
          <w:p w14:paraId="00346AAA" w14:textId="74ABBF99" w:rsidR="005A2293" w:rsidRPr="00962EDB"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7.40</w:t>
            </w:r>
          </w:p>
        </w:tc>
        <w:tc>
          <w:tcPr>
            <w:tcW w:w="698" w:type="pct"/>
            <w:shd w:val="clear" w:color="auto" w:fill="auto"/>
          </w:tcPr>
          <w:p w14:paraId="75ECAFD4" w14:textId="6872C954" w:rsidR="005A2293" w:rsidRPr="00962EDB" w:rsidRDefault="005A2293" w:rsidP="007915D3">
            <w:pPr>
              <w:tabs>
                <w:tab w:val="left" w:pos="1216"/>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12</w:t>
            </w:r>
          </w:p>
        </w:tc>
        <w:tc>
          <w:tcPr>
            <w:tcW w:w="698" w:type="pct"/>
            <w:shd w:val="clear" w:color="auto" w:fill="FFFFFF" w:themeFill="background1"/>
          </w:tcPr>
          <w:p w14:paraId="0600CC80" w14:textId="715C4B34" w:rsidR="005A2293" w:rsidRPr="00962EDB" w:rsidRDefault="005A2293" w:rsidP="00855223">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NA</w:t>
            </w:r>
          </w:p>
        </w:tc>
        <w:tc>
          <w:tcPr>
            <w:tcW w:w="605" w:type="pct"/>
            <w:gridSpan w:val="2"/>
            <w:shd w:val="clear" w:color="auto" w:fill="FFFFFF" w:themeFill="background1"/>
          </w:tcPr>
          <w:p w14:paraId="5A643582" w14:textId="39EF1A1D" w:rsidR="005A2293" w:rsidRPr="00962EDB" w:rsidRDefault="005A2293" w:rsidP="00855223">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EDB">
              <w:rPr>
                <w:rFonts w:ascii="Arial" w:hAnsi="Arial" w:cs="Arial"/>
                <w:sz w:val="18"/>
                <w:szCs w:val="18"/>
              </w:rPr>
              <w:t>-5.5±8.0</w:t>
            </w:r>
            <w:r w:rsidRPr="00F46B63">
              <w:rPr>
                <w:rFonts w:ascii="Arial" w:hAnsi="Arial" w:cs="Arial"/>
                <w:sz w:val="18"/>
                <w:szCs w:val="18"/>
                <w:vertAlign w:val="superscript"/>
              </w:rPr>
              <w:t>a</w:t>
            </w:r>
          </w:p>
        </w:tc>
      </w:tr>
      <w:tr w:rsidR="005A2293" w:rsidRPr="00486849" w14:paraId="62DC985B" w14:textId="6539D902"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3066A8A5" w14:textId="1DE9FD0B"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Meso-erythritol</w:t>
            </w:r>
          </w:p>
        </w:tc>
        <w:tc>
          <w:tcPr>
            <w:tcW w:w="462" w:type="pct"/>
            <w:shd w:val="clear" w:color="auto" w:fill="auto"/>
          </w:tcPr>
          <w:p w14:paraId="6D607DBB" w14:textId="2C817E9F"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2.57</w:t>
            </w:r>
          </w:p>
        </w:tc>
        <w:tc>
          <w:tcPr>
            <w:tcW w:w="348" w:type="pct"/>
            <w:shd w:val="clear" w:color="auto" w:fill="auto"/>
          </w:tcPr>
          <w:p w14:paraId="29C46D30" w14:textId="3B07B0B7"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8.62</w:t>
            </w:r>
          </w:p>
        </w:tc>
        <w:tc>
          <w:tcPr>
            <w:tcW w:w="558" w:type="pct"/>
            <w:shd w:val="clear" w:color="auto" w:fill="auto"/>
          </w:tcPr>
          <w:p w14:paraId="5DADCDA8" w14:textId="02375C60"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5.94</w:t>
            </w:r>
          </w:p>
        </w:tc>
        <w:tc>
          <w:tcPr>
            <w:tcW w:w="558" w:type="pct"/>
            <w:shd w:val="clear" w:color="auto" w:fill="auto"/>
          </w:tcPr>
          <w:p w14:paraId="6F9DA6D2" w14:textId="3195DF8C"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2.93</w:t>
            </w:r>
          </w:p>
        </w:tc>
        <w:tc>
          <w:tcPr>
            <w:tcW w:w="698" w:type="pct"/>
            <w:shd w:val="clear" w:color="auto" w:fill="auto"/>
          </w:tcPr>
          <w:p w14:paraId="0E15C512" w14:textId="2C524537"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17</w:t>
            </w:r>
          </w:p>
        </w:tc>
        <w:tc>
          <w:tcPr>
            <w:tcW w:w="698" w:type="pct"/>
            <w:shd w:val="clear" w:color="auto" w:fill="FFFFFF" w:themeFill="background1"/>
          </w:tcPr>
          <w:p w14:paraId="57408FE1" w14:textId="3F8D23A9"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428B2CB7" w14:textId="4DA8EF0C"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9.9±3.8</w:t>
            </w:r>
            <w:r w:rsidRPr="00F46B63">
              <w:rPr>
                <w:rFonts w:ascii="Arial" w:hAnsi="Arial" w:cs="Arial"/>
                <w:sz w:val="18"/>
                <w:szCs w:val="18"/>
                <w:vertAlign w:val="superscript"/>
              </w:rPr>
              <w:t>b</w:t>
            </w:r>
          </w:p>
        </w:tc>
      </w:tr>
      <w:tr w:rsidR="005A2293" w:rsidRPr="00486849" w14:paraId="2EAF3903" w14:textId="7DE7E4E6"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7289CE72" w14:textId="51FE7584"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β-nocaryophyllonic acid</w:t>
            </w:r>
          </w:p>
        </w:tc>
        <w:tc>
          <w:tcPr>
            <w:tcW w:w="462" w:type="pct"/>
            <w:shd w:val="clear" w:color="auto" w:fill="auto"/>
          </w:tcPr>
          <w:p w14:paraId="2BC1F12A" w14:textId="29EF2245" w:rsidR="005A2293" w:rsidRPr="00F46B63" w:rsidRDefault="005A2293" w:rsidP="00ED06E1">
            <w:pPr>
              <w:tabs>
                <w:tab w:val="left" w:pos="11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3.02</w:t>
            </w:r>
          </w:p>
        </w:tc>
        <w:tc>
          <w:tcPr>
            <w:tcW w:w="348" w:type="pct"/>
            <w:shd w:val="clear" w:color="auto" w:fill="auto"/>
          </w:tcPr>
          <w:p w14:paraId="4A4D9493" w14:textId="71E9460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10.06</w:t>
            </w:r>
          </w:p>
        </w:tc>
        <w:tc>
          <w:tcPr>
            <w:tcW w:w="558" w:type="pct"/>
            <w:shd w:val="clear" w:color="auto" w:fill="auto"/>
          </w:tcPr>
          <w:p w14:paraId="7043A211" w14:textId="549E1ECB"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2.52</w:t>
            </w:r>
          </w:p>
        </w:tc>
        <w:tc>
          <w:tcPr>
            <w:tcW w:w="558" w:type="pct"/>
            <w:shd w:val="clear" w:color="auto" w:fill="auto"/>
          </w:tcPr>
          <w:p w14:paraId="1D49ADB6" w14:textId="6FB7910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12.88</w:t>
            </w:r>
          </w:p>
        </w:tc>
        <w:tc>
          <w:tcPr>
            <w:tcW w:w="698" w:type="pct"/>
            <w:shd w:val="clear" w:color="auto" w:fill="auto"/>
          </w:tcPr>
          <w:p w14:paraId="2E99DE95" w14:textId="4BF3F1C9"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5</w:t>
            </w:r>
          </w:p>
        </w:tc>
        <w:tc>
          <w:tcPr>
            <w:tcW w:w="698" w:type="pct"/>
            <w:shd w:val="clear" w:color="auto" w:fill="FFFFFF" w:themeFill="background1"/>
          </w:tcPr>
          <w:p w14:paraId="007F4CBA" w14:textId="29815733"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484A19A8" w14:textId="24C99ED5"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6.8±8.6</w:t>
            </w:r>
            <w:r w:rsidRPr="00F46B63">
              <w:rPr>
                <w:rFonts w:ascii="Arial" w:hAnsi="Arial" w:cs="Arial"/>
                <w:sz w:val="18"/>
                <w:szCs w:val="18"/>
                <w:vertAlign w:val="superscript"/>
              </w:rPr>
              <w:t>a</w:t>
            </w:r>
          </w:p>
        </w:tc>
      </w:tr>
      <w:tr w:rsidR="005A2293" w:rsidRPr="00486849" w14:paraId="683B58D8" w14:textId="301F32BE"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132AFFD6" w14:textId="77777777"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Tricosanoic acid</w:t>
            </w:r>
          </w:p>
        </w:tc>
        <w:tc>
          <w:tcPr>
            <w:tcW w:w="462" w:type="pct"/>
            <w:shd w:val="clear" w:color="auto" w:fill="auto"/>
          </w:tcPr>
          <w:p w14:paraId="73A56841" w14:textId="249317AF"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3.82</w:t>
            </w:r>
          </w:p>
        </w:tc>
        <w:tc>
          <w:tcPr>
            <w:tcW w:w="348" w:type="pct"/>
            <w:shd w:val="clear" w:color="auto" w:fill="auto"/>
          </w:tcPr>
          <w:p w14:paraId="2B9D6DF4" w14:textId="7A49A290"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12.74</w:t>
            </w:r>
          </w:p>
        </w:tc>
        <w:tc>
          <w:tcPr>
            <w:tcW w:w="558" w:type="pct"/>
            <w:shd w:val="clear" w:color="auto" w:fill="auto"/>
          </w:tcPr>
          <w:p w14:paraId="2CBC9156" w14:textId="470F1D9B"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4.73</w:t>
            </w:r>
          </w:p>
        </w:tc>
        <w:tc>
          <w:tcPr>
            <w:tcW w:w="558" w:type="pct"/>
            <w:shd w:val="clear" w:color="auto" w:fill="auto"/>
          </w:tcPr>
          <w:p w14:paraId="518FEDE6" w14:textId="6DAD4EFF"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19.27</w:t>
            </w:r>
          </w:p>
        </w:tc>
        <w:tc>
          <w:tcPr>
            <w:tcW w:w="698" w:type="pct"/>
            <w:shd w:val="clear" w:color="auto" w:fill="auto"/>
          </w:tcPr>
          <w:p w14:paraId="19A67C9B" w14:textId="75C33512"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6</w:t>
            </w:r>
          </w:p>
        </w:tc>
        <w:tc>
          <w:tcPr>
            <w:tcW w:w="698" w:type="pct"/>
            <w:shd w:val="clear" w:color="auto" w:fill="FFFFFF" w:themeFill="background1"/>
          </w:tcPr>
          <w:p w14:paraId="5D3C2A9B" w14:textId="4A2FD203"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39E9D2AB" w14:textId="02A0C4CD"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16.8±5.3</w:t>
            </w:r>
            <w:r w:rsidRPr="00F46B63">
              <w:rPr>
                <w:rFonts w:ascii="Arial" w:hAnsi="Arial" w:cs="Arial"/>
                <w:sz w:val="18"/>
                <w:szCs w:val="18"/>
                <w:vertAlign w:val="superscript"/>
              </w:rPr>
              <w:t>b</w:t>
            </w:r>
          </w:p>
        </w:tc>
      </w:tr>
      <w:tr w:rsidR="005A2293" w:rsidRPr="00486849" w14:paraId="10340E12" w14:textId="3A1E17F3"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hideMark/>
          </w:tcPr>
          <w:p w14:paraId="4F6A6661" w14:textId="77777777" w:rsidR="005A2293" w:rsidRPr="00F46B63" w:rsidRDefault="005A2293" w:rsidP="00386475">
            <w:pPr>
              <w:spacing w:line="360" w:lineRule="auto"/>
              <w:jc w:val="both"/>
              <w:rPr>
                <w:rFonts w:ascii="Arial" w:hAnsi="Arial" w:cs="Arial"/>
                <w:sz w:val="18"/>
                <w:szCs w:val="18"/>
              </w:rPr>
            </w:pPr>
            <w:r w:rsidRPr="00F46B63">
              <w:rPr>
                <w:rFonts w:ascii="Arial" w:hAnsi="Arial" w:cs="Arial"/>
                <w:sz w:val="18"/>
                <w:szCs w:val="18"/>
              </w:rPr>
              <w:t>Salicylic acid</w:t>
            </w:r>
          </w:p>
        </w:tc>
        <w:tc>
          <w:tcPr>
            <w:tcW w:w="462" w:type="pct"/>
            <w:shd w:val="clear" w:color="auto" w:fill="auto"/>
          </w:tcPr>
          <w:p w14:paraId="3FE6830F" w14:textId="77777777" w:rsidR="005A2293" w:rsidRPr="00F46B63" w:rsidRDefault="005A2293" w:rsidP="0038647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5.44</w:t>
            </w:r>
          </w:p>
        </w:tc>
        <w:tc>
          <w:tcPr>
            <w:tcW w:w="348" w:type="pct"/>
            <w:shd w:val="clear" w:color="auto" w:fill="auto"/>
          </w:tcPr>
          <w:p w14:paraId="093EBEE7" w14:textId="5BD5F06B" w:rsidR="005A2293" w:rsidRPr="00F46B63" w:rsidRDefault="005A2293" w:rsidP="0038647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18.15</w:t>
            </w:r>
          </w:p>
        </w:tc>
        <w:tc>
          <w:tcPr>
            <w:tcW w:w="558" w:type="pct"/>
            <w:shd w:val="clear" w:color="auto" w:fill="auto"/>
          </w:tcPr>
          <w:p w14:paraId="49C68DFE" w14:textId="7A9EC739"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10.23</w:t>
            </w:r>
          </w:p>
        </w:tc>
        <w:tc>
          <w:tcPr>
            <w:tcW w:w="558" w:type="pct"/>
            <w:shd w:val="clear" w:color="auto" w:fill="auto"/>
          </w:tcPr>
          <w:p w14:paraId="472E5F56" w14:textId="59205E17" w:rsidR="005A2293" w:rsidRPr="00F46B63" w:rsidRDefault="005A2293" w:rsidP="0038647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7.61</w:t>
            </w:r>
          </w:p>
        </w:tc>
        <w:tc>
          <w:tcPr>
            <w:tcW w:w="698" w:type="pct"/>
            <w:shd w:val="clear" w:color="auto" w:fill="auto"/>
          </w:tcPr>
          <w:p w14:paraId="590C41A7" w14:textId="02A7C593" w:rsidR="005A2293" w:rsidRPr="00F46B63" w:rsidRDefault="005A2293" w:rsidP="0038647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12</w:t>
            </w:r>
          </w:p>
        </w:tc>
        <w:tc>
          <w:tcPr>
            <w:tcW w:w="698" w:type="pct"/>
            <w:shd w:val="clear" w:color="auto" w:fill="FFFFFF" w:themeFill="background1"/>
          </w:tcPr>
          <w:p w14:paraId="463F9496" w14:textId="0A825B4E" w:rsidR="005A2293" w:rsidRPr="00F46B63" w:rsidRDefault="005A2293" w:rsidP="0038647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738B1401" w14:textId="65DF121D" w:rsidR="005A2293" w:rsidRPr="00F46B63" w:rsidRDefault="005A2293" w:rsidP="0038647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7.5±6.0</w:t>
            </w:r>
            <w:r w:rsidRPr="00F46B63">
              <w:rPr>
                <w:rFonts w:ascii="Arial" w:hAnsi="Arial" w:cs="Arial"/>
                <w:sz w:val="18"/>
                <w:szCs w:val="18"/>
                <w:vertAlign w:val="superscript"/>
              </w:rPr>
              <w:t>a</w:t>
            </w:r>
          </w:p>
        </w:tc>
      </w:tr>
      <w:tr w:rsidR="005A2293" w:rsidRPr="00486849" w14:paraId="73CD4C5C" w14:textId="4BB30A34"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47CC3CD2" w14:textId="37F1AD23"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Behenic acid</w:t>
            </w:r>
          </w:p>
        </w:tc>
        <w:tc>
          <w:tcPr>
            <w:tcW w:w="462" w:type="pct"/>
            <w:shd w:val="clear" w:color="auto" w:fill="auto"/>
          </w:tcPr>
          <w:p w14:paraId="014622C7" w14:textId="4D8BDB99"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5.68</w:t>
            </w:r>
          </w:p>
        </w:tc>
        <w:tc>
          <w:tcPr>
            <w:tcW w:w="348" w:type="pct"/>
            <w:shd w:val="clear" w:color="auto" w:fill="auto"/>
          </w:tcPr>
          <w:p w14:paraId="7AB0E1A3" w14:textId="5D8B95DF"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18.93</w:t>
            </w:r>
          </w:p>
        </w:tc>
        <w:tc>
          <w:tcPr>
            <w:tcW w:w="558" w:type="pct"/>
            <w:shd w:val="clear" w:color="auto" w:fill="auto"/>
          </w:tcPr>
          <w:p w14:paraId="424C9591" w14:textId="10BCDEEF"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5.93</w:t>
            </w:r>
          </w:p>
        </w:tc>
        <w:tc>
          <w:tcPr>
            <w:tcW w:w="558" w:type="pct"/>
            <w:shd w:val="clear" w:color="auto" w:fill="auto"/>
          </w:tcPr>
          <w:p w14:paraId="6ECD3701" w14:textId="614229DB"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18.19</w:t>
            </w:r>
          </w:p>
        </w:tc>
        <w:tc>
          <w:tcPr>
            <w:tcW w:w="698" w:type="pct"/>
            <w:shd w:val="clear" w:color="auto" w:fill="auto"/>
          </w:tcPr>
          <w:p w14:paraId="51C4126E" w14:textId="18369519"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5</w:t>
            </w:r>
          </w:p>
        </w:tc>
        <w:tc>
          <w:tcPr>
            <w:tcW w:w="698" w:type="pct"/>
            <w:shd w:val="clear" w:color="auto" w:fill="FFFFFF" w:themeFill="background1"/>
          </w:tcPr>
          <w:p w14:paraId="323D46AE" w14:textId="4994D3BB"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32286995" w14:textId="78AB10D0"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20.6±2.9</w:t>
            </w:r>
            <w:r w:rsidRPr="00F46B63">
              <w:rPr>
                <w:rFonts w:ascii="Arial" w:hAnsi="Arial" w:cs="Arial"/>
                <w:sz w:val="18"/>
                <w:szCs w:val="18"/>
                <w:vertAlign w:val="superscript"/>
              </w:rPr>
              <w:t>b</w:t>
            </w:r>
          </w:p>
        </w:tc>
      </w:tr>
      <w:tr w:rsidR="005A2293" w:rsidRPr="00486849" w14:paraId="1BCC10E3" w14:textId="14BBF3B4"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02328944" w14:textId="5CA8679C"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Melissic acid</w:t>
            </w:r>
          </w:p>
        </w:tc>
        <w:tc>
          <w:tcPr>
            <w:tcW w:w="462" w:type="pct"/>
            <w:shd w:val="clear" w:color="auto" w:fill="auto"/>
          </w:tcPr>
          <w:p w14:paraId="67C8A2BC" w14:textId="439BBEC3"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6.08</w:t>
            </w:r>
          </w:p>
        </w:tc>
        <w:tc>
          <w:tcPr>
            <w:tcW w:w="348" w:type="pct"/>
            <w:shd w:val="clear" w:color="auto" w:fill="auto"/>
          </w:tcPr>
          <w:p w14:paraId="1717E683" w14:textId="55F5F3FF"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20.28</w:t>
            </w:r>
          </w:p>
        </w:tc>
        <w:tc>
          <w:tcPr>
            <w:tcW w:w="558" w:type="pct"/>
            <w:shd w:val="clear" w:color="auto" w:fill="auto"/>
          </w:tcPr>
          <w:p w14:paraId="5DA1C56A" w14:textId="0E3B77AB"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17.03</w:t>
            </w:r>
          </w:p>
        </w:tc>
        <w:tc>
          <w:tcPr>
            <w:tcW w:w="558" w:type="pct"/>
            <w:shd w:val="clear" w:color="auto" w:fill="auto"/>
          </w:tcPr>
          <w:p w14:paraId="0AF2DC67" w14:textId="0F12C1CE"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28.22</w:t>
            </w:r>
          </w:p>
        </w:tc>
        <w:tc>
          <w:tcPr>
            <w:tcW w:w="698" w:type="pct"/>
            <w:shd w:val="clear" w:color="auto" w:fill="auto"/>
          </w:tcPr>
          <w:p w14:paraId="21FE005C" w14:textId="2E9CCFAE" w:rsidR="005A2293" w:rsidRPr="00F46B63" w:rsidRDefault="005A2293" w:rsidP="00F46B63">
            <w:pPr>
              <w:tabs>
                <w:tab w:val="left" w:pos="1272"/>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10</w:t>
            </w:r>
          </w:p>
        </w:tc>
        <w:tc>
          <w:tcPr>
            <w:tcW w:w="698" w:type="pct"/>
            <w:shd w:val="clear" w:color="auto" w:fill="FFFFFF" w:themeFill="background1"/>
          </w:tcPr>
          <w:p w14:paraId="286091F4" w14:textId="05FF2FCF"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3C5737BE" w14:textId="64051898"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18±53</w:t>
            </w:r>
            <w:r w:rsidRPr="00F46B63">
              <w:rPr>
                <w:rFonts w:ascii="Arial" w:hAnsi="Arial" w:cs="Arial"/>
                <w:sz w:val="18"/>
                <w:szCs w:val="18"/>
                <w:vertAlign w:val="superscript"/>
              </w:rPr>
              <w:t>b</w:t>
            </w:r>
          </w:p>
        </w:tc>
      </w:tr>
      <w:tr w:rsidR="005A2293" w:rsidRPr="00486849" w14:paraId="10928F8A" w14:textId="371A8F27"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25F76CBF" w14:textId="1A5A91E9"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Nonadecanoic acid</w:t>
            </w:r>
          </w:p>
        </w:tc>
        <w:tc>
          <w:tcPr>
            <w:tcW w:w="462" w:type="pct"/>
            <w:shd w:val="clear" w:color="auto" w:fill="auto"/>
          </w:tcPr>
          <w:p w14:paraId="201390AA" w14:textId="1F9C662C"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6.32</w:t>
            </w:r>
          </w:p>
        </w:tc>
        <w:tc>
          <w:tcPr>
            <w:tcW w:w="348" w:type="pct"/>
            <w:shd w:val="clear" w:color="auto" w:fill="auto"/>
          </w:tcPr>
          <w:p w14:paraId="29A182DB" w14:textId="0DCE171C"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21.07</w:t>
            </w:r>
          </w:p>
        </w:tc>
        <w:tc>
          <w:tcPr>
            <w:tcW w:w="558" w:type="pct"/>
            <w:shd w:val="clear" w:color="auto" w:fill="auto"/>
          </w:tcPr>
          <w:p w14:paraId="2809486F" w14:textId="33F0AF48"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2.00</w:t>
            </w:r>
          </w:p>
        </w:tc>
        <w:tc>
          <w:tcPr>
            <w:tcW w:w="558" w:type="pct"/>
            <w:shd w:val="clear" w:color="auto" w:fill="auto"/>
          </w:tcPr>
          <w:p w14:paraId="3425CEC5" w14:textId="221F5B96"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15.91</w:t>
            </w:r>
          </w:p>
        </w:tc>
        <w:tc>
          <w:tcPr>
            <w:tcW w:w="698" w:type="pct"/>
            <w:shd w:val="clear" w:color="auto" w:fill="auto"/>
          </w:tcPr>
          <w:p w14:paraId="297A32C9" w14:textId="64F46DDE"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12</w:t>
            </w:r>
          </w:p>
        </w:tc>
        <w:tc>
          <w:tcPr>
            <w:tcW w:w="698" w:type="pct"/>
            <w:shd w:val="clear" w:color="auto" w:fill="FFFFFF" w:themeFill="background1"/>
          </w:tcPr>
          <w:p w14:paraId="6D2DC95B" w14:textId="7C7B0747"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67FC0E42" w14:textId="7E4B3385"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30±23</w:t>
            </w:r>
            <w:r w:rsidRPr="00F46B63">
              <w:rPr>
                <w:rFonts w:ascii="Arial" w:hAnsi="Arial" w:cs="Arial"/>
                <w:sz w:val="18"/>
                <w:szCs w:val="18"/>
                <w:vertAlign w:val="superscript"/>
              </w:rPr>
              <w:t>b</w:t>
            </w:r>
          </w:p>
        </w:tc>
      </w:tr>
      <w:tr w:rsidR="005A2293" w:rsidRPr="00486849" w14:paraId="17D99234" w14:textId="459D4753"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61994EC3" w14:textId="77F4BF6B"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Heptacosanoic acid</w:t>
            </w:r>
          </w:p>
        </w:tc>
        <w:tc>
          <w:tcPr>
            <w:tcW w:w="462" w:type="pct"/>
            <w:shd w:val="clear" w:color="auto" w:fill="auto"/>
          </w:tcPr>
          <w:p w14:paraId="516F806E" w14:textId="03606A81"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6.97</w:t>
            </w:r>
          </w:p>
        </w:tc>
        <w:tc>
          <w:tcPr>
            <w:tcW w:w="348" w:type="pct"/>
            <w:shd w:val="clear" w:color="auto" w:fill="auto"/>
          </w:tcPr>
          <w:p w14:paraId="3D9EE3E3" w14:textId="7029B792"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23.19</w:t>
            </w:r>
          </w:p>
        </w:tc>
        <w:tc>
          <w:tcPr>
            <w:tcW w:w="558" w:type="pct"/>
            <w:shd w:val="clear" w:color="auto" w:fill="auto"/>
          </w:tcPr>
          <w:p w14:paraId="5435CCDD" w14:textId="294CB77D"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12.21</w:t>
            </w:r>
          </w:p>
        </w:tc>
        <w:tc>
          <w:tcPr>
            <w:tcW w:w="558" w:type="pct"/>
            <w:shd w:val="clear" w:color="auto" w:fill="auto"/>
          </w:tcPr>
          <w:p w14:paraId="139952D6" w14:textId="072C93FC"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25.29</w:t>
            </w:r>
          </w:p>
        </w:tc>
        <w:tc>
          <w:tcPr>
            <w:tcW w:w="698" w:type="pct"/>
            <w:shd w:val="clear" w:color="auto" w:fill="auto"/>
          </w:tcPr>
          <w:p w14:paraId="7C0B8746" w14:textId="1AC04ED8"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7</w:t>
            </w:r>
          </w:p>
        </w:tc>
        <w:tc>
          <w:tcPr>
            <w:tcW w:w="698" w:type="pct"/>
            <w:shd w:val="clear" w:color="auto" w:fill="FFFFFF" w:themeFill="background1"/>
          </w:tcPr>
          <w:p w14:paraId="0D447F70" w14:textId="09F9A5D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01FE707A" w14:textId="5D32A9A0"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3.0±3.4</w:t>
            </w:r>
            <w:r w:rsidRPr="00F46B63">
              <w:rPr>
                <w:rFonts w:ascii="Arial" w:hAnsi="Arial" w:cs="Arial"/>
                <w:sz w:val="18"/>
                <w:szCs w:val="18"/>
                <w:vertAlign w:val="superscript"/>
              </w:rPr>
              <w:t>b</w:t>
            </w:r>
          </w:p>
        </w:tc>
      </w:tr>
      <w:tr w:rsidR="005A2293" w:rsidRPr="00486849" w14:paraId="010602D1" w14:textId="72540F20"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10CA964E" w14:textId="18DD8094"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Octacosanoic acid</w:t>
            </w:r>
          </w:p>
        </w:tc>
        <w:tc>
          <w:tcPr>
            <w:tcW w:w="462" w:type="pct"/>
            <w:shd w:val="clear" w:color="auto" w:fill="auto"/>
          </w:tcPr>
          <w:p w14:paraId="46F4F7C4" w14:textId="049A6032"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9.99</w:t>
            </w:r>
          </w:p>
        </w:tc>
        <w:tc>
          <w:tcPr>
            <w:tcW w:w="348" w:type="pct"/>
            <w:shd w:val="clear" w:color="auto" w:fill="auto"/>
          </w:tcPr>
          <w:p w14:paraId="3ED1F458" w14:textId="560EBBF4"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33.28</w:t>
            </w:r>
          </w:p>
        </w:tc>
        <w:tc>
          <w:tcPr>
            <w:tcW w:w="558" w:type="pct"/>
            <w:shd w:val="clear" w:color="auto" w:fill="auto"/>
          </w:tcPr>
          <w:p w14:paraId="5887949F" w14:textId="40555493"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11.73</w:t>
            </w:r>
          </w:p>
        </w:tc>
        <w:tc>
          <w:tcPr>
            <w:tcW w:w="558" w:type="pct"/>
            <w:shd w:val="clear" w:color="auto" w:fill="auto"/>
          </w:tcPr>
          <w:p w14:paraId="17979B27" w14:textId="2F011B78"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27.46</w:t>
            </w:r>
          </w:p>
        </w:tc>
        <w:tc>
          <w:tcPr>
            <w:tcW w:w="698" w:type="pct"/>
            <w:shd w:val="clear" w:color="auto" w:fill="auto"/>
          </w:tcPr>
          <w:p w14:paraId="2E27F013" w14:textId="554D3DB9"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8</w:t>
            </w:r>
          </w:p>
        </w:tc>
        <w:tc>
          <w:tcPr>
            <w:tcW w:w="698" w:type="pct"/>
            <w:shd w:val="clear" w:color="auto" w:fill="FFFFFF" w:themeFill="background1"/>
          </w:tcPr>
          <w:p w14:paraId="0C505628" w14:textId="3D392EE9"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09CDEFA6" w14:textId="609FBC6B"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11.7±6.5</w:t>
            </w:r>
            <w:r w:rsidRPr="00F46B63">
              <w:rPr>
                <w:rFonts w:ascii="Arial" w:hAnsi="Arial" w:cs="Arial"/>
                <w:sz w:val="18"/>
                <w:szCs w:val="18"/>
                <w:vertAlign w:val="superscript"/>
              </w:rPr>
              <w:t>b</w:t>
            </w:r>
          </w:p>
        </w:tc>
      </w:tr>
      <w:tr w:rsidR="005A2293" w:rsidRPr="00486849" w14:paraId="6C2DB19F" w14:textId="16A1D651"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5EA6CDF0" w14:textId="7B31CC26"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Lauric acid</w:t>
            </w:r>
          </w:p>
        </w:tc>
        <w:tc>
          <w:tcPr>
            <w:tcW w:w="462" w:type="pct"/>
            <w:shd w:val="clear" w:color="auto" w:fill="auto"/>
          </w:tcPr>
          <w:p w14:paraId="40374B01" w14:textId="4071BE59"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10.91</w:t>
            </w:r>
          </w:p>
        </w:tc>
        <w:tc>
          <w:tcPr>
            <w:tcW w:w="348" w:type="pct"/>
            <w:shd w:val="clear" w:color="auto" w:fill="auto"/>
          </w:tcPr>
          <w:p w14:paraId="24452A00" w14:textId="060A43D3"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36.35</w:t>
            </w:r>
          </w:p>
        </w:tc>
        <w:tc>
          <w:tcPr>
            <w:tcW w:w="558" w:type="pct"/>
            <w:shd w:val="clear" w:color="auto" w:fill="auto"/>
          </w:tcPr>
          <w:p w14:paraId="72825418" w14:textId="13F6C00C"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4.47</w:t>
            </w:r>
          </w:p>
        </w:tc>
        <w:tc>
          <w:tcPr>
            <w:tcW w:w="558" w:type="pct"/>
            <w:shd w:val="clear" w:color="auto" w:fill="auto"/>
          </w:tcPr>
          <w:p w14:paraId="0C69042A" w14:textId="645D8348"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13.56</w:t>
            </w:r>
          </w:p>
        </w:tc>
        <w:tc>
          <w:tcPr>
            <w:tcW w:w="698" w:type="pct"/>
            <w:shd w:val="clear" w:color="auto" w:fill="auto"/>
          </w:tcPr>
          <w:p w14:paraId="33D181A5" w14:textId="4451536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5</w:t>
            </w:r>
          </w:p>
        </w:tc>
        <w:tc>
          <w:tcPr>
            <w:tcW w:w="698" w:type="pct"/>
            <w:shd w:val="clear" w:color="auto" w:fill="FFFFFF" w:themeFill="background1"/>
          </w:tcPr>
          <w:p w14:paraId="25FCBEBA" w14:textId="57EF2A1E"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16FDCCE5" w14:textId="2C0BF638"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15.6±6.6</w:t>
            </w:r>
            <w:r w:rsidRPr="00F46B63">
              <w:rPr>
                <w:rFonts w:ascii="Arial" w:hAnsi="Arial" w:cs="Arial"/>
                <w:sz w:val="18"/>
                <w:szCs w:val="18"/>
                <w:vertAlign w:val="superscript"/>
              </w:rPr>
              <w:t>b</w:t>
            </w:r>
          </w:p>
        </w:tc>
      </w:tr>
      <w:tr w:rsidR="005A2293" w:rsidRPr="00486849" w14:paraId="1C91C622" w14:textId="0FFC3195"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3004089D" w14:textId="77144F52"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Heptadecanoic acid</w:t>
            </w:r>
          </w:p>
        </w:tc>
        <w:tc>
          <w:tcPr>
            <w:tcW w:w="462" w:type="pct"/>
            <w:shd w:val="clear" w:color="auto" w:fill="auto"/>
          </w:tcPr>
          <w:p w14:paraId="25CB3F96" w14:textId="6133EC0E"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12.83</w:t>
            </w:r>
          </w:p>
        </w:tc>
        <w:tc>
          <w:tcPr>
            <w:tcW w:w="348" w:type="pct"/>
            <w:shd w:val="clear" w:color="auto" w:fill="auto"/>
          </w:tcPr>
          <w:p w14:paraId="01531B16" w14:textId="3196C0AD"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42.76</w:t>
            </w:r>
          </w:p>
        </w:tc>
        <w:tc>
          <w:tcPr>
            <w:tcW w:w="558" w:type="pct"/>
            <w:shd w:val="clear" w:color="auto" w:fill="auto"/>
          </w:tcPr>
          <w:p w14:paraId="3108B389" w14:textId="413B54B4"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6.27</w:t>
            </w:r>
          </w:p>
        </w:tc>
        <w:tc>
          <w:tcPr>
            <w:tcW w:w="558" w:type="pct"/>
            <w:shd w:val="clear" w:color="auto" w:fill="auto"/>
          </w:tcPr>
          <w:p w14:paraId="6C42DA4E" w14:textId="0CE10EFD"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14.92</w:t>
            </w:r>
          </w:p>
        </w:tc>
        <w:tc>
          <w:tcPr>
            <w:tcW w:w="698" w:type="pct"/>
            <w:shd w:val="clear" w:color="auto" w:fill="auto"/>
          </w:tcPr>
          <w:p w14:paraId="5BBDCED5" w14:textId="7288E837"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5</w:t>
            </w:r>
          </w:p>
        </w:tc>
        <w:tc>
          <w:tcPr>
            <w:tcW w:w="698" w:type="pct"/>
            <w:shd w:val="clear" w:color="auto" w:fill="FFFFFF" w:themeFill="background1"/>
          </w:tcPr>
          <w:p w14:paraId="7C853010" w14:textId="18CE69BD"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1718AD45" w14:textId="6D6CE798"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10±27</w:t>
            </w:r>
            <w:r w:rsidRPr="00F46B63">
              <w:rPr>
                <w:rFonts w:ascii="Arial" w:hAnsi="Arial" w:cs="Arial"/>
                <w:sz w:val="18"/>
                <w:szCs w:val="18"/>
                <w:vertAlign w:val="superscript"/>
              </w:rPr>
              <w:t>b</w:t>
            </w:r>
          </w:p>
        </w:tc>
      </w:tr>
      <w:tr w:rsidR="005A2293" w:rsidRPr="00486849" w14:paraId="144157BB" w14:textId="74930170"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1476996D" w14:textId="235BEDAC"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Myristic acid</w:t>
            </w:r>
          </w:p>
        </w:tc>
        <w:tc>
          <w:tcPr>
            <w:tcW w:w="462" w:type="pct"/>
            <w:shd w:val="clear" w:color="auto" w:fill="auto"/>
          </w:tcPr>
          <w:p w14:paraId="24E89622" w14:textId="18B9AB77"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15.74</w:t>
            </w:r>
          </w:p>
        </w:tc>
        <w:tc>
          <w:tcPr>
            <w:tcW w:w="348" w:type="pct"/>
            <w:shd w:val="clear" w:color="auto" w:fill="auto"/>
          </w:tcPr>
          <w:p w14:paraId="09D45E49" w14:textId="64600E46"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52.46</w:t>
            </w:r>
          </w:p>
        </w:tc>
        <w:tc>
          <w:tcPr>
            <w:tcW w:w="558" w:type="pct"/>
            <w:shd w:val="clear" w:color="auto" w:fill="auto"/>
          </w:tcPr>
          <w:p w14:paraId="64835062" w14:textId="5F93A5D8" w:rsidR="005A2293" w:rsidRPr="00F46B63" w:rsidRDefault="002D34D6"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19.14</w:t>
            </w:r>
          </w:p>
        </w:tc>
        <w:tc>
          <w:tcPr>
            <w:tcW w:w="558" w:type="pct"/>
            <w:shd w:val="clear" w:color="auto" w:fill="auto"/>
          </w:tcPr>
          <w:p w14:paraId="3331D862" w14:textId="35DC6E61"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13.94</w:t>
            </w:r>
          </w:p>
        </w:tc>
        <w:tc>
          <w:tcPr>
            <w:tcW w:w="698" w:type="pct"/>
            <w:shd w:val="clear" w:color="auto" w:fill="auto"/>
          </w:tcPr>
          <w:p w14:paraId="1A46F47B" w14:textId="02630060"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6</w:t>
            </w:r>
          </w:p>
        </w:tc>
        <w:tc>
          <w:tcPr>
            <w:tcW w:w="698" w:type="pct"/>
            <w:shd w:val="clear" w:color="auto" w:fill="FFFFFF" w:themeFill="background1"/>
          </w:tcPr>
          <w:p w14:paraId="265E8C83" w14:textId="04CAA800"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4C656E09" w14:textId="2C7232E3"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46B63">
              <w:rPr>
                <w:rFonts w:ascii="Arial" w:hAnsi="Arial" w:cs="Arial"/>
                <w:sz w:val="18"/>
                <w:szCs w:val="18"/>
              </w:rPr>
              <w:t>8.0±7.6</w:t>
            </w:r>
            <w:r w:rsidRPr="00F46B63">
              <w:rPr>
                <w:rFonts w:ascii="Arial" w:hAnsi="Arial" w:cs="Arial"/>
                <w:sz w:val="18"/>
                <w:szCs w:val="18"/>
                <w:vertAlign w:val="superscript"/>
              </w:rPr>
              <w:t>b</w:t>
            </w:r>
          </w:p>
        </w:tc>
      </w:tr>
      <w:tr w:rsidR="005A2293" w:rsidRPr="00486849" w14:paraId="690BA017" w14:textId="2BEB2F68" w:rsidTr="002D34D6">
        <w:trPr>
          <w:trHeight w:val="225"/>
          <w:jc w:val="center"/>
        </w:trPr>
        <w:tc>
          <w:tcPr>
            <w:cnfStyle w:val="001000000000" w:firstRow="0" w:lastRow="0" w:firstColumn="1" w:lastColumn="0" w:oddVBand="0" w:evenVBand="0" w:oddHBand="0" w:evenHBand="0" w:firstRowFirstColumn="0" w:firstRowLastColumn="0" w:lastRowFirstColumn="0" w:lastRowLastColumn="0"/>
            <w:tcW w:w="1073" w:type="pct"/>
            <w:shd w:val="clear" w:color="auto" w:fill="FFFFFF" w:themeFill="background1"/>
            <w:noWrap/>
          </w:tcPr>
          <w:p w14:paraId="29CF681E" w14:textId="2BD9BCB6" w:rsidR="005A2293" w:rsidRPr="00F46B63" w:rsidRDefault="005A2293" w:rsidP="00ED06E1">
            <w:pPr>
              <w:spacing w:line="360" w:lineRule="auto"/>
              <w:jc w:val="both"/>
              <w:rPr>
                <w:rFonts w:ascii="Arial" w:hAnsi="Arial" w:cs="Arial"/>
                <w:sz w:val="18"/>
                <w:szCs w:val="18"/>
              </w:rPr>
            </w:pPr>
            <w:r w:rsidRPr="00F46B63">
              <w:rPr>
                <w:rFonts w:ascii="Arial" w:hAnsi="Arial" w:cs="Arial"/>
                <w:sz w:val="18"/>
                <w:szCs w:val="18"/>
              </w:rPr>
              <w:t>Oleic acid</w:t>
            </w:r>
          </w:p>
        </w:tc>
        <w:tc>
          <w:tcPr>
            <w:tcW w:w="462" w:type="pct"/>
            <w:shd w:val="clear" w:color="auto" w:fill="auto"/>
          </w:tcPr>
          <w:p w14:paraId="14DA0FCE" w14:textId="5B295D32" w:rsidR="005A2293" w:rsidRPr="00F46B63" w:rsidRDefault="005A2293" w:rsidP="00ED06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15.75</w:t>
            </w:r>
          </w:p>
        </w:tc>
        <w:tc>
          <w:tcPr>
            <w:tcW w:w="348" w:type="pct"/>
            <w:shd w:val="clear" w:color="auto" w:fill="auto"/>
          </w:tcPr>
          <w:p w14:paraId="0C9D2190" w14:textId="28DF3DE0"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52.49</w:t>
            </w:r>
          </w:p>
        </w:tc>
        <w:tc>
          <w:tcPr>
            <w:tcW w:w="558" w:type="pct"/>
            <w:shd w:val="clear" w:color="auto" w:fill="auto"/>
          </w:tcPr>
          <w:p w14:paraId="1BBD4643" w14:textId="51D170D5" w:rsidR="005A2293" w:rsidRPr="00F46B63" w:rsidRDefault="002D34D6" w:rsidP="002D34D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20.13</w:t>
            </w:r>
          </w:p>
        </w:tc>
        <w:tc>
          <w:tcPr>
            <w:tcW w:w="558" w:type="pct"/>
            <w:shd w:val="clear" w:color="auto" w:fill="auto"/>
          </w:tcPr>
          <w:p w14:paraId="031D4EFC" w14:textId="1CAFB4F1"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14.60</w:t>
            </w:r>
          </w:p>
        </w:tc>
        <w:tc>
          <w:tcPr>
            <w:tcW w:w="698" w:type="pct"/>
            <w:shd w:val="clear" w:color="auto" w:fill="auto"/>
          </w:tcPr>
          <w:p w14:paraId="166BB978" w14:textId="0141BFE5"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3</w:t>
            </w:r>
          </w:p>
        </w:tc>
        <w:tc>
          <w:tcPr>
            <w:tcW w:w="698" w:type="pct"/>
            <w:shd w:val="clear" w:color="auto" w:fill="FFFFFF" w:themeFill="background1"/>
          </w:tcPr>
          <w:p w14:paraId="2E861620" w14:textId="14CC9D02"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NA</w:t>
            </w:r>
          </w:p>
        </w:tc>
        <w:tc>
          <w:tcPr>
            <w:tcW w:w="605" w:type="pct"/>
            <w:gridSpan w:val="2"/>
            <w:shd w:val="clear" w:color="auto" w:fill="FFFFFF" w:themeFill="background1"/>
          </w:tcPr>
          <w:p w14:paraId="7D0EED09" w14:textId="32CBDFAF" w:rsidR="005A2293" w:rsidRPr="00F46B63" w:rsidRDefault="005A2293" w:rsidP="00ED06E1">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6B63">
              <w:rPr>
                <w:rFonts w:ascii="Arial" w:hAnsi="Arial" w:cs="Arial"/>
                <w:sz w:val="18"/>
                <w:szCs w:val="18"/>
              </w:rPr>
              <w:t>-9±15</w:t>
            </w:r>
            <w:r w:rsidRPr="00F46B63">
              <w:rPr>
                <w:rFonts w:ascii="Arial" w:hAnsi="Arial" w:cs="Arial"/>
                <w:sz w:val="18"/>
                <w:szCs w:val="18"/>
                <w:vertAlign w:val="superscript"/>
              </w:rPr>
              <w:t>b</w:t>
            </w:r>
          </w:p>
        </w:tc>
      </w:tr>
      <w:tr w:rsidR="005A2293" w:rsidRPr="00486849" w14:paraId="7B95FF1E" w14:textId="5B9BD11C" w:rsidTr="002D34D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073" w:type="pct"/>
            <w:tcBorders>
              <w:bottom w:val="single" w:sz="4" w:space="0" w:color="auto"/>
            </w:tcBorders>
            <w:shd w:val="clear" w:color="auto" w:fill="FFFFFF" w:themeFill="background1"/>
            <w:noWrap/>
          </w:tcPr>
          <w:p w14:paraId="44963139" w14:textId="39307CC0" w:rsidR="005A2293" w:rsidRPr="00F46B63" w:rsidRDefault="005A2293" w:rsidP="00ED06E1">
            <w:pPr>
              <w:spacing w:line="360" w:lineRule="auto"/>
              <w:jc w:val="both"/>
              <w:rPr>
                <w:rFonts w:ascii="Arial" w:hAnsi="Arial" w:cs="Arial"/>
                <w:sz w:val="18"/>
                <w:szCs w:val="18"/>
              </w:rPr>
            </w:pPr>
          </w:p>
        </w:tc>
        <w:tc>
          <w:tcPr>
            <w:tcW w:w="462" w:type="pct"/>
            <w:tcBorders>
              <w:bottom w:val="single" w:sz="4" w:space="0" w:color="auto"/>
            </w:tcBorders>
            <w:shd w:val="clear" w:color="auto" w:fill="auto"/>
          </w:tcPr>
          <w:p w14:paraId="50EB25DB" w14:textId="74110650" w:rsidR="005A2293" w:rsidRPr="00F46B63" w:rsidRDefault="005A2293" w:rsidP="00ED06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48" w:type="pct"/>
            <w:tcBorders>
              <w:bottom w:val="single" w:sz="4" w:space="0" w:color="auto"/>
            </w:tcBorders>
            <w:shd w:val="clear" w:color="auto" w:fill="auto"/>
          </w:tcPr>
          <w:p w14:paraId="68182DB4" w14:textId="7777777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58" w:type="pct"/>
            <w:tcBorders>
              <w:bottom w:val="single" w:sz="4" w:space="0" w:color="auto"/>
            </w:tcBorders>
            <w:shd w:val="clear" w:color="auto" w:fill="auto"/>
          </w:tcPr>
          <w:p w14:paraId="14057D3A" w14:textId="77777777" w:rsidR="005A2293" w:rsidRPr="00F46B63" w:rsidRDefault="005A2293" w:rsidP="002D34D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58" w:type="pct"/>
            <w:tcBorders>
              <w:bottom w:val="single" w:sz="4" w:space="0" w:color="auto"/>
            </w:tcBorders>
            <w:shd w:val="clear" w:color="auto" w:fill="auto"/>
          </w:tcPr>
          <w:p w14:paraId="029E48DB" w14:textId="473D4178"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8" w:type="pct"/>
            <w:tcBorders>
              <w:bottom w:val="single" w:sz="4" w:space="0" w:color="auto"/>
            </w:tcBorders>
            <w:shd w:val="clear" w:color="auto" w:fill="auto"/>
          </w:tcPr>
          <w:p w14:paraId="0D5DB3B5" w14:textId="7777777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8" w:type="pct"/>
            <w:tcBorders>
              <w:bottom w:val="single" w:sz="4" w:space="0" w:color="auto"/>
            </w:tcBorders>
            <w:shd w:val="clear" w:color="auto" w:fill="FFFFFF" w:themeFill="background1"/>
          </w:tcPr>
          <w:p w14:paraId="1A52F537" w14:textId="5B839940"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5" w:type="pct"/>
            <w:gridSpan w:val="2"/>
            <w:tcBorders>
              <w:bottom w:val="single" w:sz="4" w:space="0" w:color="auto"/>
            </w:tcBorders>
            <w:shd w:val="clear" w:color="auto" w:fill="FFFFFF" w:themeFill="background1"/>
          </w:tcPr>
          <w:p w14:paraId="033BC4D1" w14:textId="77777777" w:rsidR="005A2293" w:rsidRPr="00F46B63" w:rsidRDefault="005A2293" w:rsidP="00ED06E1">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4C3F3F43" w14:textId="22A5FB4E" w:rsidR="00076784" w:rsidRDefault="00450684" w:rsidP="008A68BF">
      <w:pPr>
        <w:spacing w:line="360" w:lineRule="auto"/>
        <w:jc w:val="both"/>
        <w:rPr>
          <w:rFonts w:ascii="Arial" w:hAnsi="Arial" w:cs="Arial"/>
        </w:rPr>
      </w:pPr>
      <w:r w:rsidRPr="00F46B63">
        <w:rPr>
          <w:rFonts w:ascii="Arial" w:hAnsi="Arial" w:cs="Arial"/>
          <w:vertAlign w:val="superscript"/>
        </w:rPr>
        <w:t>a</w:t>
      </w:r>
      <w:r>
        <w:rPr>
          <w:rFonts w:ascii="Arial" w:hAnsi="Arial" w:cs="Arial"/>
        </w:rPr>
        <w:t> </w:t>
      </w:r>
      <w:r w:rsidR="00172699">
        <w:rPr>
          <w:rFonts w:ascii="Arial" w:hAnsi="Arial" w:cs="Arial"/>
        </w:rPr>
        <w:t>Evaluated in the concentration range 0-</w:t>
      </w:r>
      <w:r>
        <w:rPr>
          <w:rFonts w:ascii="Arial" w:hAnsi="Arial" w:cs="Arial"/>
        </w:rPr>
        <w:t>10</w:t>
      </w:r>
      <w:r w:rsidR="00BE243D">
        <w:rPr>
          <w:rFonts w:ascii="Arial" w:hAnsi="Arial" w:cs="Arial"/>
        </w:rPr>
        <w:t xml:space="preserve"> </w:t>
      </w:r>
      <w:r>
        <w:rPr>
          <w:rFonts w:ascii="Arial" w:hAnsi="Arial" w:cs="Arial"/>
        </w:rPr>
        <w:t xml:space="preserve">ppb; </w:t>
      </w:r>
      <w:r w:rsidRPr="00F46B63">
        <w:rPr>
          <w:rFonts w:ascii="Arial" w:hAnsi="Arial" w:cs="Arial"/>
          <w:vertAlign w:val="superscript"/>
        </w:rPr>
        <w:t>b</w:t>
      </w:r>
      <w:r>
        <w:rPr>
          <w:rFonts w:ascii="Arial" w:hAnsi="Arial" w:cs="Arial"/>
        </w:rPr>
        <w:t> </w:t>
      </w:r>
      <w:r w:rsidR="00172699">
        <w:rPr>
          <w:rFonts w:ascii="Arial" w:hAnsi="Arial" w:cs="Arial"/>
        </w:rPr>
        <w:t>Evaluated in the concentration range 0-</w:t>
      </w:r>
      <w:r>
        <w:rPr>
          <w:rFonts w:ascii="Arial" w:hAnsi="Arial" w:cs="Arial"/>
        </w:rPr>
        <w:t>100</w:t>
      </w:r>
      <w:r w:rsidR="00BE243D">
        <w:rPr>
          <w:rFonts w:ascii="Arial" w:hAnsi="Arial" w:cs="Arial"/>
        </w:rPr>
        <w:t xml:space="preserve"> </w:t>
      </w:r>
      <w:r>
        <w:rPr>
          <w:rFonts w:ascii="Arial" w:hAnsi="Arial" w:cs="Arial"/>
        </w:rPr>
        <w:t>ppb</w:t>
      </w:r>
      <w:r w:rsidR="00BE243D">
        <w:rPr>
          <w:rFonts w:ascii="Arial" w:hAnsi="Arial" w:cs="Arial"/>
        </w:rPr>
        <w:t>.</w:t>
      </w:r>
      <w:r w:rsidR="00076784">
        <w:rPr>
          <w:rFonts w:ascii="Arial" w:hAnsi="Arial" w:cs="Arial"/>
        </w:rPr>
        <w:t xml:space="preserve"> *</w:t>
      </w:r>
      <w:r w:rsidR="00076784" w:rsidRPr="00076784">
        <w:t xml:space="preserve"> </w:t>
      </w:r>
      <w:r w:rsidR="00076784" w:rsidRPr="00076784">
        <w:rPr>
          <w:rFonts w:ascii="Arial" w:hAnsi="Arial" w:cs="Arial"/>
        </w:rPr>
        <w:t>Butane-1,2,3,4-tetracarboxylic acid</w:t>
      </w:r>
      <w:r w:rsidR="00076784">
        <w:rPr>
          <w:rFonts w:ascii="Arial" w:hAnsi="Arial" w:cs="Arial"/>
        </w:rPr>
        <w:t>. **</w:t>
      </w:r>
      <w:r w:rsidR="00076784" w:rsidRPr="00076784">
        <w:t xml:space="preserve"> </w:t>
      </w:r>
      <w:r w:rsidR="00076784" w:rsidRPr="00076784">
        <w:rPr>
          <w:rFonts w:ascii="Arial" w:hAnsi="Arial" w:cs="Arial"/>
        </w:rPr>
        <w:t>3-methyl-1,2,3-butanetricarboxylic acid</w:t>
      </w:r>
      <w:r w:rsidR="00076784">
        <w:rPr>
          <w:rFonts w:ascii="Arial" w:hAnsi="Arial" w:cs="Arial"/>
        </w:rPr>
        <w:t>.</w:t>
      </w:r>
    </w:p>
    <w:p w14:paraId="54A6AAF0" w14:textId="6E3C80F0" w:rsidR="005A2293" w:rsidRDefault="005A2293" w:rsidP="008A68BF">
      <w:pPr>
        <w:spacing w:line="360" w:lineRule="auto"/>
        <w:jc w:val="both"/>
        <w:rPr>
          <w:rFonts w:ascii="Arial" w:hAnsi="Arial" w:cs="Arial"/>
        </w:rPr>
      </w:pPr>
    </w:p>
    <w:p w14:paraId="222B748B" w14:textId="48712CB6" w:rsidR="005A2293" w:rsidRDefault="005A2293" w:rsidP="008A68BF">
      <w:pPr>
        <w:spacing w:line="360" w:lineRule="auto"/>
        <w:jc w:val="both"/>
        <w:rPr>
          <w:rFonts w:ascii="Arial" w:hAnsi="Arial" w:cs="Arial"/>
        </w:rPr>
      </w:pPr>
    </w:p>
    <w:p w14:paraId="38CD12BE" w14:textId="359EABA3" w:rsidR="005A2293" w:rsidRDefault="005A2293" w:rsidP="008A68BF">
      <w:pPr>
        <w:spacing w:line="360" w:lineRule="auto"/>
        <w:jc w:val="both"/>
        <w:rPr>
          <w:rFonts w:ascii="Arial" w:hAnsi="Arial" w:cs="Arial"/>
        </w:rPr>
      </w:pPr>
    </w:p>
    <w:p w14:paraId="232B6B27" w14:textId="16503CC9" w:rsidR="005A2293" w:rsidRDefault="005A2293" w:rsidP="008A68BF">
      <w:pPr>
        <w:spacing w:line="360" w:lineRule="auto"/>
        <w:jc w:val="both"/>
        <w:rPr>
          <w:rFonts w:ascii="Arial" w:hAnsi="Arial" w:cs="Arial"/>
        </w:rPr>
      </w:pPr>
    </w:p>
    <w:p w14:paraId="1F38B713" w14:textId="0FA99658" w:rsidR="005A2293" w:rsidRDefault="005A2293" w:rsidP="008A68BF">
      <w:pPr>
        <w:spacing w:line="360" w:lineRule="auto"/>
        <w:jc w:val="both"/>
        <w:rPr>
          <w:rFonts w:ascii="Arial" w:hAnsi="Arial" w:cs="Arial"/>
        </w:rPr>
      </w:pPr>
    </w:p>
    <w:p w14:paraId="77F96B2F" w14:textId="01C1482B" w:rsidR="005A2293" w:rsidRDefault="005A2293" w:rsidP="008A68BF">
      <w:pPr>
        <w:spacing w:line="360" w:lineRule="auto"/>
        <w:jc w:val="both"/>
        <w:rPr>
          <w:rFonts w:ascii="Arial" w:hAnsi="Arial" w:cs="Arial"/>
        </w:rPr>
      </w:pPr>
    </w:p>
    <w:p w14:paraId="6EFA52F0" w14:textId="77777777" w:rsidR="005A2293" w:rsidRPr="00942BF9" w:rsidRDefault="005A2293" w:rsidP="008A68BF">
      <w:pPr>
        <w:spacing w:line="360" w:lineRule="auto"/>
        <w:jc w:val="both"/>
        <w:rPr>
          <w:rFonts w:ascii="Arial" w:hAnsi="Arial" w:cs="Arial"/>
        </w:rPr>
      </w:pPr>
    </w:p>
    <w:p w14:paraId="77DA9842" w14:textId="77777777" w:rsidR="005A2293" w:rsidRDefault="005A2293" w:rsidP="003A5F09">
      <w:pPr>
        <w:pStyle w:val="Heading1"/>
        <w:spacing w:line="360" w:lineRule="auto"/>
        <w:jc w:val="both"/>
        <w:rPr>
          <w:rFonts w:ascii="Arial" w:hAnsi="Arial" w:cs="Arial"/>
          <w:color w:val="000000" w:themeColor="text1"/>
          <w:sz w:val="22"/>
          <w:szCs w:val="22"/>
        </w:rPr>
        <w:sectPr w:rsidR="005A2293" w:rsidSect="005A2293">
          <w:pgSz w:w="15840" w:h="12240" w:orient="landscape" w:code="1"/>
          <w:pgMar w:top="1440" w:right="1440" w:bottom="1440" w:left="1440" w:header="709" w:footer="709" w:gutter="0"/>
          <w:lnNumType w:countBy="1" w:restart="continuous"/>
          <w:cols w:space="708"/>
          <w:docGrid w:linePitch="360"/>
        </w:sectPr>
      </w:pPr>
    </w:p>
    <w:p w14:paraId="0D573356" w14:textId="279E1D66" w:rsidR="003A5F09" w:rsidRPr="003A5F09" w:rsidRDefault="003A5F09" w:rsidP="003A5F09">
      <w:pPr>
        <w:pStyle w:val="Heading1"/>
        <w:spacing w:line="360" w:lineRule="auto"/>
        <w:jc w:val="both"/>
        <w:rPr>
          <w:rFonts w:ascii="Arial" w:hAnsi="Arial" w:cs="Arial"/>
          <w:color w:val="000000" w:themeColor="text1"/>
          <w:sz w:val="22"/>
          <w:szCs w:val="22"/>
        </w:rPr>
      </w:pPr>
      <w:r w:rsidRPr="003A5F09">
        <w:rPr>
          <w:rFonts w:ascii="Arial" w:hAnsi="Arial" w:cs="Arial"/>
          <w:color w:val="000000" w:themeColor="text1"/>
          <w:sz w:val="22"/>
          <w:szCs w:val="22"/>
        </w:rPr>
        <w:t>3.3</w:t>
      </w:r>
      <w:r w:rsidR="00B46D66">
        <w:rPr>
          <w:rFonts w:ascii="Arial" w:hAnsi="Arial" w:cs="Arial"/>
          <w:color w:val="000000" w:themeColor="text1"/>
          <w:sz w:val="22"/>
          <w:szCs w:val="22"/>
        </w:rPr>
        <w:t xml:space="preserve">. </w:t>
      </w:r>
      <w:r w:rsidR="00826587">
        <w:rPr>
          <w:rFonts w:ascii="Arial" w:hAnsi="Arial" w:cs="Arial"/>
          <w:color w:val="000000" w:themeColor="text1"/>
          <w:sz w:val="22"/>
          <w:szCs w:val="22"/>
        </w:rPr>
        <w:t>Method</w:t>
      </w:r>
      <w:r w:rsidR="00DA7EE4">
        <w:rPr>
          <w:rFonts w:ascii="Arial" w:hAnsi="Arial" w:cs="Arial"/>
          <w:color w:val="000000" w:themeColor="text1"/>
          <w:sz w:val="22"/>
          <w:szCs w:val="22"/>
        </w:rPr>
        <w:t xml:space="preserve"> </w:t>
      </w:r>
      <w:r w:rsidR="00066EFD">
        <w:rPr>
          <w:rFonts w:ascii="Arial" w:hAnsi="Arial" w:cs="Arial"/>
          <w:color w:val="000000" w:themeColor="text1"/>
          <w:sz w:val="22"/>
          <w:szCs w:val="22"/>
        </w:rPr>
        <w:t>c</w:t>
      </w:r>
      <w:r w:rsidR="00066EFD" w:rsidRPr="003A5F09">
        <w:rPr>
          <w:rFonts w:ascii="Arial" w:hAnsi="Arial" w:cs="Arial"/>
          <w:color w:val="000000" w:themeColor="text1"/>
          <w:sz w:val="22"/>
          <w:szCs w:val="22"/>
        </w:rPr>
        <w:t>omparison</w:t>
      </w:r>
    </w:p>
    <w:p w14:paraId="3F583834" w14:textId="3B3D20C7" w:rsidR="00124E1E" w:rsidRDefault="00826587" w:rsidP="00F46B63">
      <w:pPr>
        <w:spacing w:line="360" w:lineRule="auto"/>
        <w:jc w:val="both"/>
        <w:rPr>
          <w:rFonts w:ascii="Arial" w:hAnsi="Arial" w:cs="Arial"/>
        </w:rPr>
      </w:pPr>
      <w:r>
        <w:rPr>
          <w:rFonts w:ascii="Arial" w:hAnsi="Arial" w:cs="Arial"/>
        </w:rPr>
        <w:t>A method</w:t>
      </w:r>
      <w:r w:rsidR="00DA7EE4">
        <w:rPr>
          <w:rFonts w:ascii="Arial" w:hAnsi="Arial" w:cs="Arial"/>
        </w:rPr>
        <w:t xml:space="preserve"> </w:t>
      </w:r>
      <w:r w:rsidR="00124E1E">
        <w:rPr>
          <w:rFonts w:ascii="Arial" w:hAnsi="Arial" w:cs="Arial"/>
        </w:rPr>
        <w:t>comparison was done to assess the accuracy of the direct injection UHPLC-</w:t>
      </w:r>
      <w:r w:rsidR="00A63E93">
        <w:rPr>
          <w:rFonts w:ascii="Arial" w:hAnsi="Arial" w:cs="Arial"/>
        </w:rPr>
        <w:t>ESI-HR</w:t>
      </w:r>
      <w:r w:rsidR="00124E1E">
        <w:rPr>
          <w:rFonts w:ascii="Arial" w:hAnsi="Arial" w:cs="Arial"/>
        </w:rPr>
        <w:t>MS method</w:t>
      </w:r>
      <w:r w:rsidR="00DA7EE4">
        <w:rPr>
          <w:rFonts w:ascii="Arial" w:hAnsi="Arial" w:cs="Arial"/>
        </w:rPr>
        <w:t>, comparing i</w:t>
      </w:r>
      <w:r w:rsidR="00124E1E">
        <w:rPr>
          <w:rFonts w:ascii="Arial" w:hAnsi="Arial" w:cs="Arial"/>
        </w:rPr>
        <w:t xml:space="preserve">ce </w:t>
      </w:r>
      <w:r w:rsidR="00124E1E" w:rsidRPr="00E855B0">
        <w:rPr>
          <w:rFonts w:ascii="Arial" w:hAnsi="Arial" w:cs="Arial"/>
        </w:rPr>
        <w:t>samples from the Belukha glacier ice core</w:t>
      </w:r>
      <w:r w:rsidR="00A63E93" w:rsidRPr="00E855B0">
        <w:rPr>
          <w:rFonts w:ascii="Arial" w:hAnsi="Arial" w:cs="Arial"/>
        </w:rPr>
        <w:t xml:space="preserve"> </w:t>
      </w:r>
      <w:r w:rsidR="00A3014F">
        <w:rPr>
          <w:rFonts w:ascii="Arial" w:hAnsi="Arial" w:cs="Arial"/>
        </w:rPr>
        <w:t xml:space="preserve">measured </w:t>
      </w:r>
      <w:r w:rsidR="00A63E93" w:rsidRPr="00E855B0">
        <w:rPr>
          <w:rFonts w:ascii="Arial" w:hAnsi="Arial" w:cs="Arial"/>
        </w:rPr>
        <w:t xml:space="preserve">both with the method </w:t>
      </w:r>
      <w:r w:rsidR="00076784">
        <w:rPr>
          <w:rFonts w:ascii="Arial" w:hAnsi="Arial" w:cs="Arial"/>
        </w:rPr>
        <w:t>developed</w:t>
      </w:r>
      <w:r w:rsidR="00A63E93" w:rsidRPr="00E855B0">
        <w:rPr>
          <w:rFonts w:ascii="Arial" w:hAnsi="Arial" w:cs="Arial"/>
        </w:rPr>
        <w:t xml:space="preserve"> in this study and with the method </w:t>
      </w:r>
      <w:r w:rsidR="00076784">
        <w:rPr>
          <w:rFonts w:ascii="Arial" w:hAnsi="Arial" w:cs="Arial"/>
        </w:rPr>
        <w:t>developed</w:t>
      </w:r>
      <w:r w:rsidR="00E826C1" w:rsidRPr="00E855B0">
        <w:rPr>
          <w:rFonts w:ascii="Arial" w:hAnsi="Arial" w:cs="Arial"/>
        </w:rPr>
        <w:t xml:space="preserve"> by King et al. </w:t>
      </w:r>
      <w:r w:rsidR="00E855B0" w:rsidRPr="006E43C7">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sidRPr="006E43C7">
        <w:rPr>
          <w:rFonts w:ascii="Arial" w:hAnsi="Arial" w:cs="Arial"/>
        </w:rPr>
        <w:fldChar w:fldCharType="separate"/>
      </w:r>
      <w:r w:rsidR="002B34DF" w:rsidRPr="002B34DF">
        <w:rPr>
          <w:rFonts w:ascii="Arial" w:hAnsi="Arial" w:cs="Arial"/>
          <w:noProof/>
          <w:vertAlign w:val="superscript"/>
        </w:rPr>
        <w:t>5</w:t>
      </w:r>
      <w:r w:rsidR="00E855B0" w:rsidRPr="006E43C7">
        <w:rPr>
          <w:rFonts w:ascii="Arial" w:hAnsi="Arial" w:cs="Arial"/>
        </w:rPr>
        <w:fldChar w:fldCharType="end"/>
      </w:r>
      <w:r w:rsidR="00E826C1" w:rsidRPr="00E855B0">
        <w:rPr>
          <w:rFonts w:ascii="Arial" w:hAnsi="Arial" w:cs="Arial"/>
        </w:rPr>
        <w:t>.</w:t>
      </w:r>
      <w:r w:rsidR="00C64885" w:rsidRPr="00E855B0">
        <w:rPr>
          <w:rFonts w:ascii="Arial" w:hAnsi="Arial" w:cs="Arial"/>
        </w:rPr>
        <w:t xml:space="preserve"> The method </w:t>
      </w:r>
      <w:r w:rsidR="00076784">
        <w:rPr>
          <w:rFonts w:ascii="Arial" w:hAnsi="Arial" w:cs="Arial"/>
        </w:rPr>
        <w:t>of</w:t>
      </w:r>
      <w:r w:rsidR="00C64885" w:rsidRPr="00E855B0">
        <w:rPr>
          <w:rFonts w:ascii="Arial" w:hAnsi="Arial" w:cs="Arial"/>
        </w:rPr>
        <w:t xml:space="preserve"> King et al. </w:t>
      </w:r>
      <w:r w:rsidR="00E855B0" w:rsidRPr="006E43C7">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sidRPr="006E43C7">
        <w:rPr>
          <w:rFonts w:ascii="Arial" w:hAnsi="Arial" w:cs="Arial"/>
        </w:rPr>
        <w:fldChar w:fldCharType="separate"/>
      </w:r>
      <w:r w:rsidR="002B34DF" w:rsidRPr="002B34DF">
        <w:rPr>
          <w:rFonts w:ascii="Arial" w:hAnsi="Arial" w:cs="Arial"/>
          <w:noProof/>
          <w:vertAlign w:val="superscript"/>
        </w:rPr>
        <w:t>5</w:t>
      </w:r>
      <w:r w:rsidR="00E855B0" w:rsidRPr="006E43C7">
        <w:rPr>
          <w:rFonts w:ascii="Arial" w:hAnsi="Arial" w:cs="Arial"/>
        </w:rPr>
        <w:fldChar w:fldCharType="end"/>
      </w:r>
      <w:r w:rsidR="00E855B0" w:rsidRPr="00E855B0">
        <w:rPr>
          <w:rFonts w:ascii="Arial" w:hAnsi="Arial" w:cs="Arial"/>
        </w:rPr>
        <w:t xml:space="preserve"> </w:t>
      </w:r>
      <w:r w:rsidR="00C64885" w:rsidRPr="00E855B0">
        <w:rPr>
          <w:rFonts w:ascii="Arial" w:hAnsi="Arial" w:cs="Arial"/>
        </w:rPr>
        <w:t xml:space="preserve">used rotary-evaporation to </w:t>
      </w:r>
      <w:r w:rsidR="00152308" w:rsidRPr="00E855B0">
        <w:rPr>
          <w:rFonts w:ascii="Arial" w:hAnsi="Arial" w:cs="Arial"/>
        </w:rPr>
        <w:t xml:space="preserve">preconcentrate the samples before analysis with HPLC-ESI-HRMS using an </w:t>
      </w:r>
      <w:r w:rsidR="00DE6E45" w:rsidRPr="00E855B0">
        <w:rPr>
          <w:rFonts w:ascii="Arial" w:hAnsi="Arial" w:cs="Arial"/>
        </w:rPr>
        <w:t xml:space="preserve">Accela system HPLC (Thermo Scientific, Bremen, Germany) coupled to an LTQ Velos Orbitrap (Thermo Scientific, Bremen, Germany) </w:t>
      </w:r>
      <w:r w:rsidR="00E855B0" w:rsidRPr="006E43C7">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http://www.mendeley.com/documents/?uuid=89647759-cbd7-4ec1-8214-d096d2119170"]}],"mendeley":{"formattedCitation":"&lt;sup&gt;5&lt;/sup&gt;","plainTextFormattedCitation":"5","previouslyFormattedCitation":"&lt;sup&gt;5&lt;/sup&gt;"},"properties":{"noteIndex":0},"schema":"https://github.com/citation-style-language/schema/raw/master/csl-citation.json"}</w:instrText>
      </w:r>
      <w:r w:rsidR="00E855B0" w:rsidRPr="006E43C7">
        <w:rPr>
          <w:rFonts w:ascii="Arial" w:hAnsi="Arial" w:cs="Arial"/>
        </w:rPr>
        <w:fldChar w:fldCharType="separate"/>
      </w:r>
      <w:r w:rsidR="002B34DF" w:rsidRPr="002B34DF">
        <w:rPr>
          <w:rFonts w:ascii="Arial" w:hAnsi="Arial" w:cs="Arial"/>
          <w:noProof/>
          <w:vertAlign w:val="superscript"/>
        </w:rPr>
        <w:t>5</w:t>
      </w:r>
      <w:r w:rsidR="00E855B0" w:rsidRPr="006E43C7">
        <w:rPr>
          <w:rFonts w:ascii="Arial" w:hAnsi="Arial" w:cs="Arial"/>
        </w:rPr>
        <w:fldChar w:fldCharType="end"/>
      </w:r>
      <w:r w:rsidR="00DE6E45" w:rsidRPr="00E855B0">
        <w:rPr>
          <w:rFonts w:ascii="Arial" w:hAnsi="Arial" w:cs="Arial"/>
        </w:rPr>
        <w:t>.</w:t>
      </w:r>
      <w:r w:rsidR="00DA7EE4">
        <w:rPr>
          <w:rFonts w:ascii="Arial" w:hAnsi="Arial" w:cs="Arial"/>
        </w:rPr>
        <w:t xml:space="preserve"> An inter</w:t>
      </w:r>
      <w:r w:rsidR="00076784">
        <w:rPr>
          <w:rFonts w:ascii="Arial" w:hAnsi="Arial" w:cs="Arial"/>
        </w:rPr>
        <w:t>-</w:t>
      </w:r>
      <w:r w:rsidR="00DA7EE4">
        <w:rPr>
          <w:rFonts w:ascii="Arial" w:hAnsi="Arial" w:cs="Arial"/>
        </w:rPr>
        <w:t xml:space="preserve">laboratory comparison has already been carried in King et al. </w:t>
      </w:r>
      <w:r w:rsidR="00DA7EE4">
        <w:rPr>
          <w:rFonts w:ascii="Arial" w:hAnsi="Arial" w:cs="Arial"/>
        </w:rPr>
        <w:fldChar w:fldCharType="begin" w:fldLock="1"/>
      </w:r>
      <w:r w:rsidR="009C6FFE">
        <w:rPr>
          <w:rFonts w:ascii="Arial" w:hAnsi="Arial" w:cs="Arial"/>
        </w:rPr>
        <w:instrText>ADDIN CSL_CITATION {"citationItems":[{"id":"ITEM-1","itemData":{"DOI":"10.1016/j.talanta.2018.10.042","author":[{"dropping-particle":"","family":"King","given":"Amy C.F.","non-dropping-particle":"","parse-names":false,"suffix":""},{"dropping-particle":"","family":"Giorio","given":"Chiara","non-dropping-particle":"","parse-names":false,"suffix":""},{"dropping-particle":"","family":"Wolff","given":"Eric","non-dropping-particle":"","parse-names":false,"suffix":""},{"dropping-particle":"","family":"Thomas","given":"Elizabeth","non-dropping-particle":"","parse-names":false,"suffix":""},{"dropping-particle":"","family":"Karroca","given":"Ornela","non-dropping-particle":"","parse-names":false,"suffix":""},{"dropping-particle":"","family":"Roverso","given":"Marco","non-dropping-particle":"","parse-names":false,"suffix":""},{"dropping-particle":"","family":"Schwikowski","given":"Margit","non-dropping-particle":"","parse-names":false,"suffix":""},{"dropping-particle":"","family":"Tapparo","given":"Andrea","non-dropping-particle":"","parse-names":false,"suffix":""},{"dropping-particle":"","family":"Gambaro","given":"Andrea","non-dropping-particle":"","parse-names":false,"suffix":""},{"dropping-particle":"","family":"Kalberer","given":"Markus","non-dropping-particle":"","parse-names":false,"suffix":""}],"container-title":"Talanta","id":"ITEM-1","issued":{"date-parts":[["2019"]]},"page":"233-242","title":"A new method for the determination of primary and secondary terrestrial and marine biomarkers in ice cores using liquid chromatography high-resolution mass spectrometry","type":"article-journal","volume":"194"},"uris":["http://www.mendeley.com/documents/?uuid=b31002da-47b0-4c42-b3bb-79c5bd14097f"]}],"mendeley":{"formattedCitation":"&lt;sup&gt;5&lt;/sup&gt;","plainTextFormattedCitation":"5","previouslyFormattedCitation":"&lt;sup&gt;5&lt;/sup&gt;"},"properties":{"noteIndex":0},"schema":"https://github.com/citation-style-language/schema/raw/master/csl-citation.json"}</w:instrText>
      </w:r>
      <w:r w:rsidR="00DA7EE4">
        <w:rPr>
          <w:rFonts w:ascii="Arial" w:hAnsi="Arial" w:cs="Arial"/>
        </w:rPr>
        <w:fldChar w:fldCharType="separate"/>
      </w:r>
      <w:r w:rsidR="002B34DF" w:rsidRPr="002B34DF">
        <w:rPr>
          <w:rFonts w:ascii="Arial" w:hAnsi="Arial" w:cs="Arial"/>
          <w:noProof/>
          <w:vertAlign w:val="superscript"/>
        </w:rPr>
        <w:t>5</w:t>
      </w:r>
      <w:r w:rsidR="00DA7EE4">
        <w:rPr>
          <w:rFonts w:ascii="Arial" w:hAnsi="Arial" w:cs="Arial"/>
        </w:rPr>
        <w:fldChar w:fldCharType="end"/>
      </w:r>
      <w:r w:rsidR="00DA7EE4">
        <w:rPr>
          <w:rFonts w:ascii="Arial" w:hAnsi="Arial" w:cs="Arial"/>
        </w:rPr>
        <w:t xml:space="preserve"> showing that sample concentrations measured on </w:t>
      </w:r>
      <w:r w:rsidR="00076784">
        <w:rPr>
          <w:rFonts w:ascii="Arial" w:hAnsi="Arial" w:cs="Arial"/>
        </w:rPr>
        <w:t>the previously used</w:t>
      </w:r>
      <w:r w:rsidR="00DA7EE4">
        <w:rPr>
          <w:rFonts w:ascii="Arial" w:hAnsi="Arial" w:cs="Arial"/>
        </w:rPr>
        <w:t xml:space="preserve"> instrument are reliably reproduced on the instrument used in this study, and therefore our sample concentrations of the preconcentrated method are accurate</w:t>
      </w:r>
      <w:r w:rsidR="00A3014F">
        <w:rPr>
          <w:rFonts w:ascii="Arial" w:hAnsi="Arial" w:cs="Arial"/>
        </w:rPr>
        <w:t xml:space="preserve"> and may be reliably compared to the direct injection samples</w:t>
      </w:r>
      <w:r w:rsidR="00DA7EE4">
        <w:rPr>
          <w:rFonts w:ascii="Arial" w:hAnsi="Arial" w:cs="Arial"/>
        </w:rPr>
        <w:t>.</w:t>
      </w:r>
    </w:p>
    <w:p w14:paraId="5957D957" w14:textId="78BF494D" w:rsidR="00C569C2" w:rsidRDefault="00AF1813" w:rsidP="00AF1813">
      <w:pPr>
        <w:spacing w:line="360" w:lineRule="auto"/>
        <w:jc w:val="both"/>
        <w:rPr>
          <w:rFonts w:ascii="Arial" w:hAnsi="Arial" w:cs="Arial"/>
        </w:rPr>
      </w:pPr>
      <w:r>
        <w:rPr>
          <w:rFonts w:ascii="Arial" w:hAnsi="Arial" w:cs="Arial"/>
        </w:rPr>
        <w:t xml:space="preserve">Compounds detected in the preconcentrated </w:t>
      </w:r>
      <w:r w:rsidR="003F3499">
        <w:rPr>
          <w:rFonts w:ascii="Arial" w:hAnsi="Arial" w:cs="Arial"/>
        </w:rPr>
        <w:t xml:space="preserve">Belukha </w:t>
      </w:r>
      <w:r>
        <w:rPr>
          <w:rFonts w:ascii="Arial" w:hAnsi="Arial" w:cs="Arial"/>
        </w:rPr>
        <w:t xml:space="preserve">samples were as follows; </w:t>
      </w:r>
      <w:r w:rsidR="007027E0">
        <w:rPr>
          <w:rFonts w:ascii="Arial" w:hAnsi="Arial" w:cs="Arial"/>
        </w:rPr>
        <w:t>D-malic acid, t</w:t>
      </w:r>
      <w:r w:rsidRPr="00AF1813">
        <w:rPr>
          <w:rFonts w:ascii="Arial" w:hAnsi="Arial" w:cs="Arial"/>
        </w:rPr>
        <w:t>ere</w:t>
      </w:r>
      <w:r w:rsidR="007027E0">
        <w:rPr>
          <w:rFonts w:ascii="Arial" w:hAnsi="Arial" w:cs="Arial"/>
        </w:rPr>
        <w:t>bic acid, m</w:t>
      </w:r>
      <w:r w:rsidRPr="00AF1813">
        <w:rPr>
          <w:rFonts w:ascii="Arial" w:hAnsi="Arial" w:cs="Arial"/>
        </w:rPr>
        <w:t xml:space="preserve">ethyl-tetrols, </w:t>
      </w:r>
      <w:r w:rsidR="007027E0">
        <w:rPr>
          <w:rFonts w:ascii="Arial" w:hAnsi="Arial" w:cs="Arial"/>
        </w:rPr>
        <w:t>p</w:t>
      </w:r>
      <w:r>
        <w:rPr>
          <w:rFonts w:ascii="Arial" w:hAnsi="Arial" w:cs="Arial"/>
        </w:rPr>
        <w:t xml:space="preserve">imelic acid, </w:t>
      </w:r>
      <w:r w:rsidR="007027E0">
        <w:rPr>
          <w:rFonts w:ascii="Arial" w:hAnsi="Arial" w:cs="Arial"/>
        </w:rPr>
        <w:t>k</w:t>
      </w:r>
      <w:r w:rsidRPr="00AF1813">
        <w:rPr>
          <w:rFonts w:ascii="Arial" w:hAnsi="Arial" w:cs="Arial"/>
        </w:rPr>
        <w:t>eto</w:t>
      </w:r>
      <w:r w:rsidR="007027E0">
        <w:rPr>
          <w:rFonts w:ascii="Arial" w:hAnsi="Arial" w:cs="Arial"/>
        </w:rPr>
        <w:t>-pinic acid, cis-pinonic acid, heptacosanoic acid, octacosanoic acid, and m</w:t>
      </w:r>
      <w:r w:rsidRPr="00AF1813">
        <w:rPr>
          <w:rFonts w:ascii="Arial" w:hAnsi="Arial" w:cs="Arial"/>
        </w:rPr>
        <w:t>elissic acid</w:t>
      </w:r>
      <w:r>
        <w:rPr>
          <w:rFonts w:ascii="Arial" w:hAnsi="Arial" w:cs="Arial"/>
        </w:rPr>
        <w:t xml:space="preserve">. </w:t>
      </w:r>
      <w:r w:rsidR="00B95320">
        <w:rPr>
          <w:rFonts w:ascii="Arial" w:hAnsi="Arial" w:cs="Arial"/>
        </w:rPr>
        <w:t xml:space="preserve">MBTCA was detected in a very few samples above detection limits. </w:t>
      </w:r>
      <w:r>
        <w:rPr>
          <w:rFonts w:ascii="Arial" w:hAnsi="Arial" w:cs="Arial"/>
        </w:rPr>
        <w:t xml:space="preserve">In the direct injection </w:t>
      </w:r>
      <w:r w:rsidR="0011334B">
        <w:rPr>
          <w:rFonts w:ascii="Arial" w:hAnsi="Arial" w:cs="Arial"/>
        </w:rPr>
        <w:t>method</w:t>
      </w:r>
      <w:r>
        <w:rPr>
          <w:rFonts w:ascii="Arial" w:hAnsi="Arial" w:cs="Arial"/>
        </w:rPr>
        <w:t xml:space="preserve"> compounds detected were </w:t>
      </w:r>
      <w:r w:rsidR="00B95320">
        <w:rPr>
          <w:rFonts w:ascii="Arial" w:hAnsi="Arial" w:cs="Arial"/>
        </w:rPr>
        <w:t xml:space="preserve">MBTCA, </w:t>
      </w:r>
      <w:r w:rsidR="007027E0">
        <w:rPr>
          <w:rFonts w:ascii="Arial" w:hAnsi="Arial" w:cs="Arial"/>
        </w:rPr>
        <w:t>D-malic acid, terebic acid, methyl-tetrols, pimelic acid and k</w:t>
      </w:r>
      <w:r>
        <w:rPr>
          <w:rFonts w:ascii="Arial" w:hAnsi="Arial" w:cs="Arial"/>
        </w:rPr>
        <w:t xml:space="preserve">eto-pinic acid. </w:t>
      </w:r>
      <w:r w:rsidR="008C4ABA">
        <w:rPr>
          <w:rFonts w:ascii="Arial" w:hAnsi="Arial" w:cs="Arial"/>
        </w:rPr>
        <w:t xml:space="preserve">BTCA </w:t>
      </w:r>
      <w:r w:rsidR="007027E0">
        <w:rPr>
          <w:rFonts w:ascii="Arial" w:hAnsi="Arial" w:cs="Arial"/>
        </w:rPr>
        <w:t>and c</w:t>
      </w:r>
      <w:r>
        <w:rPr>
          <w:rFonts w:ascii="Arial" w:hAnsi="Arial" w:cs="Arial"/>
        </w:rPr>
        <w:t xml:space="preserve">is-pinonic acid </w:t>
      </w:r>
      <w:r w:rsidR="00260A28">
        <w:rPr>
          <w:rFonts w:ascii="Arial" w:hAnsi="Arial" w:cs="Arial"/>
        </w:rPr>
        <w:t>w</w:t>
      </w:r>
      <w:r w:rsidR="007027E0">
        <w:rPr>
          <w:rFonts w:ascii="Arial" w:hAnsi="Arial" w:cs="Arial"/>
        </w:rPr>
        <w:t>ere</w:t>
      </w:r>
      <w:r w:rsidR="00260A28">
        <w:rPr>
          <w:rFonts w:ascii="Arial" w:hAnsi="Arial" w:cs="Arial"/>
        </w:rPr>
        <w:t xml:space="preserve"> </w:t>
      </w:r>
      <w:r>
        <w:rPr>
          <w:rFonts w:ascii="Arial" w:hAnsi="Arial" w:cs="Arial"/>
        </w:rPr>
        <w:t>detected in some of the direct injection samples, but in other</w:t>
      </w:r>
      <w:r w:rsidR="00DE3A31">
        <w:rPr>
          <w:rFonts w:ascii="Arial" w:hAnsi="Arial" w:cs="Arial"/>
        </w:rPr>
        <w:t>s</w:t>
      </w:r>
      <w:r>
        <w:rPr>
          <w:rFonts w:ascii="Arial" w:hAnsi="Arial" w:cs="Arial"/>
        </w:rPr>
        <w:t xml:space="preserve"> </w:t>
      </w:r>
      <w:r w:rsidR="00260A28">
        <w:rPr>
          <w:rFonts w:ascii="Arial" w:hAnsi="Arial" w:cs="Arial"/>
        </w:rPr>
        <w:t>w</w:t>
      </w:r>
      <w:r w:rsidR="008C4ABA">
        <w:rPr>
          <w:rFonts w:ascii="Arial" w:hAnsi="Arial" w:cs="Arial"/>
        </w:rPr>
        <w:t>ere</w:t>
      </w:r>
      <w:r w:rsidR="00260A28">
        <w:rPr>
          <w:rFonts w:ascii="Arial" w:hAnsi="Arial" w:cs="Arial"/>
        </w:rPr>
        <w:t xml:space="preserve"> </w:t>
      </w:r>
      <w:r>
        <w:rPr>
          <w:rFonts w:ascii="Arial" w:hAnsi="Arial" w:cs="Arial"/>
        </w:rPr>
        <w:t xml:space="preserve">below </w:t>
      </w:r>
      <w:r w:rsidR="0011334B">
        <w:rPr>
          <w:rFonts w:ascii="Arial" w:hAnsi="Arial" w:cs="Arial"/>
        </w:rPr>
        <w:t>LODs</w:t>
      </w:r>
      <w:r w:rsidR="006D74B1">
        <w:rPr>
          <w:rFonts w:ascii="Arial" w:hAnsi="Arial" w:cs="Arial"/>
        </w:rPr>
        <w:t>.</w:t>
      </w:r>
      <w:r>
        <w:rPr>
          <w:rFonts w:ascii="Arial" w:hAnsi="Arial" w:cs="Arial"/>
        </w:rPr>
        <w:t xml:space="preserve"> </w:t>
      </w:r>
      <w:r w:rsidR="00B95320">
        <w:rPr>
          <w:rFonts w:ascii="Arial" w:hAnsi="Arial" w:cs="Arial"/>
        </w:rPr>
        <w:t xml:space="preserve">In comparison, </w:t>
      </w:r>
      <w:r w:rsidR="0011334B">
        <w:rPr>
          <w:rFonts w:ascii="Arial" w:hAnsi="Arial" w:cs="Arial"/>
        </w:rPr>
        <w:t xml:space="preserve">the </w:t>
      </w:r>
      <w:r w:rsidR="00BC0205">
        <w:rPr>
          <w:rFonts w:ascii="Arial" w:hAnsi="Arial" w:cs="Arial"/>
        </w:rPr>
        <w:t>direct injection</w:t>
      </w:r>
      <w:r w:rsidR="0011334B">
        <w:rPr>
          <w:rFonts w:ascii="Arial" w:hAnsi="Arial" w:cs="Arial"/>
        </w:rPr>
        <w:t xml:space="preserve"> promoted </w:t>
      </w:r>
      <w:r w:rsidR="000F30DC">
        <w:rPr>
          <w:rFonts w:ascii="Arial" w:hAnsi="Arial" w:cs="Arial"/>
        </w:rPr>
        <w:t xml:space="preserve">BTCA and </w:t>
      </w:r>
      <w:r w:rsidR="00B95320">
        <w:rPr>
          <w:rFonts w:ascii="Arial" w:hAnsi="Arial" w:cs="Arial"/>
        </w:rPr>
        <w:t>MBTCA detection</w:t>
      </w:r>
      <w:r w:rsidR="0011334B">
        <w:rPr>
          <w:rFonts w:ascii="Arial" w:hAnsi="Arial" w:cs="Arial"/>
        </w:rPr>
        <w:t xml:space="preserve">, as </w:t>
      </w:r>
      <w:r w:rsidR="008B07F6">
        <w:rPr>
          <w:rFonts w:ascii="Arial" w:hAnsi="Arial" w:cs="Arial"/>
        </w:rPr>
        <w:t>recovery</w:t>
      </w:r>
      <w:r w:rsidR="000F30DC">
        <w:rPr>
          <w:rFonts w:ascii="Arial" w:hAnsi="Arial" w:cs="Arial"/>
        </w:rPr>
        <w:t xml:space="preserve"> percentage for both compounds in preconcentrated samples was only 3%, the lowest </w:t>
      </w:r>
      <w:r w:rsidR="0011334B">
        <w:rPr>
          <w:rFonts w:ascii="Arial" w:hAnsi="Arial" w:cs="Arial"/>
        </w:rPr>
        <w:t>value</w:t>
      </w:r>
      <w:r w:rsidR="000F30DC">
        <w:rPr>
          <w:rFonts w:ascii="Arial" w:hAnsi="Arial" w:cs="Arial"/>
        </w:rPr>
        <w:t xml:space="preserve"> observed for all compounds [5], which results in values falling below </w:t>
      </w:r>
      <w:r w:rsidR="0011334B">
        <w:rPr>
          <w:rFonts w:ascii="Arial" w:hAnsi="Arial" w:cs="Arial"/>
        </w:rPr>
        <w:t>LOD</w:t>
      </w:r>
      <w:r w:rsidR="000F30DC">
        <w:rPr>
          <w:rFonts w:ascii="Arial" w:hAnsi="Arial" w:cs="Arial"/>
        </w:rPr>
        <w:t xml:space="preserve"> in these samples. </w:t>
      </w:r>
      <w:r w:rsidR="009E3E83">
        <w:rPr>
          <w:rFonts w:ascii="Arial" w:hAnsi="Arial" w:cs="Arial"/>
        </w:rPr>
        <w:t xml:space="preserve">Avoiding </w:t>
      </w:r>
      <w:r w:rsidR="000F30DC">
        <w:rPr>
          <w:rFonts w:ascii="Arial" w:hAnsi="Arial" w:cs="Arial"/>
        </w:rPr>
        <w:t xml:space="preserve">this </w:t>
      </w:r>
      <w:r w:rsidR="0011334B">
        <w:rPr>
          <w:rFonts w:ascii="Arial" w:hAnsi="Arial" w:cs="Arial"/>
        </w:rPr>
        <w:t>drawback</w:t>
      </w:r>
      <w:r w:rsidR="000F30DC">
        <w:rPr>
          <w:rFonts w:ascii="Arial" w:hAnsi="Arial" w:cs="Arial"/>
        </w:rPr>
        <w:t xml:space="preserve">, the direct injection method successfully detects MBTCA in all samples well above </w:t>
      </w:r>
      <w:r w:rsidR="0011334B">
        <w:rPr>
          <w:rFonts w:ascii="Arial" w:hAnsi="Arial" w:cs="Arial"/>
        </w:rPr>
        <w:t>LODs</w:t>
      </w:r>
      <w:r w:rsidR="0027781A">
        <w:rPr>
          <w:rFonts w:ascii="Arial" w:hAnsi="Arial" w:cs="Arial"/>
        </w:rPr>
        <w:t xml:space="preserve">. </w:t>
      </w:r>
    </w:p>
    <w:p w14:paraId="27324983" w14:textId="5D737F67" w:rsidR="00C569C2" w:rsidRPr="00C569C2" w:rsidRDefault="00C569C2" w:rsidP="00C569C2">
      <w:pPr>
        <w:spacing w:line="360" w:lineRule="auto"/>
        <w:jc w:val="both"/>
        <w:rPr>
          <w:rFonts w:ascii="Arial" w:hAnsi="Arial" w:cs="Arial"/>
        </w:rPr>
      </w:pPr>
      <w:r w:rsidRPr="00C569C2">
        <w:rPr>
          <w:rFonts w:ascii="Arial" w:hAnsi="Arial" w:cs="Arial"/>
        </w:rPr>
        <w:t xml:space="preserve">All of the fatty acids detected with the pre-concentration technique were below detection limits in the direct injection samples; this is because background contamination levels </w:t>
      </w:r>
      <w:r>
        <w:rPr>
          <w:rFonts w:ascii="Arial" w:hAnsi="Arial" w:cs="Arial"/>
        </w:rPr>
        <w:t>w</w:t>
      </w:r>
      <w:r w:rsidR="00A05F14">
        <w:rPr>
          <w:rFonts w:ascii="Arial" w:hAnsi="Arial" w:cs="Arial"/>
        </w:rPr>
        <w:t>ere high in these experi</w:t>
      </w:r>
      <w:r>
        <w:rPr>
          <w:rFonts w:ascii="Arial" w:hAnsi="Arial" w:cs="Arial"/>
        </w:rPr>
        <w:t>ments,</w:t>
      </w:r>
      <w:r w:rsidRPr="00C569C2">
        <w:rPr>
          <w:rFonts w:ascii="Arial" w:hAnsi="Arial" w:cs="Arial"/>
        </w:rPr>
        <w:t xml:space="preserve"> and consequently so are LODs.</w:t>
      </w:r>
    </w:p>
    <w:p w14:paraId="4F3AE3A8" w14:textId="566DFCD0" w:rsidR="00C569C2" w:rsidRPr="00C569C2" w:rsidRDefault="00C569C2" w:rsidP="00C569C2">
      <w:pPr>
        <w:spacing w:line="360" w:lineRule="auto"/>
        <w:jc w:val="both"/>
        <w:rPr>
          <w:rFonts w:ascii="Arial" w:hAnsi="Arial" w:cs="Arial"/>
        </w:rPr>
      </w:pPr>
      <w:r w:rsidRPr="00C569C2">
        <w:rPr>
          <w:rFonts w:ascii="Arial" w:hAnsi="Arial" w:cs="Arial"/>
        </w:rPr>
        <w:t xml:space="preserve">The results of the comparison between the preconcentrated and direct injection samples are shown in Figure </w:t>
      </w:r>
      <w:r w:rsidR="00322EB4">
        <w:rPr>
          <w:rFonts w:ascii="Arial" w:hAnsi="Arial" w:cs="Arial"/>
        </w:rPr>
        <w:t>1</w:t>
      </w:r>
      <w:r w:rsidRPr="00C569C2">
        <w:rPr>
          <w:rFonts w:ascii="Arial" w:hAnsi="Arial" w:cs="Arial"/>
        </w:rPr>
        <w:t xml:space="preserve">, as scatterplots representing the reproducibility of final concentration values in the samples. The scatterplots show good linearity for all compounds, indicating that trends in the sample timeseries are reliably reproduced. </w:t>
      </w:r>
      <w:r w:rsidR="00A05F14">
        <w:rPr>
          <w:rFonts w:ascii="Arial" w:hAnsi="Arial" w:cs="Arial"/>
        </w:rPr>
        <w:t>For s</w:t>
      </w:r>
      <w:r w:rsidRPr="00C569C2">
        <w:rPr>
          <w:rFonts w:ascii="Arial" w:hAnsi="Arial" w:cs="Arial"/>
        </w:rPr>
        <w:t>ome compounds</w:t>
      </w:r>
      <w:r w:rsidR="00A05F14">
        <w:rPr>
          <w:rFonts w:ascii="Arial" w:hAnsi="Arial" w:cs="Arial"/>
        </w:rPr>
        <w:t>,</w:t>
      </w:r>
      <w:r w:rsidRPr="00C569C2">
        <w:rPr>
          <w:rFonts w:ascii="Arial" w:hAnsi="Arial" w:cs="Arial"/>
        </w:rPr>
        <w:t xml:space="preserve"> </w:t>
      </w:r>
      <w:r w:rsidR="00A05F14">
        <w:rPr>
          <w:rFonts w:ascii="Arial" w:hAnsi="Arial" w:cs="Arial"/>
        </w:rPr>
        <w:t>the</w:t>
      </w:r>
      <w:r w:rsidRPr="00C569C2">
        <w:rPr>
          <w:rFonts w:ascii="Arial" w:hAnsi="Arial" w:cs="Arial"/>
        </w:rPr>
        <w:t xml:space="preserve"> linear trend line</w:t>
      </w:r>
      <w:r w:rsidR="00A05F14">
        <w:rPr>
          <w:rFonts w:ascii="Arial" w:hAnsi="Arial" w:cs="Arial"/>
        </w:rPr>
        <w:t>s</w:t>
      </w:r>
      <w:r w:rsidRPr="00C569C2">
        <w:rPr>
          <w:rFonts w:ascii="Arial" w:hAnsi="Arial" w:cs="Arial"/>
        </w:rPr>
        <w:t xml:space="preserve"> </w:t>
      </w:r>
      <w:r w:rsidR="00A05F14">
        <w:rPr>
          <w:rFonts w:ascii="Arial" w:hAnsi="Arial" w:cs="Arial"/>
        </w:rPr>
        <w:t>deviate from the</w:t>
      </w:r>
      <w:r w:rsidRPr="00C569C2">
        <w:rPr>
          <w:rFonts w:ascii="Arial" w:hAnsi="Arial" w:cs="Arial"/>
        </w:rPr>
        <w:t xml:space="preserve"> 1:1 ratio line, for example terebic acid. This difference is not accounted for by matrix effects</w:t>
      </w:r>
      <w:r w:rsidR="00A05F14">
        <w:rPr>
          <w:rFonts w:ascii="Arial" w:hAnsi="Arial" w:cs="Arial"/>
        </w:rPr>
        <w:t xml:space="preserve"> </w:t>
      </w:r>
      <w:r w:rsidR="00A05F14" w:rsidRPr="00A05F14">
        <w:rPr>
          <w:rFonts w:ascii="Arial" w:hAnsi="Arial" w:cs="Arial"/>
        </w:rPr>
        <w:t>evaluated using a test ice-sample melt (see section 3.2 for details). However, each individual ice sample would be characterized by a different matrix composition, which may affect quantification differe</w:t>
      </w:r>
      <w:r w:rsidR="00A05F14">
        <w:rPr>
          <w:rFonts w:ascii="Arial" w:hAnsi="Arial" w:cs="Arial"/>
        </w:rPr>
        <w:t>ntly from one sample to another</w:t>
      </w:r>
      <w:r w:rsidRPr="00C569C2">
        <w:rPr>
          <w:rFonts w:ascii="Arial" w:hAnsi="Arial" w:cs="Arial"/>
        </w:rPr>
        <w:t xml:space="preserve">. In each case, </w:t>
      </w:r>
      <w:r w:rsidR="00A05F14">
        <w:rPr>
          <w:rFonts w:ascii="Arial" w:hAnsi="Arial" w:cs="Arial"/>
        </w:rPr>
        <w:t>the deviation from the 1:1 ratio line</w:t>
      </w:r>
      <w:r w:rsidRPr="00C569C2">
        <w:rPr>
          <w:rFonts w:ascii="Arial" w:hAnsi="Arial" w:cs="Arial"/>
        </w:rPr>
        <w:t xml:space="preserve"> suggests either a lower-than-expected sample concentration in the direct injection samples, or higher-than-expected concentration in the preconcentrated samples. This may be because preconcentrated samples are finally analysed in methanol, used to re-dissolve the samples from the dried vial following rotary evaporation, whereas direct injection samples are measured in the original snow melt. It would be expected that methanol is an overall cleaner sample as the lower solubility discourages the presence of inorganics in the sample which may otherwise interfere with the ionisation of </w:t>
      </w:r>
      <w:r w:rsidR="00A05F14">
        <w:rPr>
          <w:rFonts w:ascii="Arial" w:hAnsi="Arial" w:cs="Arial"/>
        </w:rPr>
        <w:t>the analytes in the ESI source.</w:t>
      </w:r>
      <w:r w:rsidR="00A05F14" w:rsidRPr="00A05F14">
        <w:rPr>
          <w:rFonts w:ascii="Arial" w:hAnsi="Arial" w:cs="Arial"/>
        </w:rPr>
        <w:t xml:space="preserve"> Ideally, matrix effects could be accounted for by using an internal calibration. However, this is not a viable alternative for this application due to limited amount of sample available for the analysis.</w:t>
      </w:r>
    </w:p>
    <w:p w14:paraId="18B2E920" w14:textId="3F7F1ED5" w:rsidR="00C569C2" w:rsidRDefault="00C569C2" w:rsidP="00C569C2">
      <w:pPr>
        <w:spacing w:line="360" w:lineRule="auto"/>
        <w:jc w:val="both"/>
        <w:rPr>
          <w:rFonts w:ascii="Arial" w:hAnsi="Arial" w:cs="Arial"/>
        </w:rPr>
      </w:pPr>
      <w:r w:rsidRPr="00C569C2">
        <w:rPr>
          <w:rFonts w:ascii="Arial" w:hAnsi="Arial" w:cs="Arial"/>
        </w:rPr>
        <w:t xml:space="preserve">The observed offset, where large enough to be significant such as for </w:t>
      </w:r>
      <w:r w:rsidR="009E3E83">
        <w:rPr>
          <w:rFonts w:ascii="Arial" w:hAnsi="Arial" w:cs="Arial"/>
        </w:rPr>
        <w:t>t</w:t>
      </w:r>
      <w:r w:rsidRPr="00C569C2">
        <w:rPr>
          <w:rFonts w:ascii="Arial" w:hAnsi="Arial" w:cs="Arial"/>
        </w:rPr>
        <w:t xml:space="preserve">erebic acid, may be quantified and accounted for in further analysis.  </w:t>
      </w:r>
    </w:p>
    <w:p w14:paraId="7AACEDF5" w14:textId="495C7B5B" w:rsidR="00821688" w:rsidRDefault="00821688" w:rsidP="0006484B">
      <w:pPr>
        <w:spacing w:line="360" w:lineRule="auto"/>
        <w:rPr>
          <w:rFonts w:ascii="Arial" w:hAnsi="Arial" w:cs="Arial"/>
          <w:b/>
        </w:rPr>
      </w:pPr>
      <w:r>
        <w:rPr>
          <w:noProof/>
          <w:lang w:eastAsia="en-GB"/>
        </w:rPr>
        <w:drawing>
          <wp:inline distT="0" distB="0" distL="0" distR="0" wp14:anchorId="7BF52168" wp14:editId="59ECBE29">
            <wp:extent cx="4867200" cy="64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769" t="11794" r="29166" b="4616"/>
                    <a:stretch/>
                  </pic:blipFill>
                  <pic:spPr bwMode="auto">
                    <a:xfrm>
                      <a:off x="0" y="0"/>
                      <a:ext cx="4867200" cy="6480000"/>
                    </a:xfrm>
                    <a:prstGeom prst="rect">
                      <a:avLst/>
                    </a:prstGeom>
                    <a:ln>
                      <a:noFill/>
                    </a:ln>
                    <a:extLst>
                      <a:ext uri="{53640926-AAD7-44D8-BBD7-CCE9431645EC}">
                        <a14:shadowObscured xmlns:a14="http://schemas.microsoft.com/office/drawing/2010/main"/>
                      </a:ext>
                    </a:extLst>
                  </pic:spPr>
                </pic:pic>
              </a:graphicData>
            </a:graphic>
          </wp:inline>
        </w:drawing>
      </w:r>
    </w:p>
    <w:p w14:paraId="5B3D69AB" w14:textId="03FC21E5" w:rsidR="00C569C2" w:rsidRPr="00C569C2" w:rsidRDefault="00C569C2" w:rsidP="00AF1813">
      <w:pPr>
        <w:spacing w:line="360" w:lineRule="auto"/>
        <w:jc w:val="both"/>
        <w:rPr>
          <w:rFonts w:ascii="Arial" w:hAnsi="Arial" w:cs="Arial"/>
          <w:b/>
        </w:rPr>
      </w:pPr>
      <w:r w:rsidRPr="00CF441A">
        <w:rPr>
          <w:rFonts w:ascii="Arial" w:hAnsi="Arial" w:cs="Arial"/>
          <w:b/>
        </w:rPr>
        <w:t xml:space="preserve">Figure </w:t>
      </w:r>
      <w:r>
        <w:rPr>
          <w:rFonts w:ascii="Arial" w:hAnsi="Arial" w:cs="Arial"/>
          <w:b/>
        </w:rPr>
        <w:t>1</w:t>
      </w:r>
      <w:r w:rsidRPr="00CF441A">
        <w:rPr>
          <w:rFonts w:ascii="Arial" w:hAnsi="Arial" w:cs="Arial"/>
          <w:b/>
        </w:rPr>
        <w:t xml:space="preserve">: </w:t>
      </w:r>
      <w:r w:rsidRPr="00CF441A">
        <w:rPr>
          <w:rFonts w:ascii="Arial" w:hAnsi="Arial" w:cs="Arial"/>
        </w:rPr>
        <w:t>Scatterplots representing comparisons between final sample concentrations of each of direct injection and preconcentration methods of analysis of replicate environmental samples. Linear trendlines and associated R</w:t>
      </w:r>
      <w:r w:rsidRPr="00CF441A">
        <w:rPr>
          <w:rFonts w:ascii="Arial" w:hAnsi="Arial" w:cs="Arial"/>
          <w:vertAlign w:val="superscript"/>
        </w:rPr>
        <w:t>2</w:t>
      </w:r>
      <w:r w:rsidRPr="00CF441A">
        <w:rPr>
          <w:rFonts w:ascii="Arial" w:hAnsi="Arial" w:cs="Arial"/>
        </w:rPr>
        <w:t xml:space="preserve"> values are presented to assess reproducibility</w:t>
      </w:r>
      <w:r>
        <w:rPr>
          <w:rFonts w:ascii="Arial" w:hAnsi="Arial" w:cs="Arial"/>
        </w:rPr>
        <w:t>, and error bands at 95% confidence intervals shown in pink</w:t>
      </w:r>
      <w:r w:rsidRPr="00CF441A">
        <w:rPr>
          <w:rFonts w:ascii="Arial" w:hAnsi="Arial" w:cs="Arial"/>
        </w:rPr>
        <w:t>. The b</w:t>
      </w:r>
      <w:r>
        <w:rPr>
          <w:rFonts w:ascii="Arial" w:hAnsi="Arial" w:cs="Arial"/>
        </w:rPr>
        <w:t>racketed outlying point in the p</w:t>
      </w:r>
      <w:r w:rsidRPr="00CF441A">
        <w:rPr>
          <w:rFonts w:ascii="Arial" w:hAnsi="Arial" w:cs="Arial"/>
        </w:rPr>
        <w:t>imelic acid plot is shown but not included in the trend line and R</w:t>
      </w:r>
      <w:r w:rsidRPr="00CF441A">
        <w:rPr>
          <w:rFonts w:ascii="Arial" w:hAnsi="Arial" w:cs="Arial"/>
          <w:vertAlign w:val="superscript"/>
        </w:rPr>
        <w:t>2</w:t>
      </w:r>
      <w:r w:rsidRPr="00CF441A">
        <w:rPr>
          <w:rFonts w:ascii="Arial" w:hAnsi="Arial" w:cs="Arial"/>
        </w:rPr>
        <w:t xml:space="preserve"> value.</w:t>
      </w:r>
      <w:r>
        <w:rPr>
          <w:rFonts w:ascii="Arial" w:hAnsi="Arial" w:cs="Arial"/>
        </w:rPr>
        <w:t xml:space="preserve"> Compounds shown are those </w:t>
      </w:r>
      <w:r w:rsidR="00BC0205">
        <w:rPr>
          <w:rFonts w:ascii="Arial" w:hAnsi="Arial" w:cs="Arial"/>
        </w:rPr>
        <w:t>with</w:t>
      </w:r>
      <w:r>
        <w:rPr>
          <w:rFonts w:ascii="Arial" w:hAnsi="Arial" w:cs="Arial"/>
        </w:rPr>
        <w:t xml:space="preserve"> a complete dataset (i.e. no sample concentrations below detection limits).</w:t>
      </w:r>
    </w:p>
    <w:p w14:paraId="6BD28B00" w14:textId="1E51AE3F" w:rsidR="0027781A" w:rsidRDefault="0027781A" w:rsidP="00AF1813">
      <w:pPr>
        <w:spacing w:line="360" w:lineRule="auto"/>
        <w:jc w:val="both"/>
        <w:rPr>
          <w:rFonts w:ascii="Arial" w:hAnsi="Arial" w:cs="Arial"/>
        </w:rPr>
      </w:pPr>
      <w:r>
        <w:rPr>
          <w:rFonts w:ascii="Arial" w:hAnsi="Arial" w:cs="Arial"/>
        </w:rPr>
        <w:t xml:space="preserve">Because of the poor detection </w:t>
      </w:r>
      <w:r w:rsidR="007027E0">
        <w:rPr>
          <w:rFonts w:ascii="Arial" w:hAnsi="Arial" w:cs="Arial"/>
        </w:rPr>
        <w:t xml:space="preserve">of </w:t>
      </w:r>
      <w:r>
        <w:rPr>
          <w:rFonts w:ascii="Arial" w:hAnsi="Arial" w:cs="Arial"/>
        </w:rPr>
        <w:t>MBTCA in the preconcentrated samples</w:t>
      </w:r>
      <w:r w:rsidR="0011334B">
        <w:rPr>
          <w:rFonts w:ascii="Arial" w:hAnsi="Arial" w:cs="Arial"/>
        </w:rPr>
        <w:t>,</w:t>
      </w:r>
      <w:r>
        <w:rPr>
          <w:rFonts w:ascii="Arial" w:hAnsi="Arial" w:cs="Arial"/>
        </w:rPr>
        <w:t xml:space="preserve"> we cannot assess the reproducibility of th</w:t>
      </w:r>
      <w:r w:rsidR="00D57E17">
        <w:rPr>
          <w:rFonts w:ascii="Arial" w:hAnsi="Arial" w:cs="Arial"/>
        </w:rPr>
        <w:t>is compound</w:t>
      </w:r>
      <w:r>
        <w:rPr>
          <w:rFonts w:ascii="Arial" w:hAnsi="Arial" w:cs="Arial"/>
        </w:rPr>
        <w:t xml:space="preserve"> </w:t>
      </w:r>
      <w:r w:rsidR="00617C9D">
        <w:rPr>
          <w:rFonts w:ascii="Arial" w:hAnsi="Arial" w:cs="Arial"/>
        </w:rPr>
        <w:t>compared to</w:t>
      </w:r>
      <w:r>
        <w:rPr>
          <w:rFonts w:ascii="Arial" w:hAnsi="Arial" w:cs="Arial"/>
        </w:rPr>
        <w:t xml:space="preserve"> direct injection. </w:t>
      </w:r>
      <w:r w:rsidR="00617C9D">
        <w:rPr>
          <w:rFonts w:ascii="Arial" w:hAnsi="Arial" w:cs="Arial"/>
        </w:rPr>
        <w:t>We instead</w:t>
      </w:r>
      <w:r>
        <w:rPr>
          <w:rFonts w:ascii="Arial" w:hAnsi="Arial" w:cs="Arial"/>
        </w:rPr>
        <w:t xml:space="preserve"> compare </w:t>
      </w:r>
      <w:r w:rsidR="00854E65">
        <w:rPr>
          <w:rFonts w:ascii="Arial" w:hAnsi="Arial" w:cs="Arial"/>
        </w:rPr>
        <w:t xml:space="preserve">to previously </w:t>
      </w:r>
      <w:r w:rsidR="0011334B">
        <w:rPr>
          <w:rFonts w:ascii="Arial" w:hAnsi="Arial" w:cs="Arial"/>
        </w:rPr>
        <w:t>reported</w:t>
      </w:r>
      <w:r>
        <w:rPr>
          <w:rFonts w:ascii="Arial" w:hAnsi="Arial" w:cs="Arial"/>
        </w:rPr>
        <w:t xml:space="preserve"> ions in the ice core</w:t>
      </w:r>
      <w:r w:rsidR="00854E65">
        <w:rPr>
          <w:rFonts w:ascii="Arial" w:hAnsi="Arial" w:cs="Arial"/>
        </w:rPr>
        <w:t xml:space="preserve"> </w:t>
      </w:r>
      <w:r w:rsidR="00854E65">
        <w:rPr>
          <w:rFonts w:ascii="Arial" w:hAnsi="Arial" w:cs="Arial"/>
        </w:rPr>
        <w:fldChar w:fldCharType="begin" w:fldLock="1"/>
      </w:r>
      <w:r w:rsidR="000A088B">
        <w:rPr>
          <w:rFonts w:ascii="Arial" w:hAnsi="Arial" w:cs="Arial"/>
        </w:rPr>
        <w:instrText>ADDIN CSL_CITATION {"citationItems":[{"id":"ITEM-1","itemData":{"DOI":"10.1029/2009GL038807","author":[{"dropping-particle":"","family":"Eichler","given":"Anja","non-dropping-particle":"","parse-names":false,"suffix":""},{"dropping-particle":"","family":"Bru","given":"Sabina","non-dropping-particle":"","parse-names":false,"suffix":""},{"dropping-particle":"","family":"Olivier","given":"Susanne","non-dropping-particle":"","parse-names":false,"suffix":""},{"dropping-particle":"","family":"Papina","given":"Tatyana","non-dropping-particle":"","parse-names":false,"suffix":""},{"dropping-particle":"","family":"Schwikowski","given":"Margit","non-dropping-particle":"","parse-names":false,"suffix":""}],"container-title":"Geophysical Research Letters","id":"ITEM-1","issued":{"date-parts":[["2009"]]},"page":"1-5","title":"A 750 year ice core record of past biogenic emissions from Siberian boreal forests","type":"article-journal","volume":"36"},"uris":["http://www.mendeley.com/documents/?uuid=34284939-acc7-4fc8-b2d6-4af8fda75c30"]}],"mendeley":{"formattedCitation":"&lt;sup&gt;14&lt;/sup&gt;","plainTextFormattedCitation":"14","previouslyFormattedCitation":"&lt;sup&gt;14&lt;/sup&gt;"},"properties":{"noteIndex":0},"schema":"https://github.com/citation-style-language/schema/raw/master/csl-citation.json"}</w:instrText>
      </w:r>
      <w:r w:rsidR="00854E65">
        <w:rPr>
          <w:rFonts w:ascii="Arial" w:hAnsi="Arial" w:cs="Arial"/>
        </w:rPr>
        <w:fldChar w:fldCharType="separate"/>
      </w:r>
      <w:r w:rsidR="002B34DF" w:rsidRPr="002B34DF">
        <w:rPr>
          <w:rFonts w:ascii="Arial" w:hAnsi="Arial" w:cs="Arial"/>
          <w:noProof/>
          <w:vertAlign w:val="superscript"/>
        </w:rPr>
        <w:t>14</w:t>
      </w:r>
      <w:r w:rsidR="00854E65">
        <w:rPr>
          <w:rFonts w:ascii="Arial" w:hAnsi="Arial" w:cs="Arial"/>
        </w:rPr>
        <w:fldChar w:fldCharType="end"/>
      </w:r>
      <w:r w:rsidR="00617C9D">
        <w:rPr>
          <w:rFonts w:ascii="Arial" w:hAnsi="Arial" w:cs="Arial"/>
        </w:rPr>
        <w:t xml:space="preserve"> </w:t>
      </w:r>
      <w:r w:rsidR="00F64AD7">
        <w:rPr>
          <w:rFonts w:ascii="Arial" w:hAnsi="Arial" w:cs="Arial"/>
        </w:rPr>
        <w:t xml:space="preserve">to see if overall trends detected in the sample series appear </w:t>
      </w:r>
      <w:r w:rsidR="00BC0205">
        <w:rPr>
          <w:rFonts w:ascii="Arial" w:hAnsi="Arial" w:cs="Arial"/>
        </w:rPr>
        <w:t>reasonable</w:t>
      </w:r>
      <w:r>
        <w:rPr>
          <w:rFonts w:ascii="Arial" w:hAnsi="Arial" w:cs="Arial"/>
        </w:rPr>
        <w:t xml:space="preserve">. </w:t>
      </w:r>
      <w:r w:rsidR="00D57E17">
        <w:rPr>
          <w:rFonts w:ascii="Arial" w:hAnsi="Arial" w:cs="Arial"/>
        </w:rPr>
        <w:t xml:space="preserve">Figure </w:t>
      </w:r>
      <w:r w:rsidR="00322EB4">
        <w:rPr>
          <w:rFonts w:ascii="Arial" w:hAnsi="Arial" w:cs="Arial"/>
        </w:rPr>
        <w:t>2</w:t>
      </w:r>
      <w:r>
        <w:rPr>
          <w:rFonts w:ascii="Arial" w:hAnsi="Arial" w:cs="Arial"/>
        </w:rPr>
        <w:t xml:space="preserve"> compar</w:t>
      </w:r>
      <w:r w:rsidR="00D57E17">
        <w:rPr>
          <w:rFonts w:ascii="Arial" w:hAnsi="Arial" w:cs="Arial"/>
        </w:rPr>
        <w:t>es</w:t>
      </w:r>
      <w:r>
        <w:rPr>
          <w:rFonts w:ascii="Arial" w:hAnsi="Arial" w:cs="Arial"/>
        </w:rPr>
        <w:t xml:space="preserve"> MBTCA to</w:t>
      </w:r>
      <w:r w:rsidR="00854E65">
        <w:rPr>
          <w:rFonts w:ascii="Arial" w:hAnsi="Arial" w:cs="Arial"/>
        </w:rPr>
        <w:t xml:space="preserve"> sulfate. </w:t>
      </w:r>
      <w:r w:rsidR="00304D92">
        <w:rPr>
          <w:rFonts w:ascii="Arial" w:hAnsi="Arial" w:cs="Arial"/>
        </w:rPr>
        <w:t>Sulfate was chosen for comparison as it showed the most significant correlation to MBTCA of all other measured ions in the core (R</w:t>
      </w:r>
      <w:r w:rsidR="00304D92">
        <w:rPr>
          <w:rFonts w:ascii="Arial" w:hAnsi="Arial" w:cs="Arial"/>
          <w:vertAlign w:val="superscript"/>
        </w:rPr>
        <w:t>2</w:t>
      </w:r>
      <w:r w:rsidR="00304D92">
        <w:rPr>
          <w:rFonts w:ascii="Arial" w:hAnsi="Arial" w:cs="Arial"/>
        </w:rPr>
        <w:t xml:space="preserve">=0.55). </w:t>
      </w:r>
      <w:r w:rsidR="0011334B">
        <w:rPr>
          <w:rFonts w:ascii="Arial" w:hAnsi="Arial" w:cs="Arial"/>
        </w:rPr>
        <w:t xml:space="preserve">We display only the corresponding sample numbers since </w:t>
      </w:r>
      <w:r w:rsidR="00304D92">
        <w:rPr>
          <w:rFonts w:ascii="Arial" w:hAnsi="Arial" w:cs="Arial"/>
        </w:rPr>
        <w:t>environmental interpretation is o</w:t>
      </w:r>
      <w:r w:rsidR="0011334B">
        <w:rPr>
          <w:rFonts w:ascii="Arial" w:hAnsi="Arial" w:cs="Arial"/>
        </w:rPr>
        <w:t>utside the scope of this study. T</w:t>
      </w:r>
      <w:r w:rsidR="00854E65">
        <w:rPr>
          <w:rFonts w:ascii="Arial" w:hAnsi="Arial" w:cs="Arial"/>
        </w:rPr>
        <w:t xml:space="preserve">he record shows that both compounds </w:t>
      </w:r>
      <w:r w:rsidR="00304D92">
        <w:rPr>
          <w:rFonts w:ascii="Arial" w:hAnsi="Arial" w:cs="Arial"/>
        </w:rPr>
        <w:t>display</w:t>
      </w:r>
      <w:r w:rsidR="00854E65">
        <w:rPr>
          <w:rFonts w:ascii="Arial" w:hAnsi="Arial" w:cs="Arial"/>
        </w:rPr>
        <w:t xml:space="preserve"> similar trends</w:t>
      </w:r>
      <w:r w:rsidR="00304D92">
        <w:rPr>
          <w:rFonts w:ascii="Arial" w:hAnsi="Arial" w:cs="Arial"/>
        </w:rPr>
        <w:t xml:space="preserve"> over time, with peaks coinciding with mid-year summertime.</w:t>
      </w:r>
      <w:r w:rsidR="008A0B19">
        <w:rPr>
          <w:rFonts w:ascii="Arial" w:hAnsi="Arial" w:cs="Arial"/>
        </w:rPr>
        <w:t xml:space="preserve"> Therefore </w:t>
      </w:r>
      <w:r w:rsidR="0011334B">
        <w:rPr>
          <w:rFonts w:ascii="Arial" w:hAnsi="Arial" w:cs="Arial"/>
        </w:rPr>
        <w:t xml:space="preserve">MBTCA measured by </w:t>
      </w:r>
      <w:r w:rsidR="008A0B19">
        <w:rPr>
          <w:rFonts w:ascii="Arial" w:hAnsi="Arial" w:cs="Arial"/>
        </w:rPr>
        <w:t xml:space="preserve">direct injection </w:t>
      </w:r>
      <w:r w:rsidR="00F64AD7">
        <w:rPr>
          <w:rFonts w:ascii="Arial" w:hAnsi="Arial" w:cs="Arial"/>
        </w:rPr>
        <w:t>produce</w:t>
      </w:r>
      <w:r w:rsidR="004E2F62">
        <w:rPr>
          <w:rFonts w:ascii="Arial" w:hAnsi="Arial" w:cs="Arial"/>
        </w:rPr>
        <w:t>s</w:t>
      </w:r>
      <w:r w:rsidR="00F64AD7">
        <w:rPr>
          <w:rFonts w:ascii="Arial" w:hAnsi="Arial" w:cs="Arial"/>
        </w:rPr>
        <w:t xml:space="preserve"> results that are reasonable</w:t>
      </w:r>
      <w:r w:rsidR="004E2F62">
        <w:rPr>
          <w:rFonts w:ascii="Arial" w:hAnsi="Arial" w:cs="Arial"/>
        </w:rPr>
        <w:t xml:space="preserve"> with previous findings. Indeed, this is also the case for all other new organic compounds detected i.e. trends match those of previously detected ions. However we save presentation of thee results for future work alongside environmental interpretation.</w:t>
      </w:r>
    </w:p>
    <w:p w14:paraId="54A09170" w14:textId="77777777" w:rsidR="00854E65" w:rsidRDefault="00854E65" w:rsidP="00AF1813">
      <w:pPr>
        <w:spacing w:line="360" w:lineRule="auto"/>
        <w:jc w:val="both"/>
        <w:rPr>
          <w:rFonts w:ascii="Arial" w:hAnsi="Arial" w:cs="Arial"/>
        </w:rPr>
      </w:pPr>
    </w:p>
    <w:p w14:paraId="6B41148F" w14:textId="4805704A" w:rsidR="001B1F32" w:rsidRDefault="00854E65" w:rsidP="00AF1813">
      <w:pPr>
        <w:spacing w:line="360" w:lineRule="auto"/>
        <w:jc w:val="both"/>
        <w:rPr>
          <w:rFonts w:ascii="Arial" w:hAnsi="Arial" w:cs="Arial"/>
        </w:rPr>
      </w:pPr>
      <w:r>
        <w:rPr>
          <w:noProof/>
          <w:sz w:val="16"/>
          <w:szCs w:val="16"/>
          <w:lang w:eastAsia="en-GB"/>
        </w:rPr>
        <w:drawing>
          <wp:inline distT="0" distB="0" distL="0" distR="0" wp14:anchorId="13B19E54" wp14:editId="0EEC7CFD">
            <wp:extent cx="4680000" cy="2196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TCA Sulfa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0000" cy="2196000"/>
                    </a:xfrm>
                    <a:prstGeom prst="rect">
                      <a:avLst/>
                    </a:prstGeom>
                  </pic:spPr>
                </pic:pic>
              </a:graphicData>
            </a:graphic>
          </wp:inline>
        </w:drawing>
      </w:r>
    </w:p>
    <w:p w14:paraId="348FD2B7" w14:textId="3A7E717C" w:rsidR="00E75AB1" w:rsidRPr="00BC0205" w:rsidRDefault="00C569C2" w:rsidP="00BC0205">
      <w:pPr>
        <w:spacing w:line="360" w:lineRule="auto"/>
        <w:jc w:val="both"/>
        <w:rPr>
          <w:rFonts w:ascii="Arial" w:hAnsi="Arial" w:cs="Arial"/>
        </w:rPr>
      </w:pPr>
      <w:r>
        <w:rPr>
          <w:rFonts w:ascii="Arial" w:hAnsi="Arial" w:cs="Arial"/>
          <w:b/>
        </w:rPr>
        <w:t>Figure 2</w:t>
      </w:r>
      <w:r w:rsidR="00B364D8">
        <w:rPr>
          <w:rFonts w:ascii="Arial" w:hAnsi="Arial" w:cs="Arial"/>
        </w:rPr>
        <w:t xml:space="preserve">: </w:t>
      </w:r>
      <w:r w:rsidR="00BC0205">
        <w:rPr>
          <w:rFonts w:ascii="Arial" w:hAnsi="Arial" w:cs="Arial"/>
        </w:rPr>
        <w:t>MBTCA and sulfate</w:t>
      </w:r>
      <w:r w:rsidR="00B364D8">
        <w:rPr>
          <w:rFonts w:ascii="Arial" w:hAnsi="Arial" w:cs="Arial"/>
        </w:rPr>
        <w:t xml:space="preserve"> concentrations measured in </w:t>
      </w:r>
      <w:r w:rsidR="00880368">
        <w:rPr>
          <w:rFonts w:ascii="Arial" w:hAnsi="Arial" w:cs="Arial"/>
        </w:rPr>
        <w:t xml:space="preserve">a </w:t>
      </w:r>
      <w:r w:rsidR="007A5C76">
        <w:rPr>
          <w:rFonts w:ascii="Arial" w:hAnsi="Arial" w:cs="Arial"/>
        </w:rPr>
        <w:t>time series</w:t>
      </w:r>
      <w:r w:rsidR="00880368">
        <w:rPr>
          <w:rFonts w:ascii="Arial" w:hAnsi="Arial" w:cs="Arial"/>
        </w:rPr>
        <w:t xml:space="preserve"> of </w:t>
      </w:r>
      <w:r w:rsidR="00B364D8">
        <w:rPr>
          <w:rFonts w:ascii="Arial" w:hAnsi="Arial" w:cs="Arial"/>
        </w:rPr>
        <w:t>ice core sample</w:t>
      </w:r>
      <w:r w:rsidR="00880368">
        <w:rPr>
          <w:rFonts w:ascii="Arial" w:hAnsi="Arial" w:cs="Arial"/>
        </w:rPr>
        <w:t>s</w:t>
      </w:r>
      <w:r w:rsidR="00BC0205">
        <w:rPr>
          <w:rFonts w:ascii="Arial" w:hAnsi="Arial" w:cs="Arial"/>
        </w:rPr>
        <w:t>.</w:t>
      </w:r>
    </w:p>
    <w:p w14:paraId="0C937726" w14:textId="5730BF68" w:rsidR="00E75AB1" w:rsidRDefault="003C46AA" w:rsidP="00B318FE">
      <w:pPr>
        <w:pStyle w:val="Heading1"/>
        <w:numPr>
          <w:ilvl w:val="0"/>
          <w:numId w:val="1"/>
        </w:numPr>
        <w:spacing w:line="360" w:lineRule="auto"/>
        <w:rPr>
          <w:rFonts w:ascii="Arial" w:hAnsi="Arial" w:cs="Arial"/>
          <w:color w:val="000000" w:themeColor="text1"/>
          <w:sz w:val="22"/>
          <w:szCs w:val="22"/>
        </w:rPr>
      </w:pPr>
      <w:r>
        <w:rPr>
          <w:rFonts w:ascii="Arial" w:hAnsi="Arial" w:cs="Arial"/>
          <w:color w:val="000000" w:themeColor="text1"/>
          <w:sz w:val="22"/>
          <w:szCs w:val="22"/>
        </w:rPr>
        <w:t>C</w:t>
      </w:r>
      <w:r w:rsidR="00E75AB1" w:rsidRPr="00E75AB1">
        <w:rPr>
          <w:rFonts w:ascii="Arial" w:hAnsi="Arial" w:cs="Arial"/>
          <w:color w:val="000000" w:themeColor="text1"/>
          <w:sz w:val="22"/>
          <w:szCs w:val="22"/>
        </w:rPr>
        <w:t>onclusions</w:t>
      </w:r>
    </w:p>
    <w:p w14:paraId="73FD5229" w14:textId="1DCA8A4E" w:rsidR="009F4BA1" w:rsidRDefault="009F4BA1" w:rsidP="004B1AC1">
      <w:pPr>
        <w:spacing w:line="360" w:lineRule="auto"/>
        <w:jc w:val="both"/>
        <w:rPr>
          <w:rFonts w:ascii="Arial" w:hAnsi="Arial" w:cs="Arial"/>
        </w:rPr>
      </w:pPr>
      <w:r>
        <w:rPr>
          <w:rFonts w:ascii="Arial" w:hAnsi="Arial" w:cs="Arial"/>
        </w:rPr>
        <w:t xml:space="preserve">A method </w:t>
      </w:r>
      <w:r w:rsidR="00A05F14">
        <w:rPr>
          <w:rFonts w:ascii="Arial" w:hAnsi="Arial" w:cs="Arial"/>
        </w:rPr>
        <w:t>for analysing a series of organic compounds in ice core samples by</w:t>
      </w:r>
      <w:r>
        <w:rPr>
          <w:rFonts w:ascii="Arial" w:hAnsi="Arial" w:cs="Arial"/>
        </w:rPr>
        <w:t xml:space="preserve"> direct injection UHPLC-ESI/HRMS is presented. This method is beneficial in reducing </w:t>
      </w:r>
      <w:r w:rsidR="00EC6B49">
        <w:rPr>
          <w:rFonts w:ascii="Arial" w:hAnsi="Arial" w:cs="Arial"/>
        </w:rPr>
        <w:t xml:space="preserve">the </w:t>
      </w:r>
      <w:r>
        <w:rPr>
          <w:rFonts w:ascii="Arial" w:hAnsi="Arial" w:cs="Arial"/>
        </w:rPr>
        <w:t xml:space="preserve">required sample volume and </w:t>
      </w:r>
      <w:r w:rsidR="00EC6B49">
        <w:rPr>
          <w:rFonts w:ascii="Arial" w:hAnsi="Arial" w:cs="Arial"/>
        </w:rPr>
        <w:t xml:space="preserve">the </w:t>
      </w:r>
      <w:r>
        <w:rPr>
          <w:rFonts w:ascii="Arial" w:hAnsi="Arial" w:cs="Arial"/>
        </w:rPr>
        <w:t xml:space="preserve">potential for contamination </w:t>
      </w:r>
      <w:r w:rsidR="00A05F14">
        <w:rPr>
          <w:rFonts w:ascii="Arial" w:hAnsi="Arial" w:cs="Arial"/>
        </w:rPr>
        <w:t>generated by</w:t>
      </w:r>
      <w:r>
        <w:rPr>
          <w:rFonts w:ascii="Arial" w:hAnsi="Arial" w:cs="Arial"/>
        </w:rPr>
        <w:t xml:space="preserve"> sample preconcentration </w:t>
      </w:r>
      <w:r w:rsidR="00D57E17">
        <w:rPr>
          <w:rFonts w:ascii="Arial" w:hAnsi="Arial" w:cs="Arial"/>
        </w:rPr>
        <w:t>steps. The</w:t>
      </w:r>
      <w:r>
        <w:rPr>
          <w:rFonts w:ascii="Arial" w:hAnsi="Arial" w:cs="Arial"/>
        </w:rPr>
        <w:t xml:space="preserve"> method provides LODs of 0.01-3.02</w:t>
      </w:r>
      <w:r w:rsidR="009E3E83">
        <w:rPr>
          <w:rFonts w:ascii="Arial" w:hAnsi="Arial" w:cs="Arial"/>
        </w:rPr>
        <w:t xml:space="preserve"> </w:t>
      </w:r>
      <w:r>
        <w:rPr>
          <w:rFonts w:ascii="Arial" w:hAnsi="Arial" w:cs="Arial"/>
        </w:rPr>
        <w:t>ppb for SOA compounds, and 0.44-15.75</w:t>
      </w:r>
      <w:r w:rsidR="009E3E83">
        <w:rPr>
          <w:rFonts w:ascii="Arial" w:hAnsi="Arial" w:cs="Arial"/>
        </w:rPr>
        <w:t xml:space="preserve"> </w:t>
      </w:r>
      <w:r>
        <w:rPr>
          <w:rFonts w:ascii="Arial" w:hAnsi="Arial" w:cs="Arial"/>
        </w:rPr>
        <w:t xml:space="preserve">ppb for fatty acids, with average instrumental repeatability of 7%. </w:t>
      </w:r>
      <w:r w:rsidR="00F00779">
        <w:rPr>
          <w:rFonts w:ascii="Arial" w:hAnsi="Arial" w:cs="Arial"/>
        </w:rPr>
        <w:t>Small</w:t>
      </w:r>
      <w:r>
        <w:rPr>
          <w:rFonts w:ascii="Arial" w:hAnsi="Arial" w:cs="Arial"/>
        </w:rPr>
        <w:t>, but significant, matrix effects</w:t>
      </w:r>
      <w:r w:rsidR="007958B9">
        <w:rPr>
          <w:rFonts w:ascii="Arial" w:hAnsi="Arial" w:cs="Arial"/>
        </w:rPr>
        <w:t xml:space="preserve"> (</w:t>
      </w:r>
      <w:r w:rsidR="007A5C53">
        <w:rPr>
          <w:rFonts w:ascii="Arial" w:hAnsi="Arial" w:cs="Arial"/>
        </w:rPr>
        <w:t>~10</w:t>
      </w:r>
      <w:r w:rsidR="007958B9">
        <w:rPr>
          <w:rFonts w:ascii="Arial" w:hAnsi="Arial" w:cs="Arial"/>
        </w:rPr>
        <w:t>% on average)</w:t>
      </w:r>
      <w:r w:rsidR="00F00779">
        <w:rPr>
          <w:rFonts w:ascii="Arial" w:hAnsi="Arial" w:cs="Arial"/>
        </w:rPr>
        <w:t xml:space="preserve"> were determined.</w:t>
      </w:r>
    </w:p>
    <w:p w14:paraId="67EE1AEB" w14:textId="537DC1BA" w:rsidR="004B1AC1" w:rsidRDefault="009F4BA1" w:rsidP="004B1AC1">
      <w:pPr>
        <w:spacing w:line="360" w:lineRule="auto"/>
        <w:jc w:val="both"/>
        <w:rPr>
          <w:rFonts w:ascii="Arial" w:hAnsi="Arial" w:cs="Arial"/>
        </w:rPr>
      </w:pPr>
      <w:r>
        <w:rPr>
          <w:rFonts w:ascii="Arial" w:hAnsi="Arial" w:cs="Arial"/>
        </w:rPr>
        <w:t xml:space="preserve">This </w:t>
      </w:r>
      <w:r w:rsidR="00F00779">
        <w:rPr>
          <w:rFonts w:ascii="Arial" w:hAnsi="Arial" w:cs="Arial"/>
        </w:rPr>
        <w:t xml:space="preserve">direct injection </w:t>
      </w:r>
      <w:r w:rsidR="004B1AC1">
        <w:rPr>
          <w:rFonts w:ascii="Arial" w:hAnsi="Arial" w:cs="Arial"/>
        </w:rPr>
        <w:t xml:space="preserve">analytical </w:t>
      </w:r>
      <w:r>
        <w:rPr>
          <w:rFonts w:ascii="Arial" w:hAnsi="Arial" w:cs="Arial"/>
        </w:rPr>
        <w:t xml:space="preserve">method is particularly </w:t>
      </w:r>
      <w:r w:rsidR="00BC0205">
        <w:rPr>
          <w:rFonts w:ascii="Arial" w:hAnsi="Arial" w:cs="Arial"/>
        </w:rPr>
        <w:t>suitable</w:t>
      </w:r>
      <w:r>
        <w:rPr>
          <w:rFonts w:ascii="Arial" w:hAnsi="Arial" w:cs="Arial"/>
        </w:rPr>
        <w:t xml:space="preserve"> for </w:t>
      </w:r>
      <w:r w:rsidR="004B1AC1">
        <w:rPr>
          <w:rFonts w:ascii="Arial" w:hAnsi="Arial" w:cs="Arial"/>
        </w:rPr>
        <w:t xml:space="preserve">SOA </w:t>
      </w:r>
      <w:r>
        <w:rPr>
          <w:rFonts w:ascii="Arial" w:hAnsi="Arial" w:cs="Arial"/>
        </w:rPr>
        <w:t>compounds w</w:t>
      </w:r>
      <w:r w:rsidR="009F02BE">
        <w:rPr>
          <w:rFonts w:ascii="Arial" w:hAnsi="Arial" w:cs="Arial"/>
        </w:rPr>
        <w:t>hich showed</w:t>
      </w:r>
      <w:r>
        <w:rPr>
          <w:rFonts w:ascii="Arial" w:hAnsi="Arial" w:cs="Arial"/>
        </w:rPr>
        <w:t xml:space="preserve"> low recoveries </w:t>
      </w:r>
      <w:r w:rsidR="004B1AC1">
        <w:rPr>
          <w:rFonts w:ascii="Arial" w:hAnsi="Arial" w:cs="Arial"/>
        </w:rPr>
        <w:t xml:space="preserve">in preconcentrated samples, </w:t>
      </w:r>
      <w:r w:rsidR="007958B9">
        <w:rPr>
          <w:rFonts w:ascii="Arial" w:hAnsi="Arial" w:cs="Arial"/>
        </w:rPr>
        <w:t xml:space="preserve">e.g. MBTCA, </w:t>
      </w:r>
      <w:r w:rsidR="00BC0205">
        <w:rPr>
          <w:rFonts w:ascii="Arial" w:hAnsi="Arial" w:cs="Arial"/>
        </w:rPr>
        <w:t xml:space="preserve">and </w:t>
      </w:r>
      <w:r w:rsidR="00A05F14">
        <w:rPr>
          <w:rFonts w:ascii="Arial" w:hAnsi="Arial" w:cs="Arial"/>
        </w:rPr>
        <w:t xml:space="preserve">which are </w:t>
      </w:r>
      <w:r w:rsidR="00D57E17">
        <w:rPr>
          <w:rFonts w:ascii="Arial" w:hAnsi="Arial" w:cs="Arial"/>
        </w:rPr>
        <w:t>significantly</w:t>
      </w:r>
      <w:r w:rsidR="004B1AC1">
        <w:rPr>
          <w:rFonts w:ascii="Arial" w:hAnsi="Arial" w:cs="Arial"/>
        </w:rPr>
        <w:t xml:space="preserve"> above detection limits only with direct injectio</w:t>
      </w:r>
      <w:r w:rsidR="00D57E17">
        <w:rPr>
          <w:rFonts w:ascii="Arial" w:hAnsi="Arial" w:cs="Arial"/>
        </w:rPr>
        <w:t>n analysis. Other SOA compounds</w:t>
      </w:r>
      <w:r w:rsidR="007E0AD0">
        <w:rPr>
          <w:rFonts w:ascii="Arial" w:hAnsi="Arial" w:cs="Arial"/>
        </w:rPr>
        <w:t>,</w:t>
      </w:r>
      <w:r w:rsidR="004B1AC1">
        <w:rPr>
          <w:rFonts w:ascii="Arial" w:hAnsi="Arial" w:cs="Arial"/>
        </w:rPr>
        <w:t xml:space="preserve"> dete</w:t>
      </w:r>
      <w:r w:rsidR="00D57E17">
        <w:rPr>
          <w:rFonts w:ascii="Arial" w:hAnsi="Arial" w:cs="Arial"/>
        </w:rPr>
        <w:t xml:space="preserve">cted </w:t>
      </w:r>
      <w:r w:rsidR="007E0AD0">
        <w:rPr>
          <w:rFonts w:ascii="Arial" w:hAnsi="Arial" w:cs="Arial"/>
        </w:rPr>
        <w:t xml:space="preserve">more clearly than MBTCA </w:t>
      </w:r>
      <w:r w:rsidR="00D57E17">
        <w:rPr>
          <w:rFonts w:ascii="Arial" w:hAnsi="Arial" w:cs="Arial"/>
        </w:rPr>
        <w:t>in preconcentrated samples</w:t>
      </w:r>
      <w:r w:rsidR="007E0AD0">
        <w:rPr>
          <w:rFonts w:ascii="Arial" w:hAnsi="Arial" w:cs="Arial"/>
        </w:rPr>
        <w:t xml:space="preserve">, </w:t>
      </w:r>
      <w:r w:rsidR="004B1AC1">
        <w:rPr>
          <w:rFonts w:ascii="Arial" w:hAnsi="Arial" w:cs="Arial"/>
        </w:rPr>
        <w:t xml:space="preserve">were </w:t>
      </w:r>
      <w:r w:rsidR="007E0AD0">
        <w:rPr>
          <w:rFonts w:ascii="Arial" w:hAnsi="Arial" w:cs="Arial"/>
        </w:rPr>
        <w:t xml:space="preserve">also </w:t>
      </w:r>
      <w:r w:rsidR="004B1AC1">
        <w:rPr>
          <w:rFonts w:ascii="Arial" w:hAnsi="Arial" w:cs="Arial"/>
        </w:rPr>
        <w:t>detected</w:t>
      </w:r>
      <w:r w:rsidR="00F00779">
        <w:rPr>
          <w:rFonts w:ascii="Arial" w:hAnsi="Arial" w:cs="Arial"/>
        </w:rPr>
        <w:t xml:space="preserve"> with similar sensitivity</w:t>
      </w:r>
      <w:r w:rsidR="004B1AC1">
        <w:rPr>
          <w:rFonts w:ascii="Arial" w:hAnsi="Arial" w:cs="Arial"/>
        </w:rPr>
        <w:t xml:space="preserve"> in direct injection samples. Many </w:t>
      </w:r>
      <w:r w:rsidR="00BC0205">
        <w:rPr>
          <w:rFonts w:ascii="Arial" w:hAnsi="Arial" w:cs="Arial"/>
        </w:rPr>
        <w:t>of the studied</w:t>
      </w:r>
      <w:r w:rsidR="00F00779">
        <w:rPr>
          <w:rFonts w:ascii="Arial" w:hAnsi="Arial" w:cs="Arial"/>
        </w:rPr>
        <w:t xml:space="preserve"> tracers showed</w:t>
      </w:r>
      <w:r w:rsidR="004B1AC1">
        <w:rPr>
          <w:rFonts w:ascii="Arial" w:hAnsi="Arial" w:cs="Arial"/>
        </w:rPr>
        <w:t xml:space="preserve"> good reproducibility in final sample concentrations </w:t>
      </w:r>
      <w:r w:rsidR="00F00779">
        <w:rPr>
          <w:rFonts w:ascii="Arial" w:hAnsi="Arial" w:cs="Arial"/>
        </w:rPr>
        <w:t>in</w:t>
      </w:r>
      <w:r w:rsidR="00A05F14">
        <w:rPr>
          <w:rFonts w:ascii="Arial" w:hAnsi="Arial" w:cs="Arial"/>
        </w:rPr>
        <w:t xml:space="preserve"> both analytical</w:t>
      </w:r>
      <w:r w:rsidR="004B1AC1">
        <w:rPr>
          <w:rFonts w:ascii="Arial" w:hAnsi="Arial" w:cs="Arial"/>
        </w:rPr>
        <w:t xml:space="preserve"> methods, while others showed a lower-than-expected concentration in direct injection samples</w:t>
      </w:r>
      <w:r w:rsidR="007958B9">
        <w:rPr>
          <w:rFonts w:ascii="Arial" w:hAnsi="Arial" w:cs="Arial"/>
        </w:rPr>
        <w:t xml:space="preserve"> compared with pre-concentrated samples</w:t>
      </w:r>
      <w:r w:rsidR="004B1AC1">
        <w:rPr>
          <w:rFonts w:ascii="Arial" w:hAnsi="Arial" w:cs="Arial"/>
        </w:rPr>
        <w:t xml:space="preserve">. This </w:t>
      </w:r>
      <w:r w:rsidR="009F7669">
        <w:rPr>
          <w:rFonts w:ascii="Arial" w:hAnsi="Arial" w:cs="Arial"/>
        </w:rPr>
        <w:t>can be accounted for by</w:t>
      </w:r>
      <w:r w:rsidR="004B1AC1">
        <w:rPr>
          <w:rFonts w:ascii="Arial" w:hAnsi="Arial" w:cs="Arial"/>
        </w:rPr>
        <w:t xml:space="preserve"> differences in </w:t>
      </w:r>
      <w:r w:rsidR="00F00779">
        <w:rPr>
          <w:rFonts w:ascii="Arial" w:hAnsi="Arial" w:cs="Arial"/>
        </w:rPr>
        <w:t>sample matrices</w:t>
      </w:r>
      <w:r w:rsidR="009F7669">
        <w:rPr>
          <w:rFonts w:ascii="Arial" w:hAnsi="Arial" w:cs="Arial"/>
        </w:rPr>
        <w:t xml:space="preserve"> or ionisation efficiency</w:t>
      </w:r>
      <w:r w:rsidR="004B1AC1">
        <w:rPr>
          <w:rFonts w:ascii="Arial" w:hAnsi="Arial" w:cs="Arial"/>
        </w:rPr>
        <w:t xml:space="preserve"> in samples analysed </w:t>
      </w:r>
      <w:r w:rsidR="009F7669">
        <w:rPr>
          <w:rFonts w:ascii="Arial" w:hAnsi="Arial" w:cs="Arial"/>
        </w:rPr>
        <w:t>with</w:t>
      </w:r>
      <w:r w:rsidR="004B1AC1">
        <w:rPr>
          <w:rFonts w:ascii="Arial" w:hAnsi="Arial" w:cs="Arial"/>
        </w:rPr>
        <w:t xml:space="preserve"> the two techniques</w:t>
      </w:r>
      <w:r w:rsidR="009F7669">
        <w:rPr>
          <w:rFonts w:ascii="Arial" w:hAnsi="Arial" w:cs="Arial"/>
        </w:rPr>
        <w:t>,</w:t>
      </w:r>
      <w:r w:rsidR="004B1AC1">
        <w:rPr>
          <w:rFonts w:ascii="Arial" w:hAnsi="Arial" w:cs="Arial"/>
        </w:rPr>
        <w:t xml:space="preserve"> and can be a</w:t>
      </w:r>
      <w:r w:rsidR="009F7669">
        <w:rPr>
          <w:rFonts w:ascii="Arial" w:hAnsi="Arial" w:cs="Arial"/>
        </w:rPr>
        <w:t>djusted</w:t>
      </w:r>
      <w:r w:rsidR="004B1AC1">
        <w:rPr>
          <w:rFonts w:ascii="Arial" w:hAnsi="Arial" w:cs="Arial"/>
        </w:rPr>
        <w:t xml:space="preserve"> for in final sample concentrations. </w:t>
      </w:r>
    </w:p>
    <w:p w14:paraId="2B7B48DB" w14:textId="1FC300C7" w:rsidR="004B1AC1" w:rsidRPr="00AF6390" w:rsidRDefault="004B1AC1" w:rsidP="004B1AC1">
      <w:pPr>
        <w:spacing w:line="360" w:lineRule="auto"/>
        <w:jc w:val="both"/>
        <w:rPr>
          <w:rFonts w:ascii="Arial" w:hAnsi="Arial" w:cs="Arial"/>
        </w:rPr>
      </w:pPr>
      <w:r>
        <w:rPr>
          <w:rFonts w:ascii="Arial" w:hAnsi="Arial" w:cs="Arial"/>
        </w:rPr>
        <w:t xml:space="preserve">Direct injection is less </w:t>
      </w:r>
      <w:r w:rsidR="00BC0205">
        <w:rPr>
          <w:rFonts w:ascii="Arial" w:hAnsi="Arial" w:cs="Arial"/>
        </w:rPr>
        <w:t>suitable</w:t>
      </w:r>
      <w:r>
        <w:rPr>
          <w:rFonts w:ascii="Arial" w:hAnsi="Arial" w:cs="Arial"/>
        </w:rPr>
        <w:t xml:space="preserve"> for fatty acid compounds; </w:t>
      </w:r>
      <w:r w:rsidR="009F7669">
        <w:rPr>
          <w:rFonts w:ascii="Arial" w:hAnsi="Arial" w:cs="Arial"/>
        </w:rPr>
        <w:t xml:space="preserve">their </w:t>
      </w:r>
      <w:r>
        <w:rPr>
          <w:rFonts w:ascii="Arial" w:hAnsi="Arial" w:cs="Arial"/>
        </w:rPr>
        <w:t>high background contamination results in high detection limits</w:t>
      </w:r>
      <w:r w:rsidR="009F7669">
        <w:rPr>
          <w:rFonts w:ascii="Arial" w:hAnsi="Arial" w:cs="Arial"/>
        </w:rPr>
        <w:t>,</w:t>
      </w:r>
      <w:r>
        <w:rPr>
          <w:rFonts w:ascii="Arial" w:hAnsi="Arial" w:cs="Arial"/>
        </w:rPr>
        <w:t xml:space="preserve"> and thus these compounds are more suited to </w:t>
      </w:r>
      <w:r w:rsidR="009F7669">
        <w:rPr>
          <w:rFonts w:ascii="Arial" w:hAnsi="Arial" w:cs="Arial"/>
        </w:rPr>
        <w:t>analyses after a</w:t>
      </w:r>
      <w:r>
        <w:rPr>
          <w:rFonts w:ascii="Arial" w:hAnsi="Arial" w:cs="Arial"/>
        </w:rPr>
        <w:t xml:space="preserve"> preconcentration</w:t>
      </w:r>
      <w:r w:rsidR="00EC6B49">
        <w:rPr>
          <w:rFonts w:ascii="Arial" w:hAnsi="Arial" w:cs="Arial"/>
        </w:rPr>
        <w:t xml:space="preserve">. Alternatively, </w:t>
      </w:r>
      <w:r w:rsidR="00F00779">
        <w:rPr>
          <w:rFonts w:ascii="Arial" w:hAnsi="Arial" w:cs="Arial"/>
        </w:rPr>
        <w:t xml:space="preserve">detection limits for </w:t>
      </w:r>
      <w:r w:rsidR="00EC6B49">
        <w:rPr>
          <w:rFonts w:ascii="Arial" w:hAnsi="Arial" w:cs="Arial"/>
        </w:rPr>
        <w:t xml:space="preserve">these compounds </w:t>
      </w:r>
      <w:r w:rsidR="009F7669">
        <w:rPr>
          <w:rFonts w:ascii="Arial" w:hAnsi="Arial" w:cs="Arial"/>
        </w:rPr>
        <w:t>require new, tailored, cleaning</w:t>
      </w:r>
      <w:r w:rsidR="007958B9">
        <w:rPr>
          <w:rFonts w:ascii="Arial" w:hAnsi="Arial" w:cs="Arial"/>
        </w:rPr>
        <w:t xml:space="preserve"> protocols to reduce background contaminations in the solvents and in the instrument itself</w:t>
      </w:r>
      <w:r w:rsidR="00EC6B49">
        <w:rPr>
          <w:rFonts w:ascii="Arial" w:hAnsi="Arial" w:cs="Arial"/>
        </w:rPr>
        <w:t xml:space="preserve"> before direct injection analysis.</w:t>
      </w:r>
    </w:p>
    <w:p w14:paraId="16B0A632" w14:textId="5291FB70" w:rsidR="004B1AC1" w:rsidRPr="00AA1080" w:rsidRDefault="004B1AC1" w:rsidP="00AA1080">
      <w:pPr>
        <w:spacing w:line="360" w:lineRule="auto"/>
        <w:jc w:val="both"/>
        <w:rPr>
          <w:rFonts w:ascii="Arial" w:hAnsi="Arial" w:cs="Arial"/>
        </w:rPr>
      </w:pPr>
    </w:p>
    <w:p w14:paraId="01F40420" w14:textId="77777777" w:rsidR="00AA1080" w:rsidRPr="00AA1080" w:rsidRDefault="00AA1080" w:rsidP="00AA1080">
      <w:pPr>
        <w:spacing w:line="360" w:lineRule="auto"/>
        <w:jc w:val="both"/>
        <w:rPr>
          <w:rFonts w:ascii="Arial" w:hAnsi="Arial" w:cs="Arial"/>
          <w:b/>
        </w:rPr>
      </w:pPr>
      <w:r w:rsidRPr="00AA1080">
        <w:rPr>
          <w:rFonts w:ascii="Arial" w:hAnsi="Arial" w:cs="Arial"/>
          <w:b/>
        </w:rPr>
        <w:t>Acknowledgements</w:t>
      </w:r>
    </w:p>
    <w:p w14:paraId="36100FC4" w14:textId="4A0ED8A3" w:rsidR="00AA1080" w:rsidRDefault="00AA1080" w:rsidP="00AA1080">
      <w:pPr>
        <w:spacing w:line="360" w:lineRule="auto"/>
        <w:jc w:val="both"/>
        <w:rPr>
          <w:rFonts w:ascii="Arial" w:hAnsi="Arial" w:cs="Arial"/>
        </w:rPr>
      </w:pPr>
      <w:r w:rsidRPr="00AA1080">
        <w:rPr>
          <w:rFonts w:ascii="Arial" w:hAnsi="Arial" w:cs="Arial"/>
        </w:rPr>
        <w:t>We acknowledge Magda Claeys (University of Antwerp) for providing the sysnthesised chemical standard of MB</w:t>
      </w:r>
      <w:r>
        <w:rPr>
          <w:rFonts w:ascii="Arial" w:hAnsi="Arial" w:cs="Arial"/>
        </w:rPr>
        <w:t xml:space="preserve">TCA; </w:t>
      </w:r>
      <w:r w:rsidRPr="00AA1080">
        <w:rPr>
          <w:rFonts w:ascii="Arial" w:hAnsi="Arial" w:cs="Arial"/>
        </w:rPr>
        <w:t>Thorsten Hoffman (University of Mainz) for providing the sysnthesised chemical standards of sesquiterpene SOAs, and Jean-Louis Clément (Aix-Marseille Université) for providing the sysnthesised chemical standard of methyl tetrols. We acknowledge Alexander Vogel, Paul Scherrer Institut, for pre</w:t>
      </w:r>
      <w:r>
        <w:rPr>
          <w:rFonts w:ascii="Arial" w:hAnsi="Arial" w:cs="Arial"/>
        </w:rPr>
        <w:t>paring the Belukha ice samples.</w:t>
      </w:r>
    </w:p>
    <w:p w14:paraId="493AB196" w14:textId="77777777" w:rsidR="00926165" w:rsidRPr="00AA1080" w:rsidRDefault="00926165" w:rsidP="00AA1080">
      <w:pPr>
        <w:spacing w:line="360" w:lineRule="auto"/>
        <w:jc w:val="both"/>
        <w:rPr>
          <w:rFonts w:ascii="Arial" w:hAnsi="Arial" w:cs="Arial"/>
        </w:rPr>
      </w:pPr>
    </w:p>
    <w:p w14:paraId="21399F26" w14:textId="77777777" w:rsidR="00AA1080" w:rsidRPr="00AA1080" w:rsidRDefault="00AA1080" w:rsidP="00AA1080">
      <w:pPr>
        <w:spacing w:line="360" w:lineRule="auto"/>
        <w:jc w:val="both"/>
        <w:rPr>
          <w:rFonts w:ascii="Arial" w:hAnsi="Arial" w:cs="Arial"/>
          <w:b/>
        </w:rPr>
      </w:pPr>
      <w:r w:rsidRPr="00AA1080">
        <w:rPr>
          <w:rFonts w:ascii="Arial" w:hAnsi="Arial" w:cs="Arial"/>
          <w:b/>
        </w:rPr>
        <w:t>Funding Sources</w:t>
      </w:r>
    </w:p>
    <w:p w14:paraId="2ED4BBED" w14:textId="62ED1CFE" w:rsidR="00476A9C" w:rsidRDefault="00AA1080" w:rsidP="00AA1080">
      <w:pPr>
        <w:spacing w:line="360" w:lineRule="auto"/>
        <w:jc w:val="both"/>
        <w:rPr>
          <w:rFonts w:ascii="Arial" w:hAnsi="Arial" w:cs="Arial"/>
        </w:rPr>
      </w:pPr>
      <w:r w:rsidRPr="00AA1080">
        <w:rPr>
          <w:rFonts w:ascii="Arial" w:hAnsi="Arial" w:cs="Arial"/>
        </w:rPr>
        <w:t>Work by Amy King was jointly supported by Selwyn College, Cambridge, and the NERC Doctoral Training Programme [grant number NE/L002507/1]. Work by Chiara Giorio was supported by the ‘BAS-UCAM Innovation Centre Feasibility Studies’ programme 2013-2015 [project ‘Organics in Ice’] and by the ERC Consolidator Grant 279405 “COrANE”. Eric Wolff was supported by a Royal Society Professorship.</w:t>
      </w:r>
    </w:p>
    <w:p w14:paraId="3D7E2506" w14:textId="700390CB" w:rsidR="00DA0557" w:rsidRDefault="00DA0557" w:rsidP="00AA1080">
      <w:pPr>
        <w:spacing w:line="360" w:lineRule="auto"/>
        <w:jc w:val="both"/>
        <w:rPr>
          <w:rFonts w:ascii="Arial" w:hAnsi="Arial" w:cs="Arial"/>
        </w:rPr>
      </w:pPr>
    </w:p>
    <w:p w14:paraId="11A32BE3" w14:textId="53100DCC" w:rsidR="00926165" w:rsidRPr="00DA0557" w:rsidRDefault="00DA0557" w:rsidP="00AA1080">
      <w:pPr>
        <w:spacing w:line="360" w:lineRule="auto"/>
        <w:jc w:val="both"/>
      </w:pPr>
      <w:r w:rsidRPr="00DA0557">
        <w:rPr>
          <w:rFonts w:ascii="Arial" w:hAnsi="Arial" w:cs="Arial"/>
          <w:b/>
        </w:rPr>
        <w:t>Supporting Information:</w:t>
      </w:r>
      <w:r>
        <w:rPr>
          <w:rFonts w:ascii="Arial" w:hAnsi="Arial" w:cs="Arial"/>
        </w:rPr>
        <w:t xml:space="preserve"> Figure showing c</w:t>
      </w:r>
      <w:r w:rsidRPr="00602D19">
        <w:rPr>
          <w:rFonts w:ascii="Arial" w:hAnsi="Arial" w:cs="Arial"/>
        </w:rPr>
        <w:t xml:space="preserve">alibration curves and respective error of instrumental repeatability plots for example compounds representing a range of compounds classes and percentage </w:t>
      </w:r>
      <w:r>
        <w:rPr>
          <w:rFonts w:ascii="Arial" w:hAnsi="Arial" w:cs="Arial"/>
        </w:rPr>
        <w:t>relative standard deviation</w:t>
      </w:r>
      <w:r w:rsidRPr="00602D19">
        <w:rPr>
          <w:rFonts w:ascii="Arial" w:hAnsi="Arial" w:cs="Arial"/>
        </w:rPr>
        <w:t xml:space="preserve"> values.</w:t>
      </w:r>
    </w:p>
    <w:p w14:paraId="5A1C0F53" w14:textId="4F4A720E" w:rsidR="00942BF9" w:rsidRDefault="00942BF9" w:rsidP="00942BF9">
      <w:pPr>
        <w:pStyle w:val="Heading1"/>
        <w:numPr>
          <w:ilvl w:val="0"/>
          <w:numId w:val="1"/>
        </w:numPr>
        <w:spacing w:line="360" w:lineRule="auto"/>
        <w:jc w:val="both"/>
        <w:rPr>
          <w:rFonts w:ascii="Arial" w:hAnsi="Arial" w:cs="Arial"/>
          <w:color w:val="000000" w:themeColor="text1"/>
          <w:sz w:val="22"/>
          <w:szCs w:val="22"/>
        </w:rPr>
      </w:pPr>
      <w:r w:rsidRPr="00942BF9">
        <w:rPr>
          <w:rFonts w:ascii="Arial" w:hAnsi="Arial" w:cs="Arial"/>
          <w:color w:val="000000" w:themeColor="text1"/>
          <w:sz w:val="22"/>
          <w:szCs w:val="22"/>
        </w:rPr>
        <w:t>References</w:t>
      </w:r>
    </w:p>
    <w:p w14:paraId="760671E7" w14:textId="6BBAACD1" w:rsidR="00942BF9" w:rsidRPr="00302374" w:rsidRDefault="00942BF9" w:rsidP="00AF1813">
      <w:pPr>
        <w:spacing w:line="360" w:lineRule="auto"/>
        <w:jc w:val="both"/>
        <w:rPr>
          <w:rFonts w:ascii="Arial" w:hAnsi="Arial" w:cs="Arial"/>
        </w:rPr>
      </w:pPr>
    </w:p>
    <w:p w14:paraId="3904A4D9" w14:textId="1B8BE6D7" w:rsidR="000A088B" w:rsidRPr="000A088B" w:rsidRDefault="00942BF9" w:rsidP="000A088B">
      <w:pPr>
        <w:widowControl w:val="0"/>
        <w:autoSpaceDE w:val="0"/>
        <w:autoSpaceDN w:val="0"/>
        <w:adjustRightInd w:val="0"/>
        <w:spacing w:line="360" w:lineRule="auto"/>
        <w:ind w:left="640" w:hanging="640"/>
        <w:rPr>
          <w:rFonts w:ascii="Arial" w:hAnsi="Arial" w:cs="Arial"/>
          <w:noProof/>
          <w:szCs w:val="24"/>
        </w:rPr>
      </w:pPr>
      <w:r w:rsidRPr="00302374">
        <w:rPr>
          <w:rFonts w:ascii="Arial" w:hAnsi="Arial" w:cs="Arial"/>
        </w:rPr>
        <w:fldChar w:fldCharType="begin" w:fldLock="1"/>
      </w:r>
      <w:r w:rsidRPr="00302374">
        <w:rPr>
          <w:rFonts w:ascii="Arial" w:hAnsi="Arial" w:cs="Arial"/>
        </w:rPr>
        <w:instrText xml:space="preserve">ADDIN Mendeley Bibliography CSL_BIBLIOGRAPHY </w:instrText>
      </w:r>
      <w:r w:rsidRPr="00302374">
        <w:rPr>
          <w:rFonts w:ascii="Arial" w:hAnsi="Arial" w:cs="Arial"/>
        </w:rPr>
        <w:fldChar w:fldCharType="separate"/>
      </w:r>
      <w:r w:rsidR="000A088B" w:rsidRPr="000A088B">
        <w:rPr>
          <w:rFonts w:ascii="Arial" w:hAnsi="Arial" w:cs="Arial"/>
          <w:noProof/>
          <w:szCs w:val="24"/>
        </w:rPr>
        <w:t xml:space="preserve">(1) </w:t>
      </w:r>
      <w:r w:rsidR="000A088B" w:rsidRPr="000A088B">
        <w:rPr>
          <w:rFonts w:ascii="Arial" w:hAnsi="Arial" w:cs="Arial"/>
          <w:noProof/>
          <w:szCs w:val="24"/>
        </w:rPr>
        <w:tab/>
        <w:t xml:space="preserve">Giorio, C.; Kehrwald, N.; Barbante, C.; Kalberer, M.; King, A. C. F.; Thomas, E. R.; Wolff, E. W.; Zennaro, P. Prospects for Reconstructing Paleoenvironmental Conditions from Organic Compounds in Polar Snow and Ice. </w:t>
      </w:r>
      <w:r w:rsidR="000A088B" w:rsidRPr="000A088B">
        <w:rPr>
          <w:rFonts w:ascii="Arial" w:hAnsi="Arial" w:cs="Arial"/>
          <w:i/>
          <w:iCs/>
          <w:noProof/>
          <w:szCs w:val="24"/>
        </w:rPr>
        <w:t>Quat. Sci. Rev.</w:t>
      </w:r>
      <w:r w:rsidR="000A088B" w:rsidRPr="000A088B">
        <w:rPr>
          <w:rFonts w:ascii="Arial" w:hAnsi="Arial" w:cs="Arial"/>
          <w:noProof/>
          <w:szCs w:val="24"/>
        </w:rPr>
        <w:t xml:space="preserve"> </w:t>
      </w:r>
      <w:r w:rsidR="000A088B" w:rsidRPr="000A088B">
        <w:rPr>
          <w:rFonts w:ascii="Arial" w:hAnsi="Arial" w:cs="Arial"/>
          <w:b/>
          <w:bCs/>
          <w:noProof/>
          <w:szCs w:val="24"/>
        </w:rPr>
        <w:t>2018</w:t>
      </w:r>
      <w:r w:rsidR="000A088B" w:rsidRPr="000A088B">
        <w:rPr>
          <w:rFonts w:ascii="Arial" w:hAnsi="Arial" w:cs="Arial"/>
          <w:noProof/>
          <w:szCs w:val="24"/>
        </w:rPr>
        <w:t xml:space="preserve">, </w:t>
      </w:r>
      <w:r w:rsidR="000A088B" w:rsidRPr="000A088B">
        <w:rPr>
          <w:rFonts w:ascii="Arial" w:hAnsi="Arial" w:cs="Arial"/>
          <w:i/>
          <w:iCs/>
          <w:noProof/>
          <w:szCs w:val="24"/>
        </w:rPr>
        <w:t>183</w:t>
      </w:r>
      <w:r w:rsidR="000A088B" w:rsidRPr="000A088B">
        <w:rPr>
          <w:rFonts w:ascii="Arial" w:hAnsi="Arial" w:cs="Arial"/>
          <w:noProof/>
          <w:szCs w:val="24"/>
        </w:rPr>
        <w:t>, 1–22. https://doi.org/10.1016/j.quascirev.2018.01.007.</w:t>
      </w:r>
    </w:p>
    <w:p w14:paraId="0234F11A"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(2) </w:t>
      </w:r>
      <w:r w:rsidRPr="000A088B">
        <w:rPr>
          <w:rFonts w:ascii="Arial" w:hAnsi="Arial" w:cs="Arial"/>
          <w:noProof/>
          <w:szCs w:val="24"/>
        </w:rPr>
        <w:tab/>
        <w:t xml:space="preserve">Kawamura, K.; Suzuki, I.; Fujii, Y.; Watanabe, O. Ice Core Record of Fatty Acids over the Past 450 Years in Greenland. </w:t>
      </w:r>
      <w:r w:rsidRPr="000A088B">
        <w:rPr>
          <w:rFonts w:ascii="Arial" w:hAnsi="Arial" w:cs="Arial"/>
          <w:i/>
          <w:iCs/>
          <w:noProof/>
          <w:szCs w:val="24"/>
        </w:rPr>
        <w:t>Geophys. Res. Lett.</w:t>
      </w:r>
      <w:r w:rsidRPr="000A088B">
        <w:rPr>
          <w:rFonts w:ascii="Arial" w:hAnsi="Arial" w:cs="Arial"/>
          <w:noProof/>
          <w:szCs w:val="24"/>
        </w:rPr>
        <w:t xml:space="preserve"> </w:t>
      </w:r>
      <w:r w:rsidRPr="000A088B">
        <w:rPr>
          <w:rFonts w:ascii="Arial" w:hAnsi="Arial" w:cs="Arial"/>
          <w:b/>
          <w:bCs/>
          <w:noProof/>
          <w:szCs w:val="24"/>
        </w:rPr>
        <w:t>1996</w:t>
      </w:r>
      <w:r w:rsidRPr="000A088B">
        <w:rPr>
          <w:rFonts w:ascii="Arial" w:hAnsi="Arial" w:cs="Arial"/>
          <w:noProof/>
          <w:szCs w:val="24"/>
        </w:rPr>
        <w:t xml:space="preserve">, </w:t>
      </w:r>
      <w:r w:rsidRPr="000A088B">
        <w:rPr>
          <w:rFonts w:ascii="Arial" w:hAnsi="Arial" w:cs="Arial"/>
          <w:i/>
          <w:iCs/>
          <w:noProof/>
          <w:szCs w:val="24"/>
        </w:rPr>
        <w:t>23</w:t>
      </w:r>
      <w:r w:rsidRPr="000A088B">
        <w:rPr>
          <w:rFonts w:ascii="Arial" w:hAnsi="Arial" w:cs="Arial"/>
          <w:noProof/>
          <w:szCs w:val="24"/>
        </w:rPr>
        <w:t xml:space="preserve"> (19), 2665–2668. https://doi.org/10.1029/96gl02428.</w:t>
      </w:r>
    </w:p>
    <w:p w14:paraId="441224DF"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(3) </w:t>
      </w:r>
      <w:r w:rsidRPr="000A088B">
        <w:rPr>
          <w:rFonts w:ascii="Arial" w:hAnsi="Arial" w:cs="Arial"/>
          <w:noProof/>
          <w:szCs w:val="24"/>
        </w:rPr>
        <w:tab/>
        <w:t xml:space="preserve">Pokhrel, A.; Kawamura, K.; Ono, K.; Seki, O.; Fu, P.; Matoba, S.; Shiraiwa, T. Ice Core Records of Monoterpene- and Isoprene-SOA Tracers from Aurora Peak in Alaska since 1660s: Implication for Climate Change Variability in the North Pacific Rim. </w:t>
      </w:r>
      <w:r w:rsidRPr="000A088B">
        <w:rPr>
          <w:rFonts w:ascii="Arial" w:hAnsi="Arial" w:cs="Arial"/>
          <w:i/>
          <w:iCs/>
          <w:noProof/>
          <w:szCs w:val="24"/>
        </w:rPr>
        <w:t>Atmos. Environ.</w:t>
      </w:r>
      <w:r w:rsidRPr="000A088B">
        <w:rPr>
          <w:rFonts w:ascii="Arial" w:hAnsi="Arial" w:cs="Arial"/>
          <w:noProof/>
          <w:szCs w:val="24"/>
        </w:rPr>
        <w:t xml:space="preserve"> </w:t>
      </w:r>
      <w:r w:rsidRPr="000A088B">
        <w:rPr>
          <w:rFonts w:ascii="Arial" w:hAnsi="Arial" w:cs="Arial"/>
          <w:b/>
          <w:bCs/>
          <w:noProof/>
          <w:szCs w:val="24"/>
        </w:rPr>
        <w:t>2015</w:t>
      </w:r>
      <w:r w:rsidRPr="000A088B">
        <w:rPr>
          <w:rFonts w:ascii="Arial" w:hAnsi="Arial" w:cs="Arial"/>
          <w:noProof/>
          <w:szCs w:val="24"/>
        </w:rPr>
        <w:t xml:space="preserve">, </w:t>
      </w:r>
      <w:r w:rsidRPr="000A088B">
        <w:rPr>
          <w:rFonts w:ascii="Arial" w:hAnsi="Arial" w:cs="Arial"/>
          <w:i/>
          <w:iCs/>
          <w:noProof/>
          <w:szCs w:val="24"/>
        </w:rPr>
        <w:t>130</w:t>
      </w:r>
      <w:r w:rsidRPr="000A088B">
        <w:rPr>
          <w:rFonts w:ascii="Arial" w:hAnsi="Arial" w:cs="Arial"/>
          <w:noProof/>
          <w:szCs w:val="24"/>
        </w:rPr>
        <w:t>, 105–112. https://doi.org/10.1016/j.atmosenv.2015.09.063.</w:t>
      </w:r>
    </w:p>
    <w:p w14:paraId="071D6239"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(4) </w:t>
      </w:r>
      <w:r w:rsidRPr="000A088B">
        <w:rPr>
          <w:rFonts w:ascii="Arial" w:hAnsi="Arial" w:cs="Arial"/>
          <w:noProof/>
          <w:szCs w:val="24"/>
        </w:rPr>
        <w:tab/>
        <w:t xml:space="preserve">Müller-Tautges, C.; Eichler, A.; Schwikowski, M.; Pezzatti, G. B.; Conedera, M.; Hoffmann, T. Historic Records of Organic Compounds from a High Alpine Glacier: Influences of Biomass Burning, Anthropogenic Emissions, and Dust Transport. </w:t>
      </w:r>
      <w:r w:rsidRPr="000A088B">
        <w:rPr>
          <w:rFonts w:ascii="Arial" w:hAnsi="Arial" w:cs="Arial"/>
          <w:i/>
          <w:iCs/>
          <w:noProof/>
          <w:szCs w:val="24"/>
        </w:rPr>
        <w:t>Atmos. Chem. Phys.</w:t>
      </w:r>
      <w:r w:rsidRPr="000A088B">
        <w:rPr>
          <w:rFonts w:ascii="Arial" w:hAnsi="Arial" w:cs="Arial"/>
          <w:noProof/>
          <w:szCs w:val="24"/>
        </w:rPr>
        <w:t xml:space="preserve"> </w:t>
      </w:r>
      <w:r w:rsidRPr="000A088B">
        <w:rPr>
          <w:rFonts w:ascii="Arial" w:hAnsi="Arial" w:cs="Arial"/>
          <w:b/>
          <w:bCs/>
          <w:noProof/>
          <w:szCs w:val="24"/>
        </w:rPr>
        <w:t>2016</w:t>
      </w:r>
      <w:r w:rsidRPr="000A088B">
        <w:rPr>
          <w:rFonts w:ascii="Arial" w:hAnsi="Arial" w:cs="Arial"/>
          <w:noProof/>
          <w:szCs w:val="24"/>
        </w:rPr>
        <w:t xml:space="preserve">, </w:t>
      </w:r>
      <w:r w:rsidRPr="000A088B">
        <w:rPr>
          <w:rFonts w:ascii="Arial" w:hAnsi="Arial" w:cs="Arial"/>
          <w:i/>
          <w:iCs/>
          <w:noProof/>
          <w:szCs w:val="24"/>
        </w:rPr>
        <w:t>16</w:t>
      </w:r>
      <w:r w:rsidRPr="000A088B">
        <w:rPr>
          <w:rFonts w:ascii="Arial" w:hAnsi="Arial" w:cs="Arial"/>
          <w:noProof/>
          <w:szCs w:val="24"/>
        </w:rPr>
        <w:t xml:space="preserve"> (2), 1029–1043. https://doi.org/10.5194/acp-16-1029-2016.</w:t>
      </w:r>
    </w:p>
    <w:p w14:paraId="0D4DDBB5"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(5) </w:t>
      </w:r>
      <w:r w:rsidRPr="000A088B">
        <w:rPr>
          <w:rFonts w:ascii="Arial" w:hAnsi="Arial" w:cs="Arial"/>
          <w:noProof/>
          <w:szCs w:val="24"/>
        </w:rPr>
        <w:tab/>
        <w:t xml:space="preserve">King, A. C. F.; Giorio, C.; Wolff, E.; Thomas, E.; Karroca, O.; Roverso, M.; Schwikowski, M.; Tapparo, A.; Gambaro, A.; Kalberer, M. A New Method for the Determination of Primary and Secondary Terrestrial and Marine Biomarkers in Ice Cores Using Liquid Chromatography High-Resolution Mass Spectrometry. </w:t>
      </w:r>
      <w:r w:rsidRPr="000A088B">
        <w:rPr>
          <w:rFonts w:ascii="Arial" w:hAnsi="Arial" w:cs="Arial"/>
          <w:i/>
          <w:iCs/>
          <w:noProof/>
          <w:szCs w:val="24"/>
        </w:rPr>
        <w:t>Talanta</w:t>
      </w:r>
      <w:r w:rsidRPr="000A088B">
        <w:rPr>
          <w:rFonts w:ascii="Arial" w:hAnsi="Arial" w:cs="Arial"/>
          <w:noProof/>
          <w:szCs w:val="24"/>
        </w:rPr>
        <w:t xml:space="preserve"> </w:t>
      </w:r>
      <w:r w:rsidRPr="000A088B">
        <w:rPr>
          <w:rFonts w:ascii="Arial" w:hAnsi="Arial" w:cs="Arial"/>
          <w:b/>
          <w:bCs/>
          <w:noProof/>
          <w:szCs w:val="24"/>
        </w:rPr>
        <w:t>2019</w:t>
      </w:r>
      <w:r w:rsidRPr="000A088B">
        <w:rPr>
          <w:rFonts w:ascii="Arial" w:hAnsi="Arial" w:cs="Arial"/>
          <w:noProof/>
          <w:szCs w:val="24"/>
        </w:rPr>
        <w:t xml:space="preserve">, </w:t>
      </w:r>
      <w:r w:rsidRPr="000A088B">
        <w:rPr>
          <w:rFonts w:ascii="Arial" w:hAnsi="Arial" w:cs="Arial"/>
          <w:i/>
          <w:iCs/>
          <w:noProof/>
          <w:szCs w:val="24"/>
        </w:rPr>
        <w:t>194</w:t>
      </w:r>
      <w:r w:rsidRPr="000A088B">
        <w:rPr>
          <w:rFonts w:ascii="Arial" w:hAnsi="Arial" w:cs="Arial"/>
          <w:noProof/>
          <w:szCs w:val="24"/>
        </w:rPr>
        <w:t>, 233–242. https://doi.org/10.1016/j.talanta.2018.10.042.</w:t>
      </w:r>
    </w:p>
    <w:p w14:paraId="7EF26EAA" w14:textId="7FD7390E"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(6) </w:t>
      </w:r>
      <w:r w:rsidRPr="000A088B">
        <w:rPr>
          <w:rFonts w:ascii="Arial" w:hAnsi="Arial" w:cs="Arial"/>
          <w:noProof/>
          <w:szCs w:val="24"/>
        </w:rPr>
        <w:tab/>
        <w:t xml:space="preserve">Gambaro, A.; Zangrando, R.; Gabrielli, P.; Barbante, C.; Cescon, P. Direct Determination of Levoglucosan at the Picogram per Milliliter Level in Antarctic Ice by High-Performance Liquid Chromatography / Electrospray Ionization Triple Quadrupole Mass Spectrometry. </w:t>
      </w:r>
      <w:r w:rsidRPr="000A088B">
        <w:rPr>
          <w:rFonts w:ascii="Arial" w:hAnsi="Arial" w:cs="Arial"/>
          <w:i/>
          <w:noProof/>
          <w:szCs w:val="24"/>
        </w:rPr>
        <w:t>Anal. Chem.</w:t>
      </w:r>
      <w:r>
        <w:rPr>
          <w:rFonts w:ascii="Arial" w:hAnsi="Arial" w:cs="Arial"/>
          <w:noProof/>
          <w:szCs w:val="24"/>
        </w:rPr>
        <w:t xml:space="preserve"> </w:t>
      </w:r>
      <w:r w:rsidRPr="000A088B">
        <w:rPr>
          <w:rFonts w:ascii="Arial" w:hAnsi="Arial" w:cs="Arial"/>
          <w:b/>
          <w:bCs/>
          <w:noProof/>
          <w:szCs w:val="24"/>
        </w:rPr>
        <w:t>2008</w:t>
      </w:r>
      <w:r w:rsidRPr="000A088B">
        <w:rPr>
          <w:rFonts w:ascii="Arial" w:hAnsi="Arial" w:cs="Arial"/>
          <w:noProof/>
          <w:szCs w:val="24"/>
        </w:rPr>
        <w:t xml:space="preserve">, </w:t>
      </w:r>
      <w:r w:rsidRPr="000A088B">
        <w:rPr>
          <w:rFonts w:ascii="Arial" w:hAnsi="Arial" w:cs="Arial"/>
          <w:i/>
          <w:iCs/>
          <w:noProof/>
          <w:szCs w:val="24"/>
        </w:rPr>
        <w:t>80</w:t>
      </w:r>
      <w:r w:rsidRPr="000A088B">
        <w:rPr>
          <w:rFonts w:ascii="Arial" w:hAnsi="Arial" w:cs="Arial"/>
          <w:noProof/>
          <w:szCs w:val="24"/>
        </w:rPr>
        <w:t xml:space="preserve"> (5), 1649–1655. https://doi.org/10.1021/ac701655x.</w:t>
      </w:r>
    </w:p>
    <w:p w14:paraId="358C6DA3"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(7) </w:t>
      </w:r>
      <w:r w:rsidRPr="000A088B">
        <w:rPr>
          <w:rFonts w:ascii="Arial" w:hAnsi="Arial" w:cs="Arial"/>
          <w:noProof/>
          <w:szCs w:val="24"/>
        </w:rPr>
        <w:tab/>
        <w:t xml:space="preserve">Müller-Tautges, C.; Eichler, A.; Schwikowski, M.; Hoffmann, T. A New Sensitive Method for the Quantification of Glyoxal and Methylglyoxal in Snow and Ice by Stir Bar Sorptive Extraction and Liquid Desorption-HPLC-ESI-MS. </w:t>
      </w:r>
      <w:r w:rsidRPr="000A088B">
        <w:rPr>
          <w:rFonts w:ascii="Arial" w:hAnsi="Arial" w:cs="Arial"/>
          <w:i/>
          <w:iCs/>
          <w:noProof/>
          <w:szCs w:val="24"/>
        </w:rPr>
        <w:t>Anal. Bioanal. Chem.</w:t>
      </w:r>
      <w:r w:rsidRPr="000A088B">
        <w:rPr>
          <w:rFonts w:ascii="Arial" w:hAnsi="Arial" w:cs="Arial"/>
          <w:noProof/>
          <w:szCs w:val="24"/>
        </w:rPr>
        <w:t xml:space="preserve"> </w:t>
      </w:r>
      <w:r w:rsidRPr="000A088B">
        <w:rPr>
          <w:rFonts w:ascii="Arial" w:hAnsi="Arial" w:cs="Arial"/>
          <w:b/>
          <w:bCs/>
          <w:noProof/>
          <w:szCs w:val="24"/>
        </w:rPr>
        <w:t>2014</w:t>
      </w:r>
      <w:r w:rsidRPr="000A088B">
        <w:rPr>
          <w:rFonts w:ascii="Arial" w:hAnsi="Arial" w:cs="Arial"/>
          <w:noProof/>
          <w:szCs w:val="24"/>
        </w:rPr>
        <w:t xml:space="preserve">, </w:t>
      </w:r>
      <w:r w:rsidRPr="000A088B">
        <w:rPr>
          <w:rFonts w:ascii="Arial" w:hAnsi="Arial" w:cs="Arial"/>
          <w:i/>
          <w:iCs/>
          <w:noProof/>
          <w:szCs w:val="24"/>
        </w:rPr>
        <w:t>406</w:t>
      </w:r>
      <w:r w:rsidRPr="000A088B">
        <w:rPr>
          <w:rFonts w:ascii="Arial" w:hAnsi="Arial" w:cs="Arial"/>
          <w:noProof/>
          <w:szCs w:val="24"/>
        </w:rPr>
        <w:t xml:space="preserve"> (11), 2525–2532. https://doi.org/10.1007/s00216-014-7640-z.</w:t>
      </w:r>
    </w:p>
    <w:p w14:paraId="6756E60C"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(8) </w:t>
      </w:r>
      <w:r w:rsidRPr="000A088B">
        <w:rPr>
          <w:rFonts w:ascii="Arial" w:hAnsi="Arial" w:cs="Arial"/>
          <w:noProof/>
          <w:szCs w:val="24"/>
        </w:rPr>
        <w:tab/>
        <w:t xml:space="preserve">Olivier, S.; Schwikowski, M.; Brütsch, S.; Eyrikh, S.; Gäggeler, H. W.; Lüthi, M.; Papina, T.; Saurer, M.; Schotterer, U.; Tobler, L.; et al. Glaciochemical Investigation of an Ice Core from Belukha Glacier, Siberian Altai. </w:t>
      </w:r>
      <w:r w:rsidRPr="000A088B">
        <w:rPr>
          <w:rFonts w:ascii="Arial" w:hAnsi="Arial" w:cs="Arial"/>
          <w:i/>
          <w:iCs/>
          <w:noProof/>
          <w:szCs w:val="24"/>
        </w:rPr>
        <w:t>Geophys. Res. Lett.</w:t>
      </w:r>
      <w:r w:rsidRPr="000A088B">
        <w:rPr>
          <w:rFonts w:ascii="Arial" w:hAnsi="Arial" w:cs="Arial"/>
          <w:noProof/>
          <w:szCs w:val="24"/>
        </w:rPr>
        <w:t xml:space="preserve"> </w:t>
      </w:r>
      <w:r w:rsidRPr="000A088B">
        <w:rPr>
          <w:rFonts w:ascii="Arial" w:hAnsi="Arial" w:cs="Arial"/>
          <w:b/>
          <w:bCs/>
          <w:noProof/>
          <w:szCs w:val="24"/>
        </w:rPr>
        <w:t>2003</w:t>
      </w:r>
      <w:r w:rsidRPr="000A088B">
        <w:rPr>
          <w:rFonts w:ascii="Arial" w:hAnsi="Arial" w:cs="Arial"/>
          <w:noProof/>
          <w:szCs w:val="24"/>
        </w:rPr>
        <w:t xml:space="preserve">, </w:t>
      </w:r>
      <w:r w:rsidRPr="000A088B">
        <w:rPr>
          <w:rFonts w:ascii="Arial" w:hAnsi="Arial" w:cs="Arial"/>
          <w:i/>
          <w:iCs/>
          <w:noProof/>
          <w:szCs w:val="24"/>
        </w:rPr>
        <w:t>30</w:t>
      </w:r>
      <w:r w:rsidRPr="000A088B">
        <w:rPr>
          <w:rFonts w:ascii="Arial" w:hAnsi="Arial" w:cs="Arial"/>
          <w:noProof/>
          <w:szCs w:val="24"/>
        </w:rPr>
        <w:t xml:space="preserve"> (19), 3–6. https://doi.org/10.1029/2003GL018290.</w:t>
      </w:r>
    </w:p>
    <w:p w14:paraId="0BC4406A"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(9) </w:t>
      </w:r>
      <w:r w:rsidRPr="000A088B">
        <w:rPr>
          <w:rFonts w:ascii="Arial" w:hAnsi="Arial" w:cs="Arial"/>
          <w:noProof/>
          <w:szCs w:val="24"/>
        </w:rPr>
        <w:tab/>
        <w:t xml:space="preserve">Hubaux, A.; Vos, G. Decision and Detection Limits for Linear Calibration Curves. </w:t>
      </w:r>
      <w:r w:rsidRPr="000A088B">
        <w:rPr>
          <w:rFonts w:ascii="Arial" w:hAnsi="Arial" w:cs="Arial"/>
          <w:i/>
          <w:iCs/>
          <w:noProof/>
          <w:szCs w:val="24"/>
        </w:rPr>
        <w:t>Anal. Chem.</w:t>
      </w:r>
      <w:r w:rsidRPr="000A088B">
        <w:rPr>
          <w:rFonts w:ascii="Arial" w:hAnsi="Arial" w:cs="Arial"/>
          <w:noProof/>
          <w:szCs w:val="24"/>
        </w:rPr>
        <w:t xml:space="preserve"> </w:t>
      </w:r>
      <w:r w:rsidRPr="000A088B">
        <w:rPr>
          <w:rFonts w:ascii="Arial" w:hAnsi="Arial" w:cs="Arial"/>
          <w:b/>
          <w:bCs/>
          <w:noProof/>
          <w:szCs w:val="24"/>
        </w:rPr>
        <w:t>1970</w:t>
      </w:r>
      <w:r w:rsidRPr="000A088B">
        <w:rPr>
          <w:rFonts w:ascii="Arial" w:hAnsi="Arial" w:cs="Arial"/>
          <w:noProof/>
          <w:szCs w:val="24"/>
        </w:rPr>
        <w:t xml:space="preserve">, </w:t>
      </w:r>
      <w:r w:rsidRPr="000A088B">
        <w:rPr>
          <w:rFonts w:ascii="Arial" w:hAnsi="Arial" w:cs="Arial"/>
          <w:i/>
          <w:iCs/>
          <w:noProof/>
          <w:szCs w:val="24"/>
        </w:rPr>
        <w:t>42</w:t>
      </w:r>
      <w:r w:rsidRPr="000A088B">
        <w:rPr>
          <w:rFonts w:ascii="Arial" w:hAnsi="Arial" w:cs="Arial"/>
          <w:noProof/>
          <w:szCs w:val="24"/>
        </w:rPr>
        <w:t xml:space="preserve"> (8), 849–855. https://doi.org/10.1021/ac60290a013.</w:t>
      </w:r>
    </w:p>
    <w:p w14:paraId="02E7E520"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(10) </w:t>
      </w:r>
      <w:r w:rsidRPr="000A088B">
        <w:rPr>
          <w:rFonts w:ascii="Arial" w:hAnsi="Arial" w:cs="Arial"/>
          <w:noProof/>
          <w:szCs w:val="24"/>
        </w:rPr>
        <w:tab/>
        <w:t xml:space="preserve">Currie, L. A. Nomenclature in Evaluation of Analytical Methods Including Detection and Quantification Capabilities. </w:t>
      </w:r>
      <w:r w:rsidRPr="000A088B">
        <w:rPr>
          <w:rFonts w:ascii="Arial" w:hAnsi="Arial" w:cs="Arial"/>
          <w:i/>
          <w:iCs/>
          <w:noProof/>
          <w:szCs w:val="24"/>
        </w:rPr>
        <w:t>Int. Union Pure Appl. Chem.</w:t>
      </w:r>
      <w:r w:rsidRPr="000A088B">
        <w:rPr>
          <w:rFonts w:ascii="Arial" w:hAnsi="Arial" w:cs="Arial"/>
          <w:noProof/>
          <w:szCs w:val="24"/>
        </w:rPr>
        <w:t xml:space="preserve"> </w:t>
      </w:r>
      <w:r w:rsidRPr="000A088B">
        <w:rPr>
          <w:rFonts w:ascii="Arial" w:hAnsi="Arial" w:cs="Arial"/>
          <w:b/>
          <w:bCs/>
          <w:noProof/>
          <w:szCs w:val="24"/>
        </w:rPr>
        <w:t>1995</w:t>
      </w:r>
      <w:r w:rsidRPr="000A088B">
        <w:rPr>
          <w:rFonts w:ascii="Arial" w:hAnsi="Arial" w:cs="Arial"/>
          <w:noProof/>
          <w:szCs w:val="24"/>
        </w:rPr>
        <w:t xml:space="preserve">, </w:t>
      </w:r>
      <w:r w:rsidRPr="000A088B">
        <w:rPr>
          <w:rFonts w:ascii="Arial" w:hAnsi="Arial" w:cs="Arial"/>
          <w:i/>
          <w:iCs/>
          <w:noProof/>
          <w:szCs w:val="24"/>
        </w:rPr>
        <w:t>67</w:t>
      </w:r>
      <w:r w:rsidRPr="000A088B">
        <w:rPr>
          <w:rFonts w:ascii="Arial" w:hAnsi="Arial" w:cs="Arial"/>
          <w:noProof/>
          <w:szCs w:val="24"/>
        </w:rPr>
        <w:t xml:space="preserve"> (10), 1699–1723. https://doi.org/10.1016/S0003-2670(99)00104-X.</w:t>
      </w:r>
    </w:p>
    <w:p w14:paraId="154D9C19"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(11) </w:t>
      </w:r>
      <w:r w:rsidRPr="000A088B">
        <w:rPr>
          <w:rFonts w:ascii="Arial" w:hAnsi="Arial" w:cs="Arial"/>
          <w:noProof/>
          <w:szCs w:val="24"/>
        </w:rPr>
        <w:tab/>
        <w:t xml:space="preserve">Zhou, W.; Yang, S.; Wang, P. G. Matrix Effects and Application of Matrix Effect Factor. </w:t>
      </w:r>
      <w:r w:rsidRPr="000A088B">
        <w:rPr>
          <w:rFonts w:ascii="Arial" w:hAnsi="Arial" w:cs="Arial"/>
          <w:i/>
          <w:iCs/>
          <w:noProof/>
          <w:szCs w:val="24"/>
        </w:rPr>
        <w:t>Bioanalysis</w:t>
      </w:r>
      <w:r w:rsidRPr="000A088B">
        <w:rPr>
          <w:rFonts w:ascii="Arial" w:hAnsi="Arial" w:cs="Arial"/>
          <w:noProof/>
          <w:szCs w:val="24"/>
        </w:rPr>
        <w:t xml:space="preserve"> </w:t>
      </w:r>
      <w:r w:rsidRPr="000A088B">
        <w:rPr>
          <w:rFonts w:ascii="Arial" w:hAnsi="Arial" w:cs="Arial"/>
          <w:b/>
          <w:bCs/>
          <w:noProof/>
          <w:szCs w:val="24"/>
        </w:rPr>
        <w:t>2017</w:t>
      </w:r>
      <w:r w:rsidRPr="000A088B">
        <w:rPr>
          <w:rFonts w:ascii="Arial" w:hAnsi="Arial" w:cs="Arial"/>
          <w:noProof/>
          <w:szCs w:val="24"/>
        </w:rPr>
        <w:t xml:space="preserve">, </w:t>
      </w:r>
      <w:r w:rsidRPr="000A088B">
        <w:rPr>
          <w:rFonts w:ascii="Arial" w:hAnsi="Arial" w:cs="Arial"/>
          <w:i/>
          <w:iCs/>
          <w:noProof/>
          <w:szCs w:val="24"/>
        </w:rPr>
        <w:t>9</w:t>
      </w:r>
      <w:r w:rsidRPr="000A088B">
        <w:rPr>
          <w:rFonts w:ascii="Arial" w:hAnsi="Arial" w:cs="Arial"/>
          <w:noProof/>
          <w:szCs w:val="24"/>
        </w:rPr>
        <w:t xml:space="preserve"> (23), 1839–1844. https://doi.org/10.4155/bio-2017-0214.</w:t>
      </w:r>
    </w:p>
    <w:p w14:paraId="5D6A29A6"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(12) </w:t>
      </w:r>
      <w:r w:rsidRPr="000A088B">
        <w:rPr>
          <w:rFonts w:ascii="Arial" w:hAnsi="Arial" w:cs="Arial"/>
          <w:noProof/>
          <w:szCs w:val="24"/>
        </w:rPr>
        <w:tab/>
        <w:t xml:space="preserve">Nicolò, A. De; Cantù, M.; D’Avolio, A. Matrix Effect Management in Liquid Chromatography Mass Spectrometry: The Internal Standard Normalized Matrix Effect. </w:t>
      </w:r>
      <w:r w:rsidRPr="000A088B">
        <w:rPr>
          <w:rFonts w:ascii="Arial" w:hAnsi="Arial" w:cs="Arial"/>
          <w:i/>
          <w:iCs/>
          <w:noProof/>
          <w:szCs w:val="24"/>
        </w:rPr>
        <w:t>Bioanalysis</w:t>
      </w:r>
      <w:r w:rsidRPr="000A088B">
        <w:rPr>
          <w:rFonts w:ascii="Arial" w:hAnsi="Arial" w:cs="Arial"/>
          <w:noProof/>
          <w:szCs w:val="24"/>
        </w:rPr>
        <w:t xml:space="preserve"> </w:t>
      </w:r>
      <w:r w:rsidRPr="000A088B">
        <w:rPr>
          <w:rFonts w:ascii="Arial" w:hAnsi="Arial" w:cs="Arial"/>
          <w:b/>
          <w:bCs/>
          <w:noProof/>
          <w:szCs w:val="24"/>
        </w:rPr>
        <w:t>2017</w:t>
      </w:r>
      <w:r w:rsidRPr="000A088B">
        <w:rPr>
          <w:rFonts w:ascii="Arial" w:hAnsi="Arial" w:cs="Arial"/>
          <w:noProof/>
          <w:szCs w:val="24"/>
        </w:rPr>
        <w:t xml:space="preserve">, </w:t>
      </w:r>
      <w:r w:rsidRPr="000A088B">
        <w:rPr>
          <w:rFonts w:ascii="Arial" w:hAnsi="Arial" w:cs="Arial"/>
          <w:i/>
          <w:iCs/>
          <w:noProof/>
          <w:szCs w:val="24"/>
        </w:rPr>
        <w:t>9</w:t>
      </w:r>
      <w:r w:rsidRPr="000A088B">
        <w:rPr>
          <w:rFonts w:ascii="Arial" w:hAnsi="Arial" w:cs="Arial"/>
          <w:noProof/>
          <w:szCs w:val="24"/>
        </w:rPr>
        <w:t xml:space="preserve"> (14), 1093–1105. https://doi.org/10.4155/bio-2017-0059.</w:t>
      </w:r>
    </w:p>
    <w:p w14:paraId="4CCCA97C"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szCs w:val="24"/>
        </w:rPr>
      </w:pPr>
      <w:r w:rsidRPr="000A088B">
        <w:rPr>
          <w:rFonts w:ascii="Arial" w:hAnsi="Arial" w:cs="Arial"/>
          <w:noProof/>
          <w:szCs w:val="24"/>
        </w:rPr>
        <w:t xml:space="preserve">(13) </w:t>
      </w:r>
      <w:r w:rsidRPr="000A088B">
        <w:rPr>
          <w:rFonts w:ascii="Arial" w:hAnsi="Arial" w:cs="Arial"/>
          <w:noProof/>
          <w:szCs w:val="24"/>
        </w:rPr>
        <w:tab/>
        <w:t xml:space="preserve">Wang, S.; Cyronak, M.; Yang, E. Does a Stable Isotopically Labeled Internal Standard Always Correct Analyte Response?. A Matrix Effect Study on a LC/MS/MS Method for the Determination of Carvedilol Enantiomers in Human Plasma. </w:t>
      </w:r>
      <w:r w:rsidRPr="000A088B">
        <w:rPr>
          <w:rFonts w:ascii="Arial" w:hAnsi="Arial" w:cs="Arial"/>
          <w:i/>
          <w:iCs/>
          <w:noProof/>
          <w:szCs w:val="24"/>
        </w:rPr>
        <w:t>J. Pharm. Biomed. Anal.</w:t>
      </w:r>
      <w:r w:rsidRPr="000A088B">
        <w:rPr>
          <w:rFonts w:ascii="Arial" w:hAnsi="Arial" w:cs="Arial"/>
          <w:noProof/>
          <w:szCs w:val="24"/>
        </w:rPr>
        <w:t xml:space="preserve"> </w:t>
      </w:r>
      <w:r w:rsidRPr="000A088B">
        <w:rPr>
          <w:rFonts w:ascii="Arial" w:hAnsi="Arial" w:cs="Arial"/>
          <w:b/>
          <w:bCs/>
          <w:noProof/>
          <w:szCs w:val="24"/>
        </w:rPr>
        <w:t>2007</w:t>
      </w:r>
      <w:r w:rsidRPr="000A088B">
        <w:rPr>
          <w:rFonts w:ascii="Arial" w:hAnsi="Arial" w:cs="Arial"/>
          <w:noProof/>
          <w:szCs w:val="24"/>
        </w:rPr>
        <w:t xml:space="preserve">, </w:t>
      </w:r>
      <w:r w:rsidRPr="000A088B">
        <w:rPr>
          <w:rFonts w:ascii="Arial" w:hAnsi="Arial" w:cs="Arial"/>
          <w:i/>
          <w:iCs/>
          <w:noProof/>
          <w:szCs w:val="24"/>
        </w:rPr>
        <w:t>43</w:t>
      </w:r>
      <w:r w:rsidRPr="000A088B">
        <w:rPr>
          <w:rFonts w:ascii="Arial" w:hAnsi="Arial" w:cs="Arial"/>
          <w:noProof/>
          <w:szCs w:val="24"/>
        </w:rPr>
        <w:t xml:space="preserve"> (2), 701–707. https://doi.org/10.1016/j.jpba.2006.08.010.</w:t>
      </w:r>
    </w:p>
    <w:p w14:paraId="628ECE44" w14:textId="77777777" w:rsidR="000A088B" w:rsidRPr="000A088B" w:rsidRDefault="000A088B" w:rsidP="000A088B">
      <w:pPr>
        <w:widowControl w:val="0"/>
        <w:autoSpaceDE w:val="0"/>
        <w:autoSpaceDN w:val="0"/>
        <w:adjustRightInd w:val="0"/>
        <w:spacing w:line="360" w:lineRule="auto"/>
        <w:ind w:left="640" w:hanging="640"/>
        <w:rPr>
          <w:rFonts w:ascii="Arial" w:hAnsi="Arial" w:cs="Arial"/>
          <w:noProof/>
        </w:rPr>
      </w:pPr>
      <w:r w:rsidRPr="000A088B">
        <w:rPr>
          <w:rFonts w:ascii="Arial" w:hAnsi="Arial" w:cs="Arial"/>
          <w:noProof/>
          <w:szCs w:val="24"/>
        </w:rPr>
        <w:t xml:space="preserve">(14) </w:t>
      </w:r>
      <w:r w:rsidRPr="000A088B">
        <w:rPr>
          <w:rFonts w:ascii="Arial" w:hAnsi="Arial" w:cs="Arial"/>
          <w:noProof/>
          <w:szCs w:val="24"/>
        </w:rPr>
        <w:tab/>
        <w:t xml:space="preserve">Eichler, A.; Bru, S.; Olivier, S.; Papina, T.; Schwikowski, M. A 750 Year Ice Core Record of Past Biogenic Emissions from Siberian Boreal Forests. </w:t>
      </w:r>
      <w:r w:rsidRPr="000A088B">
        <w:rPr>
          <w:rFonts w:ascii="Arial" w:hAnsi="Arial" w:cs="Arial"/>
          <w:i/>
          <w:iCs/>
          <w:noProof/>
          <w:szCs w:val="24"/>
        </w:rPr>
        <w:t>Geophys. Res. Lett.</w:t>
      </w:r>
      <w:r w:rsidRPr="000A088B">
        <w:rPr>
          <w:rFonts w:ascii="Arial" w:hAnsi="Arial" w:cs="Arial"/>
          <w:noProof/>
          <w:szCs w:val="24"/>
        </w:rPr>
        <w:t xml:space="preserve"> </w:t>
      </w:r>
      <w:r w:rsidRPr="000A088B">
        <w:rPr>
          <w:rFonts w:ascii="Arial" w:hAnsi="Arial" w:cs="Arial"/>
          <w:b/>
          <w:bCs/>
          <w:noProof/>
          <w:szCs w:val="24"/>
        </w:rPr>
        <w:t>2009</w:t>
      </w:r>
      <w:r w:rsidRPr="000A088B">
        <w:rPr>
          <w:rFonts w:ascii="Arial" w:hAnsi="Arial" w:cs="Arial"/>
          <w:noProof/>
          <w:szCs w:val="24"/>
        </w:rPr>
        <w:t xml:space="preserve">, </w:t>
      </w:r>
      <w:r w:rsidRPr="000A088B">
        <w:rPr>
          <w:rFonts w:ascii="Arial" w:hAnsi="Arial" w:cs="Arial"/>
          <w:i/>
          <w:iCs/>
          <w:noProof/>
          <w:szCs w:val="24"/>
        </w:rPr>
        <w:t>36</w:t>
      </w:r>
      <w:r w:rsidRPr="000A088B">
        <w:rPr>
          <w:rFonts w:ascii="Arial" w:hAnsi="Arial" w:cs="Arial"/>
          <w:noProof/>
          <w:szCs w:val="24"/>
        </w:rPr>
        <w:t>, 1–5. https://doi.org/10.1029/2009GL038807.</w:t>
      </w:r>
    </w:p>
    <w:p w14:paraId="013A9119" w14:textId="2FC79348" w:rsidR="005F5B62" w:rsidRDefault="00942BF9" w:rsidP="000A088B">
      <w:pPr>
        <w:widowControl w:val="0"/>
        <w:autoSpaceDE w:val="0"/>
        <w:autoSpaceDN w:val="0"/>
        <w:adjustRightInd w:val="0"/>
        <w:spacing w:line="360" w:lineRule="auto"/>
        <w:ind w:left="640" w:hanging="640"/>
        <w:rPr>
          <w:rFonts w:ascii="Arial" w:hAnsi="Arial" w:cs="Arial"/>
        </w:rPr>
      </w:pPr>
      <w:r w:rsidRPr="00302374">
        <w:rPr>
          <w:rFonts w:ascii="Arial" w:hAnsi="Arial" w:cs="Arial"/>
        </w:rPr>
        <w:fldChar w:fldCharType="end"/>
      </w:r>
    </w:p>
    <w:p w14:paraId="5AE64A77" w14:textId="08C2C718" w:rsidR="00C93E41" w:rsidRDefault="00C93E41" w:rsidP="00AF1813">
      <w:pPr>
        <w:spacing w:line="360" w:lineRule="auto"/>
        <w:jc w:val="both"/>
        <w:rPr>
          <w:rFonts w:ascii="Arial" w:hAnsi="Arial" w:cs="Arial"/>
        </w:rPr>
      </w:pPr>
    </w:p>
    <w:p w14:paraId="335C9BFE" w14:textId="7C1BD8C0" w:rsidR="00C93E41" w:rsidRDefault="00C93E41" w:rsidP="00AF1813">
      <w:pPr>
        <w:spacing w:line="360" w:lineRule="auto"/>
        <w:jc w:val="both"/>
        <w:rPr>
          <w:rFonts w:ascii="Arial" w:hAnsi="Arial" w:cs="Arial"/>
        </w:rPr>
      </w:pPr>
    </w:p>
    <w:p w14:paraId="53573230" w14:textId="4D022652" w:rsidR="00C93E41" w:rsidRDefault="00C93E41" w:rsidP="00AF1813">
      <w:pPr>
        <w:spacing w:line="360" w:lineRule="auto"/>
        <w:jc w:val="both"/>
        <w:rPr>
          <w:rFonts w:ascii="Arial" w:hAnsi="Arial" w:cs="Arial"/>
        </w:rPr>
      </w:pPr>
    </w:p>
    <w:p w14:paraId="49BF422E" w14:textId="77777777" w:rsidR="00926165" w:rsidRDefault="00926165" w:rsidP="00AF1813">
      <w:pPr>
        <w:spacing w:line="360" w:lineRule="auto"/>
        <w:jc w:val="both"/>
        <w:rPr>
          <w:rFonts w:ascii="Arial" w:hAnsi="Arial" w:cs="Arial"/>
        </w:rPr>
      </w:pPr>
    </w:p>
    <w:p w14:paraId="4A20DDB0" w14:textId="77777777" w:rsidR="00926165" w:rsidRDefault="00926165" w:rsidP="00AF1813">
      <w:pPr>
        <w:spacing w:line="360" w:lineRule="auto"/>
        <w:jc w:val="both"/>
        <w:rPr>
          <w:rFonts w:ascii="Arial" w:hAnsi="Arial" w:cs="Arial"/>
        </w:rPr>
      </w:pPr>
    </w:p>
    <w:p w14:paraId="2B2CD408" w14:textId="53D8D505" w:rsidR="00C93E41" w:rsidRPr="00C93E41" w:rsidRDefault="00C93E41" w:rsidP="00AF1813">
      <w:pPr>
        <w:spacing w:line="360" w:lineRule="auto"/>
        <w:jc w:val="both"/>
        <w:rPr>
          <w:rFonts w:ascii="Arial" w:hAnsi="Arial" w:cs="Arial"/>
          <w:b/>
        </w:rPr>
      </w:pPr>
      <w:r w:rsidRPr="00C93E41">
        <w:rPr>
          <w:rFonts w:ascii="Arial" w:hAnsi="Arial" w:cs="Arial"/>
          <w:b/>
        </w:rPr>
        <w:t>For TOC only</w:t>
      </w:r>
    </w:p>
    <w:p w14:paraId="4070F809" w14:textId="074BE438" w:rsidR="00C93E41" w:rsidRDefault="00C93E41" w:rsidP="00AF1813">
      <w:pPr>
        <w:spacing w:line="360" w:lineRule="auto"/>
        <w:jc w:val="both"/>
        <w:rPr>
          <w:rFonts w:ascii="Arial" w:hAnsi="Arial" w:cs="Arial"/>
        </w:rPr>
      </w:pPr>
    </w:p>
    <w:p w14:paraId="1C2A5297" w14:textId="73CB7F86" w:rsidR="00E85552" w:rsidRPr="00302374" w:rsidRDefault="00E85552" w:rsidP="00AF1813">
      <w:pPr>
        <w:spacing w:line="360" w:lineRule="auto"/>
        <w:jc w:val="both"/>
        <w:rPr>
          <w:rFonts w:ascii="Arial" w:hAnsi="Arial" w:cs="Arial"/>
        </w:rPr>
      </w:pPr>
      <w:r w:rsidRPr="0006484B">
        <w:rPr>
          <w:rFonts w:ascii="Arial" w:hAnsi="Arial" w:cs="Arial"/>
          <w:noProof/>
          <w:lang w:eastAsia="en-GB"/>
        </w:rPr>
        <w:drawing>
          <wp:inline distT="0" distB="0" distL="0" distR="0" wp14:anchorId="60E82D04" wp14:editId="1280C519">
            <wp:extent cx="5400000" cy="3027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of Content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0" cy="3027600"/>
                    </a:xfrm>
                    <a:prstGeom prst="rect">
                      <a:avLst/>
                    </a:prstGeom>
                  </pic:spPr>
                </pic:pic>
              </a:graphicData>
            </a:graphic>
          </wp:inline>
        </w:drawing>
      </w:r>
    </w:p>
    <w:sectPr w:rsidR="00E85552" w:rsidRPr="00302374" w:rsidSect="005A2293">
      <w:pgSz w:w="12240" w:h="15840" w:code="1"/>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B61AA" w14:textId="77777777" w:rsidR="009A075D" w:rsidRDefault="009A075D" w:rsidP="00D83EFD">
      <w:pPr>
        <w:spacing w:after="0" w:line="240" w:lineRule="auto"/>
      </w:pPr>
      <w:r>
        <w:separator/>
      </w:r>
    </w:p>
  </w:endnote>
  <w:endnote w:type="continuationSeparator" w:id="0">
    <w:p w14:paraId="1B636953" w14:textId="77777777" w:rsidR="009A075D" w:rsidRDefault="009A075D" w:rsidP="00D8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8A2E9" w14:textId="77777777" w:rsidR="009A075D" w:rsidRDefault="009A075D" w:rsidP="00D83EFD">
      <w:pPr>
        <w:spacing w:after="0" w:line="240" w:lineRule="auto"/>
      </w:pPr>
      <w:r>
        <w:separator/>
      </w:r>
    </w:p>
  </w:footnote>
  <w:footnote w:type="continuationSeparator" w:id="0">
    <w:p w14:paraId="66786719" w14:textId="77777777" w:rsidR="009A075D" w:rsidRDefault="009A075D" w:rsidP="00D83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6474"/>
    <w:multiLevelType w:val="multilevel"/>
    <w:tmpl w:val="7F5C90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2071C1"/>
    <w:multiLevelType w:val="multilevel"/>
    <w:tmpl w:val="BDE46C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FD"/>
    <w:rsid w:val="000038EF"/>
    <w:rsid w:val="00016003"/>
    <w:rsid w:val="000174F3"/>
    <w:rsid w:val="00023D77"/>
    <w:rsid w:val="00044167"/>
    <w:rsid w:val="000445EF"/>
    <w:rsid w:val="00053124"/>
    <w:rsid w:val="00053232"/>
    <w:rsid w:val="0006484B"/>
    <w:rsid w:val="00066EFD"/>
    <w:rsid w:val="00076784"/>
    <w:rsid w:val="000916B6"/>
    <w:rsid w:val="000959FE"/>
    <w:rsid w:val="00095D01"/>
    <w:rsid w:val="000A088B"/>
    <w:rsid w:val="000A34D9"/>
    <w:rsid w:val="000C2172"/>
    <w:rsid w:val="000C3D46"/>
    <w:rsid w:val="000D332C"/>
    <w:rsid w:val="000E7007"/>
    <w:rsid w:val="000F2154"/>
    <w:rsid w:val="000F30DC"/>
    <w:rsid w:val="0011334B"/>
    <w:rsid w:val="00117965"/>
    <w:rsid w:val="00124E1E"/>
    <w:rsid w:val="0013393D"/>
    <w:rsid w:val="00134A72"/>
    <w:rsid w:val="001454D8"/>
    <w:rsid w:val="0014776C"/>
    <w:rsid w:val="00152308"/>
    <w:rsid w:val="00152877"/>
    <w:rsid w:val="0015338D"/>
    <w:rsid w:val="0016161A"/>
    <w:rsid w:val="001634FB"/>
    <w:rsid w:val="00172699"/>
    <w:rsid w:val="00172A27"/>
    <w:rsid w:val="00175587"/>
    <w:rsid w:val="00187338"/>
    <w:rsid w:val="001A779C"/>
    <w:rsid w:val="001B1F32"/>
    <w:rsid w:val="001B68EE"/>
    <w:rsid w:val="001C5A30"/>
    <w:rsid w:val="001C71ED"/>
    <w:rsid w:val="001D66B9"/>
    <w:rsid w:val="001E11AA"/>
    <w:rsid w:val="001E1CFC"/>
    <w:rsid w:val="001E53D3"/>
    <w:rsid w:val="001F4F97"/>
    <w:rsid w:val="00207F11"/>
    <w:rsid w:val="00220B17"/>
    <w:rsid w:val="00222431"/>
    <w:rsid w:val="00231EF9"/>
    <w:rsid w:val="0023224A"/>
    <w:rsid w:val="00232931"/>
    <w:rsid w:val="00246AC4"/>
    <w:rsid w:val="002509EC"/>
    <w:rsid w:val="0025715B"/>
    <w:rsid w:val="0026097A"/>
    <w:rsid w:val="00260A28"/>
    <w:rsid w:val="0026158C"/>
    <w:rsid w:val="00263F0C"/>
    <w:rsid w:val="002641D8"/>
    <w:rsid w:val="00266441"/>
    <w:rsid w:val="00270DFA"/>
    <w:rsid w:val="0027781A"/>
    <w:rsid w:val="00293337"/>
    <w:rsid w:val="00293A36"/>
    <w:rsid w:val="002A2BDA"/>
    <w:rsid w:val="002A67DD"/>
    <w:rsid w:val="002B34DF"/>
    <w:rsid w:val="002C6AF3"/>
    <w:rsid w:val="002D34D6"/>
    <w:rsid w:val="002D51AF"/>
    <w:rsid w:val="002E0A12"/>
    <w:rsid w:val="002E17FB"/>
    <w:rsid w:val="002E6B5B"/>
    <w:rsid w:val="002F6C9D"/>
    <w:rsid w:val="00302374"/>
    <w:rsid w:val="00304AA3"/>
    <w:rsid w:val="00304D92"/>
    <w:rsid w:val="00322EB4"/>
    <w:rsid w:val="00346830"/>
    <w:rsid w:val="00356536"/>
    <w:rsid w:val="00356CD5"/>
    <w:rsid w:val="00360B7C"/>
    <w:rsid w:val="003804E0"/>
    <w:rsid w:val="00386475"/>
    <w:rsid w:val="00396854"/>
    <w:rsid w:val="003A3A4D"/>
    <w:rsid w:val="003A5F09"/>
    <w:rsid w:val="003B6D06"/>
    <w:rsid w:val="003C46AA"/>
    <w:rsid w:val="003C4986"/>
    <w:rsid w:val="003E770D"/>
    <w:rsid w:val="003F0224"/>
    <w:rsid w:val="003F3499"/>
    <w:rsid w:val="0040188A"/>
    <w:rsid w:val="00414776"/>
    <w:rsid w:val="004156B6"/>
    <w:rsid w:val="00420E04"/>
    <w:rsid w:val="00424E02"/>
    <w:rsid w:val="004262C8"/>
    <w:rsid w:val="00436C39"/>
    <w:rsid w:val="00442DBD"/>
    <w:rsid w:val="00450684"/>
    <w:rsid w:val="00451E42"/>
    <w:rsid w:val="004701BF"/>
    <w:rsid w:val="00473E0C"/>
    <w:rsid w:val="00476A9C"/>
    <w:rsid w:val="0048169E"/>
    <w:rsid w:val="004833F1"/>
    <w:rsid w:val="00486849"/>
    <w:rsid w:val="00494DD4"/>
    <w:rsid w:val="00496A7A"/>
    <w:rsid w:val="004A150B"/>
    <w:rsid w:val="004B05A2"/>
    <w:rsid w:val="004B1AC1"/>
    <w:rsid w:val="004C1801"/>
    <w:rsid w:val="004C4CCF"/>
    <w:rsid w:val="004C77B1"/>
    <w:rsid w:val="004D19EC"/>
    <w:rsid w:val="004D6575"/>
    <w:rsid w:val="004E2F62"/>
    <w:rsid w:val="005004C7"/>
    <w:rsid w:val="00504A12"/>
    <w:rsid w:val="00515988"/>
    <w:rsid w:val="00526448"/>
    <w:rsid w:val="00536CA5"/>
    <w:rsid w:val="005542B8"/>
    <w:rsid w:val="00554DB2"/>
    <w:rsid w:val="00557757"/>
    <w:rsid w:val="0056190C"/>
    <w:rsid w:val="00576EE6"/>
    <w:rsid w:val="005856D3"/>
    <w:rsid w:val="00590DC3"/>
    <w:rsid w:val="0059583B"/>
    <w:rsid w:val="005A2293"/>
    <w:rsid w:val="005A7FFD"/>
    <w:rsid w:val="005B4A91"/>
    <w:rsid w:val="005D184D"/>
    <w:rsid w:val="005F5B62"/>
    <w:rsid w:val="00602D19"/>
    <w:rsid w:val="00617C9D"/>
    <w:rsid w:val="00624876"/>
    <w:rsid w:val="006261A9"/>
    <w:rsid w:val="00637522"/>
    <w:rsid w:val="00644D29"/>
    <w:rsid w:val="00650C7C"/>
    <w:rsid w:val="006574C3"/>
    <w:rsid w:val="0067098E"/>
    <w:rsid w:val="00683BCF"/>
    <w:rsid w:val="00683BDA"/>
    <w:rsid w:val="006A3855"/>
    <w:rsid w:val="006A3B57"/>
    <w:rsid w:val="006B3427"/>
    <w:rsid w:val="006B622E"/>
    <w:rsid w:val="006B6DFF"/>
    <w:rsid w:val="006C4249"/>
    <w:rsid w:val="006D0A79"/>
    <w:rsid w:val="006D4656"/>
    <w:rsid w:val="006D500C"/>
    <w:rsid w:val="006D74B1"/>
    <w:rsid w:val="006E259D"/>
    <w:rsid w:val="006E43C7"/>
    <w:rsid w:val="006E55CC"/>
    <w:rsid w:val="006F31C1"/>
    <w:rsid w:val="007027E0"/>
    <w:rsid w:val="00717519"/>
    <w:rsid w:val="00723449"/>
    <w:rsid w:val="00726CC5"/>
    <w:rsid w:val="00734DEF"/>
    <w:rsid w:val="00745D92"/>
    <w:rsid w:val="00746657"/>
    <w:rsid w:val="007474E2"/>
    <w:rsid w:val="007562E0"/>
    <w:rsid w:val="007640EA"/>
    <w:rsid w:val="00771A92"/>
    <w:rsid w:val="007915D3"/>
    <w:rsid w:val="007958B9"/>
    <w:rsid w:val="007A1274"/>
    <w:rsid w:val="007A5C53"/>
    <w:rsid w:val="007A5C76"/>
    <w:rsid w:val="007B0632"/>
    <w:rsid w:val="007C708F"/>
    <w:rsid w:val="007D0D83"/>
    <w:rsid w:val="007D5A4F"/>
    <w:rsid w:val="007E0AD0"/>
    <w:rsid w:val="007F63E3"/>
    <w:rsid w:val="007F6C46"/>
    <w:rsid w:val="008028EA"/>
    <w:rsid w:val="0080735F"/>
    <w:rsid w:val="008155AC"/>
    <w:rsid w:val="00821688"/>
    <w:rsid w:val="00826587"/>
    <w:rsid w:val="00832071"/>
    <w:rsid w:val="00844ED7"/>
    <w:rsid w:val="008517D7"/>
    <w:rsid w:val="00853581"/>
    <w:rsid w:val="00854E65"/>
    <w:rsid w:val="00855223"/>
    <w:rsid w:val="00880368"/>
    <w:rsid w:val="008875D2"/>
    <w:rsid w:val="00887C79"/>
    <w:rsid w:val="00895B9D"/>
    <w:rsid w:val="00897991"/>
    <w:rsid w:val="008A0B19"/>
    <w:rsid w:val="008A2FC9"/>
    <w:rsid w:val="008A68BF"/>
    <w:rsid w:val="008B07F6"/>
    <w:rsid w:val="008C4241"/>
    <w:rsid w:val="008C4ABA"/>
    <w:rsid w:val="008D4E8D"/>
    <w:rsid w:val="008E3F55"/>
    <w:rsid w:val="008E70BC"/>
    <w:rsid w:val="008F205E"/>
    <w:rsid w:val="008F766C"/>
    <w:rsid w:val="0090659D"/>
    <w:rsid w:val="00926165"/>
    <w:rsid w:val="00927B92"/>
    <w:rsid w:val="00932492"/>
    <w:rsid w:val="00942BF9"/>
    <w:rsid w:val="00946E61"/>
    <w:rsid w:val="009471C0"/>
    <w:rsid w:val="00947E4A"/>
    <w:rsid w:val="00962EDB"/>
    <w:rsid w:val="0096335E"/>
    <w:rsid w:val="009645A7"/>
    <w:rsid w:val="00966DA5"/>
    <w:rsid w:val="00971FE9"/>
    <w:rsid w:val="00973EEA"/>
    <w:rsid w:val="00973FE1"/>
    <w:rsid w:val="00975082"/>
    <w:rsid w:val="00997D2C"/>
    <w:rsid w:val="009A075D"/>
    <w:rsid w:val="009C4FCA"/>
    <w:rsid w:val="009C693A"/>
    <w:rsid w:val="009C6FFE"/>
    <w:rsid w:val="009D0D33"/>
    <w:rsid w:val="009D1F05"/>
    <w:rsid w:val="009E3A64"/>
    <w:rsid w:val="009E3E83"/>
    <w:rsid w:val="009E6634"/>
    <w:rsid w:val="009F02BE"/>
    <w:rsid w:val="009F38AA"/>
    <w:rsid w:val="009F4BA1"/>
    <w:rsid w:val="009F7669"/>
    <w:rsid w:val="009F7E5F"/>
    <w:rsid w:val="00A02BE7"/>
    <w:rsid w:val="00A05F14"/>
    <w:rsid w:val="00A15052"/>
    <w:rsid w:val="00A17679"/>
    <w:rsid w:val="00A3014F"/>
    <w:rsid w:val="00A30737"/>
    <w:rsid w:val="00A40C3F"/>
    <w:rsid w:val="00A45690"/>
    <w:rsid w:val="00A47512"/>
    <w:rsid w:val="00A63E93"/>
    <w:rsid w:val="00A72B03"/>
    <w:rsid w:val="00A75A62"/>
    <w:rsid w:val="00A93776"/>
    <w:rsid w:val="00AA1080"/>
    <w:rsid w:val="00AB0384"/>
    <w:rsid w:val="00AB1FA8"/>
    <w:rsid w:val="00AB4CD0"/>
    <w:rsid w:val="00AB7732"/>
    <w:rsid w:val="00AB7996"/>
    <w:rsid w:val="00AC2AF7"/>
    <w:rsid w:val="00AD12AD"/>
    <w:rsid w:val="00AE3AB4"/>
    <w:rsid w:val="00AF1813"/>
    <w:rsid w:val="00AF58EB"/>
    <w:rsid w:val="00AF6390"/>
    <w:rsid w:val="00B15992"/>
    <w:rsid w:val="00B23A40"/>
    <w:rsid w:val="00B27539"/>
    <w:rsid w:val="00B318FE"/>
    <w:rsid w:val="00B364D8"/>
    <w:rsid w:val="00B46B30"/>
    <w:rsid w:val="00B46D66"/>
    <w:rsid w:val="00B53CF8"/>
    <w:rsid w:val="00B663F3"/>
    <w:rsid w:val="00B66501"/>
    <w:rsid w:val="00B83060"/>
    <w:rsid w:val="00B90F84"/>
    <w:rsid w:val="00B95320"/>
    <w:rsid w:val="00B95CEB"/>
    <w:rsid w:val="00BA5438"/>
    <w:rsid w:val="00BB05E5"/>
    <w:rsid w:val="00BC0205"/>
    <w:rsid w:val="00BE243D"/>
    <w:rsid w:val="00BE2B64"/>
    <w:rsid w:val="00BE2D24"/>
    <w:rsid w:val="00BE5B15"/>
    <w:rsid w:val="00BF0D04"/>
    <w:rsid w:val="00BF14B0"/>
    <w:rsid w:val="00BF17D2"/>
    <w:rsid w:val="00C03C34"/>
    <w:rsid w:val="00C117AD"/>
    <w:rsid w:val="00C168E3"/>
    <w:rsid w:val="00C3032C"/>
    <w:rsid w:val="00C31A34"/>
    <w:rsid w:val="00C40F3F"/>
    <w:rsid w:val="00C46F36"/>
    <w:rsid w:val="00C47789"/>
    <w:rsid w:val="00C528A9"/>
    <w:rsid w:val="00C569C2"/>
    <w:rsid w:val="00C63CBB"/>
    <w:rsid w:val="00C64885"/>
    <w:rsid w:val="00C76A00"/>
    <w:rsid w:val="00C86C0F"/>
    <w:rsid w:val="00C93447"/>
    <w:rsid w:val="00C93E41"/>
    <w:rsid w:val="00C96518"/>
    <w:rsid w:val="00CA2E01"/>
    <w:rsid w:val="00CA784B"/>
    <w:rsid w:val="00CB210A"/>
    <w:rsid w:val="00CD75E8"/>
    <w:rsid w:val="00CD762B"/>
    <w:rsid w:val="00CF441A"/>
    <w:rsid w:val="00CF4BF1"/>
    <w:rsid w:val="00CF771A"/>
    <w:rsid w:val="00D01F14"/>
    <w:rsid w:val="00D11001"/>
    <w:rsid w:val="00D154EE"/>
    <w:rsid w:val="00D21B3D"/>
    <w:rsid w:val="00D2367C"/>
    <w:rsid w:val="00D23BFE"/>
    <w:rsid w:val="00D24816"/>
    <w:rsid w:val="00D507A0"/>
    <w:rsid w:val="00D571C2"/>
    <w:rsid w:val="00D57E17"/>
    <w:rsid w:val="00D624F6"/>
    <w:rsid w:val="00D635C2"/>
    <w:rsid w:val="00D74D02"/>
    <w:rsid w:val="00D83EFD"/>
    <w:rsid w:val="00D87332"/>
    <w:rsid w:val="00D93BBE"/>
    <w:rsid w:val="00D93FA7"/>
    <w:rsid w:val="00D96F8D"/>
    <w:rsid w:val="00DA0557"/>
    <w:rsid w:val="00DA7AB2"/>
    <w:rsid w:val="00DA7EE4"/>
    <w:rsid w:val="00DB550C"/>
    <w:rsid w:val="00DB5C29"/>
    <w:rsid w:val="00DC731B"/>
    <w:rsid w:val="00DD17AE"/>
    <w:rsid w:val="00DD3BB4"/>
    <w:rsid w:val="00DE3A31"/>
    <w:rsid w:val="00DE6AD2"/>
    <w:rsid w:val="00DE6E45"/>
    <w:rsid w:val="00DF1262"/>
    <w:rsid w:val="00E0743B"/>
    <w:rsid w:val="00E15F71"/>
    <w:rsid w:val="00E1618D"/>
    <w:rsid w:val="00E23577"/>
    <w:rsid w:val="00E35280"/>
    <w:rsid w:val="00E65944"/>
    <w:rsid w:val="00E73450"/>
    <w:rsid w:val="00E75AB1"/>
    <w:rsid w:val="00E826C1"/>
    <w:rsid w:val="00E85552"/>
    <w:rsid w:val="00E855B0"/>
    <w:rsid w:val="00E863AF"/>
    <w:rsid w:val="00E973CD"/>
    <w:rsid w:val="00E97F25"/>
    <w:rsid w:val="00EB32FA"/>
    <w:rsid w:val="00EB7626"/>
    <w:rsid w:val="00EC4977"/>
    <w:rsid w:val="00EC6B49"/>
    <w:rsid w:val="00ED06E1"/>
    <w:rsid w:val="00ED7E90"/>
    <w:rsid w:val="00EE2BA6"/>
    <w:rsid w:val="00EE6242"/>
    <w:rsid w:val="00F00779"/>
    <w:rsid w:val="00F05BE4"/>
    <w:rsid w:val="00F062CD"/>
    <w:rsid w:val="00F21257"/>
    <w:rsid w:val="00F32353"/>
    <w:rsid w:val="00F41B30"/>
    <w:rsid w:val="00F46B63"/>
    <w:rsid w:val="00F578E6"/>
    <w:rsid w:val="00F61326"/>
    <w:rsid w:val="00F64AD7"/>
    <w:rsid w:val="00F770CD"/>
    <w:rsid w:val="00F806A6"/>
    <w:rsid w:val="00FA347F"/>
    <w:rsid w:val="00FB7BB4"/>
    <w:rsid w:val="00FC68CC"/>
    <w:rsid w:val="00FC6FEC"/>
    <w:rsid w:val="00FD73EB"/>
    <w:rsid w:val="00FE17E2"/>
    <w:rsid w:val="00FE42E9"/>
    <w:rsid w:val="00FE58DB"/>
    <w:rsid w:val="00FF3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CFD33"/>
  <w15:docId w15:val="{0E5C74AC-281B-F14B-BB32-D1E216A4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3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3EFD"/>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83EFD"/>
    <w:rPr>
      <w:rFonts w:ascii="Times New Roman" w:hAnsi="Times New Roman"/>
      <w:sz w:val="20"/>
      <w:szCs w:val="20"/>
    </w:rPr>
  </w:style>
  <w:style w:type="character" w:styleId="FootnoteReference">
    <w:name w:val="footnote reference"/>
    <w:basedOn w:val="DefaultParagraphFont"/>
    <w:uiPriority w:val="99"/>
    <w:semiHidden/>
    <w:unhideWhenUsed/>
    <w:rsid w:val="00D83EFD"/>
    <w:rPr>
      <w:vertAlign w:val="superscript"/>
    </w:rPr>
  </w:style>
  <w:style w:type="character" w:customStyle="1" w:styleId="Heading1Char">
    <w:name w:val="Heading 1 Char"/>
    <w:basedOn w:val="DefaultParagraphFont"/>
    <w:link w:val="Heading1"/>
    <w:uiPriority w:val="9"/>
    <w:rsid w:val="00D83EFD"/>
    <w:rPr>
      <w:rFonts w:asciiTheme="majorHAnsi" w:eastAsiaTheme="majorEastAsia" w:hAnsiTheme="majorHAnsi" w:cstheme="majorBidi"/>
      <w:b/>
      <w:bCs/>
      <w:color w:val="365F91" w:themeColor="accent1" w:themeShade="BF"/>
      <w:sz w:val="28"/>
      <w:szCs w:val="28"/>
    </w:rPr>
  </w:style>
  <w:style w:type="character" w:styleId="LineNumber">
    <w:name w:val="line number"/>
    <w:basedOn w:val="DefaultParagraphFont"/>
    <w:uiPriority w:val="99"/>
    <w:semiHidden/>
    <w:unhideWhenUsed/>
    <w:rsid w:val="00D83EFD"/>
  </w:style>
  <w:style w:type="table" w:styleId="TableGrid">
    <w:name w:val="Table Grid"/>
    <w:basedOn w:val="TableNormal"/>
    <w:uiPriority w:val="59"/>
    <w:rsid w:val="00250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69E"/>
    <w:pPr>
      <w:ind w:left="720"/>
      <w:contextualSpacing/>
    </w:pPr>
  </w:style>
  <w:style w:type="character" w:styleId="CommentReference">
    <w:name w:val="annotation reference"/>
    <w:basedOn w:val="DefaultParagraphFont"/>
    <w:uiPriority w:val="99"/>
    <w:semiHidden/>
    <w:unhideWhenUsed/>
    <w:rsid w:val="003C4986"/>
    <w:rPr>
      <w:sz w:val="16"/>
      <w:szCs w:val="16"/>
    </w:rPr>
  </w:style>
  <w:style w:type="paragraph" w:styleId="CommentText">
    <w:name w:val="annotation text"/>
    <w:basedOn w:val="Normal"/>
    <w:link w:val="CommentTextChar"/>
    <w:uiPriority w:val="99"/>
    <w:semiHidden/>
    <w:unhideWhenUsed/>
    <w:rsid w:val="003C4986"/>
    <w:pPr>
      <w:spacing w:line="240" w:lineRule="auto"/>
    </w:pPr>
    <w:rPr>
      <w:sz w:val="20"/>
      <w:szCs w:val="20"/>
    </w:rPr>
  </w:style>
  <w:style w:type="character" w:customStyle="1" w:styleId="CommentTextChar">
    <w:name w:val="Comment Text Char"/>
    <w:basedOn w:val="DefaultParagraphFont"/>
    <w:link w:val="CommentText"/>
    <w:uiPriority w:val="99"/>
    <w:semiHidden/>
    <w:rsid w:val="003C4986"/>
    <w:rPr>
      <w:sz w:val="20"/>
      <w:szCs w:val="20"/>
    </w:rPr>
  </w:style>
  <w:style w:type="paragraph" w:styleId="CommentSubject">
    <w:name w:val="annotation subject"/>
    <w:basedOn w:val="CommentText"/>
    <w:next w:val="CommentText"/>
    <w:link w:val="CommentSubjectChar"/>
    <w:uiPriority w:val="99"/>
    <w:semiHidden/>
    <w:unhideWhenUsed/>
    <w:rsid w:val="003C4986"/>
    <w:rPr>
      <w:b/>
      <w:bCs/>
    </w:rPr>
  </w:style>
  <w:style w:type="character" w:customStyle="1" w:styleId="CommentSubjectChar">
    <w:name w:val="Comment Subject Char"/>
    <w:basedOn w:val="CommentTextChar"/>
    <w:link w:val="CommentSubject"/>
    <w:uiPriority w:val="99"/>
    <w:semiHidden/>
    <w:rsid w:val="003C4986"/>
    <w:rPr>
      <w:b/>
      <w:bCs/>
      <w:sz w:val="20"/>
      <w:szCs w:val="20"/>
    </w:rPr>
  </w:style>
  <w:style w:type="paragraph" w:styleId="BalloonText">
    <w:name w:val="Balloon Text"/>
    <w:basedOn w:val="Normal"/>
    <w:link w:val="BalloonTextChar"/>
    <w:uiPriority w:val="99"/>
    <w:semiHidden/>
    <w:unhideWhenUsed/>
    <w:rsid w:val="003C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86"/>
    <w:rPr>
      <w:rFonts w:ascii="Tahoma" w:hAnsi="Tahoma" w:cs="Tahoma"/>
      <w:sz w:val="16"/>
      <w:szCs w:val="16"/>
    </w:rPr>
  </w:style>
  <w:style w:type="table" w:customStyle="1" w:styleId="PlainTable41">
    <w:name w:val="Plain Table 41"/>
    <w:basedOn w:val="TableNormal"/>
    <w:uiPriority w:val="44"/>
    <w:rsid w:val="006B6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E5B15"/>
    <w:rPr>
      <w:color w:val="0000FF" w:themeColor="hyperlink"/>
      <w:u w:val="single"/>
    </w:rPr>
  </w:style>
  <w:style w:type="character" w:customStyle="1" w:styleId="Menzionenonrisolta1">
    <w:name w:val="Menzione non risolta1"/>
    <w:basedOn w:val="DefaultParagraphFont"/>
    <w:uiPriority w:val="99"/>
    <w:semiHidden/>
    <w:unhideWhenUsed/>
    <w:rsid w:val="00BE5B15"/>
    <w:rPr>
      <w:color w:val="605E5C"/>
      <w:shd w:val="clear" w:color="auto" w:fill="E1DFDD"/>
    </w:rPr>
  </w:style>
  <w:style w:type="paragraph" w:styleId="Revision">
    <w:name w:val="Revision"/>
    <w:hidden/>
    <w:uiPriority w:val="99"/>
    <w:semiHidden/>
    <w:rsid w:val="00962E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fk2@c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D07A-4CD3-4107-96BA-34EC31B0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14027</Words>
  <Characters>79959</Characters>
  <Application>Microsoft Office Word</Application>
  <DocSecurity>4</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Department of Chemistry</Company>
  <LinksUpToDate>false</LinksUpToDate>
  <CharactersWithSpaces>93799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King</dc:creator>
  <cp:lastModifiedBy>Ager, Beverley J.</cp:lastModifiedBy>
  <cp:revision>2</cp:revision>
  <dcterms:created xsi:type="dcterms:W3CDTF">2019-04-11T10:46:00Z</dcterms:created>
  <dcterms:modified xsi:type="dcterms:W3CDTF">2019-04-11T10:46:00Z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Harvard - Cite Them Right 9th edition</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http://www.zotero.org/styles/talanta</vt:lpwstr>
  </property>
  <property fmtid="{D5CDD505-2E9C-101B-9397-08002B2CF9AE}" pid="21" name="Mendeley Recent Style Name 9_1">
    <vt:lpwstr>Talanta</vt:lpwstr>
  </property>
  <property fmtid="{D5CDD505-2E9C-101B-9397-08002B2CF9AE}" pid="22" name="Mendeley Document_1">
    <vt:lpwstr>True</vt:lpwstr>
  </property>
  <property fmtid="{D5CDD505-2E9C-101B-9397-08002B2CF9AE}" pid="23" name="Mendeley Unique User Id_1">
    <vt:lpwstr>5ab72626-1d0f-31d9-968c-e6ed57396baa</vt:lpwstr>
  </property>
  <property fmtid="{D5CDD505-2E9C-101B-9397-08002B2CF9AE}" pid="24" name="Mendeley Citation Style_1">
    <vt:lpwstr>http://www.zotero.org/styles/analytical-chemistry</vt:lpwstr>
  </property>
</Properties>
</file>