
<file path=[Content_Types].xml><?xml version="1.0" encoding="utf-8"?>
<Types xmlns="http://schemas.openxmlformats.org/package/2006/content-types">
  <Default Extension="png" ContentType="image/png"/>
  <Default Extension="wmf" ContentType="image/x-w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8ECA6BE" w14:textId="77777777" w:rsidR="00830425" w:rsidRPr="002061F5" w:rsidRDefault="00830425" w:rsidP="00CC30B1">
      <w:pPr>
        <w:spacing w:line="360" w:lineRule="auto"/>
        <w:jc w:val="center"/>
        <w:rPr>
          <w:rFonts w:ascii="Times New Roman" w:hAnsi="Times New Roman"/>
          <w:sz w:val="32"/>
          <w:szCs w:val="32"/>
          <w:lang w:val="en-GB"/>
        </w:rPr>
      </w:pPr>
      <w:r>
        <w:rPr>
          <w:rFonts w:ascii="Times New Roman" w:hAnsi="Times New Roman"/>
          <w:sz w:val="32"/>
          <w:szCs w:val="32"/>
          <w:lang w:val="en-GB"/>
        </w:rPr>
        <w:t>Evaluation of new CryoSat-2 products over the ocean</w:t>
      </w:r>
    </w:p>
    <w:p w14:paraId="59C5A6C8" w14:textId="5CEF8B72" w:rsidR="00830425" w:rsidRPr="00BD2140" w:rsidRDefault="00830425" w:rsidP="00FF1ECC">
      <w:pPr>
        <w:spacing w:line="360" w:lineRule="auto"/>
        <w:jc w:val="center"/>
        <w:rPr>
          <w:rFonts w:ascii="Times New Roman" w:hAnsi="Times New Roman"/>
          <w:sz w:val="24"/>
          <w:szCs w:val="24"/>
          <w:vertAlign w:val="superscript"/>
          <w:lang w:val="en-GB"/>
        </w:rPr>
      </w:pPr>
      <w:r w:rsidRPr="00BD2140">
        <w:rPr>
          <w:rFonts w:ascii="Times New Roman" w:hAnsi="Times New Roman"/>
          <w:sz w:val="24"/>
          <w:szCs w:val="24"/>
          <w:lang w:val="en-GB"/>
        </w:rPr>
        <w:t>F. M. Calafat</w:t>
      </w:r>
      <w:r w:rsidR="00943C87">
        <w:rPr>
          <w:rFonts w:ascii="Times New Roman" w:hAnsi="Times New Roman"/>
          <w:sz w:val="24"/>
          <w:szCs w:val="24"/>
          <w:vertAlign w:val="superscript"/>
          <w:lang w:val="en-GB"/>
        </w:rPr>
        <w:t>a</w:t>
      </w:r>
      <w:r w:rsidR="00773368">
        <w:rPr>
          <w:rFonts w:ascii="Times New Roman" w:hAnsi="Times New Roman"/>
          <w:sz w:val="24"/>
          <w:szCs w:val="24"/>
          <w:vertAlign w:val="superscript"/>
          <w:lang w:val="en-GB"/>
        </w:rPr>
        <w:t>,*,</w:t>
      </w:r>
      <w:r w:rsidR="00773368">
        <w:rPr>
          <w:rStyle w:val="FootnoteReference"/>
          <w:rFonts w:ascii="Times New Roman" w:hAnsi="Times New Roman"/>
          <w:sz w:val="24"/>
          <w:szCs w:val="24"/>
          <w:lang w:val="en-GB"/>
        </w:rPr>
        <w:footnoteReference w:id="1"/>
      </w:r>
      <w:r w:rsidRPr="00BD2140">
        <w:rPr>
          <w:rFonts w:ascii="Times New Roman" w:hAnsi="Times New Roman"/>
          <w:sz w:val="24"/>
          <w:szCs w:val="24"/>
          <w:lang w:val="en-GB"/>
        </w:rPr>
        <w:t>, P. Cipollini</w:t>
      </w:r>
      <w:r w:rsidR="00943C87">
        <w:rPr>
          <w:rFonts w:ascii="Times New Roman" w:hAnsi="Times New Roman"/>
          <w:sz w:val="24"/>
          <w:szCs w:val="24"/>
          <w:vertAlign w:val="superscript"/>
          <w:lang w:val="en-GB"/>
        </w:rPr>
        <w:t>a</w:t>
      </w:r>
      <w:r w:rsidRPr="00BD2140">
        <w:rPr>
          <w:rFonts w:ascii="Times New Roman" w:hAnsi="Times New Roman"/>
          <w:sz w:val="24"/>
          <w:szCs w:val="24"/>
          <w:lang w:val="en-GB"/>
        </w:rPr>
        <w:t>, J. Bouffard</w:t>
      </w:r>
      <w:r w:rsidR="00943C87">
        <w:rPr>
          <w:rFonts w:ascii="Times New Roman" w:hAnsi="Times New Roman"/>
          <w:sz w:val="24"/>
          <w:szCs w:val="24"/>
          <w:vertAlign w:val="superscript"/>
          <w:lang w:val="en-GB"/>
        </w:rPr>
        <w:t>b</w:t>
      </w:r>
      <w:r w:rsidRPr="00BD2140">
        <w:rPr>
          <w:rFonts w:ascii="Times New Roman" w:hAnsi="Times New Roman"/>
          <w:sz w:val="24"/>
          <w:szCs w:val="24"/>
          <w:vertAlign w:val="superscript"/>
          <w:lang w:val="en-GB"/>
        </w:rPr>
        <w:t>,</w:t>
      </w:r>
      <w:r w:rsidR="00943C87">
        <w:rPr>
          <w:rFonts w:ascii="Times New Roman" w:hAnsi="Times New Roman"/>
          <w:sz w:val="24"/>
          <w:szCs w:val="24"/>
          <w:vertAlign w:val="superscript"/>
          <w:lang w:val="en-GB"/>
        </w:rPr>
        <w:t>c</w:t>
      </w:r>
      <w:r w:rsidRPr="00BD2140">
        <w:rPr>
          <w:rFonts w:ascii="Times New Roman" w:hAnsi="Times New Roman"/>
          <w:sz w:val="24"/>
          <w:szCs w:val="24"/>
          <w:lang w:val="en-GB"/>
        </w:rPr>
        <w:t>, H. Snaith</w:t>
      </w:r>
      <w:r w:rsidR="00943C87">
        <w:rPr>
          <w:rFonts w:ascii="Times New Roman" w:hAnsi="Times New Roman"/>
          <w:sz w:val="24"/>
          <w:szCs w:val="24"/>
          <w:vertAlign w:val="superscript"/>
          <w:lang w:val="en-GB"/>
        </w:rPr>
        <w:t>a</w:t>
      </w:r>
      <w:r w:rsidRPr="00BD2140">
        <w:rPr>
          <w:rFonts w:ascii="Times New Roman" w:hAnsi="Times New Roman"/>
          <w:sz w:val="24"/>
          <w:szCs w:val="24"/>
          <w:vertAlign w:val="superscript"/>
          <w:lang w:val="en-GB"/>
        </w:rPr>
        <w:t>,</w:t>
      </w:r>
      <w:r w:rsidR="00943C87">
        <w:rPr>
          <w:rFonts w:ascii="Times New Roman" w:hAnsi="Times New Roman"/>
          <w:sz w:val="24"/>
          <w:szCs w:val="24"/>
          <w:vertAlign w:val="superscript"/>
          <w:lang w:val="en-GB"/>
        </w:rPr>
        <w:t>d</w:t>
      </w:r>
      <w:r w:rsidRPr="00BD2140">
        <w:rPr>
          <w:rFonts w:ascii="Times New Roman" w:hAnsi="Times New Roman"/>
          <w:sz w:val="24"/>
          <w:szCs w:val="24"/>
          <w:lang w:val="en-GB"/>
        </w:rPr>
        <w:t>, P. Féménias</w:t>
      </w:r>
      <w:r w:rsidR="00943C87">
        <w:rPr>
          <w:rFonts w:ascii="Times New Roman" w:hAnsi="Times New Roman"/>
          <w:sz w:val="24"/>
          <w:szCs w:val="24"/>
          <w:vertAlign w:val="superscript"/>
          <w:lang w:val="en-GB"/>
        </w:rPr>
        <w:t>b</w:t>
      </w:r>
    </w:p>
    <w:p w14:paraId="0E9C25BE" w14:textId="72BF4990" w:rsidR="00830425" w:rsidRDefault="00943C87" w:rsidP="004C2252">
      <w:pPr>
        <w:spacing w:line="360" w:lineRule="auto"/>
        <w:jc w:val="center"/>
        <w:rPr>
          <w:rFonts w:ascii="Times New Roman" w:hAnsi="Times New Roman"/>
          <w:sz w:val="24"/>
          <w:szCs w:val="24"/>
          <w:lang w:val="en-GB"/>
        </w:rPr>
      </w:pPr>
      <w:r>
        <w:rPr>
          <w:rFonts w:ascii="Times New Roman" w:hAnsi="Times New Roman"/>
          <w:sz w:val="24"/>
          <w:szCs w:val="24"/>
          <w:vertAlign w:val="superscript"/>
          <w:lang w:val="en-GB"/>
        </w:rPr>
        <w:t>a</w:t>
      </w:r>
      <w:r w:rsidR="00830425" w:rsidRPr="00D73FEF">
        <w:rPr>
          <w:rFonts w:ascii="Times New Roman" w:hAnsi="Times New Roman"/>
          <w:sz w:val="24"/>
          <w:szCs w:val="24"/>
          <w:lang w:val="en-GB"/>
        </w:rPr>
        <w:t xml:space="preserve"> National Oceanography Centre</w:t>
      </w:r>
      <w:r w:rsidR="00773368">
        <w:rPr>
          <w:rFonts w:ascii="Times New Roman" w:hAnsi="Times New Roman"/>
          <w:sz w:val="24"/>
          <w:szCs w:val="24"/>
          <w:lang w:val="en-GB"/>
        </w:rPr>
        <w:t>,</w:t>
      </w:r>
      <w:r w:rsidR="00830425" w:rsidRPr="00D73FEF">
        <w:rPr>
          <w:rFonts w:ascii="Times New Roman" w:hAnsi="Times New Roman"/>
          <w:sz w:val="24"/>
          <w:szCs w:val="24"/>
          <w:lang w:val="en-GB"/>
        </w:rPr>
        <w:t xml:space="preserve"> Southampto</w:t>
      </w:r>
      <w:r w:rsidR="00A61528">
        <w:rPr>
          <w:rFonts w:ascii="Times New Roman" w:hAnsi="Times New Roman"/>
          <w:sz w:val="24"/>
          <w:szCs w:val="24"/>
          <w:lang w:val="en-GB"/>
        </w:rPr>
        <w:t>n</w:t>
      </w:r>
      <w:r w:rsidR="00830425" w:rsidRPr="00D73FEF">
        <w:rPr>
          <w:rFonts w:ascii="Times New Roman" w:hAnsi="Times New Roman"/>
          <w:sz w:val="24"/>
          <w:szCs w:val="24"/>
          <w:lang w:val="en-GB"/>
        </w:rPr>
        <w:t>, UK</w:t>
      </w:r>
    </w:p>
    <w:p w14:paraId="1760B0C2" w14:textId="2F760B21" w:rsidR="00830425" w:rsidRDefault="00943C87" w:rsidP="00377824">
      <w:pPr>
        <w:spacing w:line="360" w:lineRule="auto"/>
        <w:jc w:val="center"/>
        <w:rPr>
          <w:rFonts w:ascii="Times New Roman" w:hAnsi="Times New Roman"/>
          <w:sz w:val="24"/>
          <w:szCs w:val="24"/>
          <w:lang w:val="en-GB"/>
        </w:rPr>
      </w:pPr>
      <w:r>
        <w:rPr>
          <w:rFonts w:ascii="Times New Roman" w:hAnsi="Times New Roman"/>
          <w:sz w:val="24"/>
          <w:szCs w:val="24"/>
          <w:vertAlign w:val="superscript"/>
          <w:lang w:val="en-GB"/>
        </w:rPr>
        <w:t>b</w:t>
      </w:r>
      <w:r w:rsidR="00830425">
        <w:rPr>
          <w:rFonts w:ascii="Times New Roman" w:hAnsi="Times New Roman"/>
          <w:sz w:val="24"/>
          <w:szCs w:val="24"/>
          <w:vertAlign w:val="superscript"/>
          <w:lang w:val="en-GB"/>
        </w:rPr>
        <w:t xml:space="preserve"> </w:t>
      </w:r>
      <w:r w:rsidR="00830425">
        <w:rPr>
          <w:rFonts w:ascii="Times New Roman" w:hAnsi="Times New Roman"/>
          <w:sz w:val="24"/>
          <w:szCs w:val="24"/>
          <w:lang w:val="en-GB"/>
        </w:rPr>
        <w:t>ESA/ESRIN, Frascati, Italy</w:t>
      </w:r>
    </w:p>
    <w:p w14:paraId="7369C7EF" w14:textId="5E95C787" w:rsidR="00830425" w:rsidRDefault="00943C87" w:rsidP="00377824">
      <w:pPr>
        <w:spacing w:line="360" w:lineRule="auto"/>
        <w:jc w:val="center"/>
        <w:rPr>
          <w:rFonts w:ascii="Times New Roman" w:hAnsi="Times New Roman"/>
          <w:sz w:val="24"/>
          <w:szCs w:val="24"/>
          <w:lang w:val="en-GB"/>
        </w:rPr>
      </w:pPr>
      <w:r>
        <w:rPr>
          <w:rFonts w:ascii="Times New Roman" w:hAnsi="Times New Roman"/>
          <w:sz w:val="24"/>
          <w:szCs w:val="24"/>
          <w:vertAlign w:val="superscript"/>
          <w:lang w:val="en-GB"/>
        </w:rPr>
        <w:t>c</w:t>
      </w:r>
      <w:r w:rsidR="00830425">
        <w:rPr>
          <w:rFonts w:ascii="Times New Roman" w:hAnsi="Times New Roman"/>
          <w:sz w:val="24"/>
          <w:szCs w:val="24"/>
          <w:lang w:val="en-GB"/>
        </w:rPr>
        <w:t xml:space="preserve"> RHEA-System, Frascati, Italy</w:t>
      </w:r>
    </w:p>
    <w:p w14:paraId="3C280446" w14:textId="34411E24" w:rsidR="00830425" w:rsidRDefault="00943C87" w:rsidP="00377824">
      <w:pPr>
        <w:spacing w:line="360" w:lineRule="auto"/>
        <w:jc w:val="center"/>
        <w:rPr>
          <w:rFonts w:ascii="Times New Roman" w:hAnsi="Times New Roman"/>
          <w:sz w:val="24"/>
          <w:szCs w:val="24"/>
          <w:lang w:val="en-GB"/>
        </w:rPr>
      </w:pPr>
      <w:r>
        <w:rPr>
          <w:rFonts w:ascii="Times New Roman" w:hAnsi="Times New Roman"/>
          <w:sz w:val="24"/>
          <w:szCs w:val="24"/>
          <w:vertAlign w:val="superscript"/>
          <w:lang w:val="en-GB"/>
        </w:rPr>
        <w:t>d</w:t>
      </w:r>
      <w:r>
        <w:rPr>
          <w:rFonts w:ascii="Times New Roman" w:hAnsi="Times New Roman"/>
          <w:sz w:val="24"/>
          <w:szCs w:val="24"/>
          <w:lang w:val="en-GB"/>
        </w:rPr>
        <w:t xml:space="preserve"> B</w:t>
      </w:r>
      <w:r w:rsidR="00830425">
        <w:rPr>
          <w:rFonts w:ascii="Times New Roman" w:hAnsi="Times New Roman"/>
          <w:sz w:val="24"/>
          <w:szCs w:val="24"/>
          <w:lang w:val="en-GB"/>
        </w:rPr>
        <w:t>ritish Oceanographic Data Centre, UK</w:t>
      </w:r>
    </w:p>
    <w:p w14:paraId="3402F270" w14:textId="1A3292D2" w:rsidR="00EC7022" w:rsidRPr="00EC7022" w:rsidRDefault="00773368" w:rsidP="007B32E1">
      <w:pPr>
        <w:spacing w:line="360" w:lineRule="auto"/>
        <w:rPr>
          <w:rFonts w:ascii="Times New Roman" w:hAnsi="Times New Roman"/>
          <w:sz w:val="24"/>
          <w:szCs w:val="24"/>
          <w:lang w:val="en-GB"/>
        </w:rPr>
      </w:pPr>
      <w:r>
        <w:rPr>
          <w:rFonts w:ascii="Times New Roman" w:hAnsi="Times New Roman"/>
          <w:sz w:val="24"/>
          <w:szCs w:val="24"/>
          <w:vertAlign w:val="superscript"/>
          <w:lang w:val="en-GB"/>
        </w:rPr>
        <w:t>*</w:t>
      </w:r>
      <w:r w:rsidR="00EC7022">
        <w:rPr>
          <w:rFonts w:ascii="Times New Roman" w:hAnsi="Times New Roman"/>
          <w:sz w:val="24"/>
          <w:szCs w:val="24"/>
          <w:lang w:val="en-GB"/>
        </w:rPr>
        <w:t xml:space="preserve"> To whom correspondence should be addressed. Telephone: </w:t>
      </w:r>
      <w:r w:rsidR="004B0EEA">
        <w:rPr>
          <w:rFonts w:ascii="Times New Roman" w:hAnsi="Times New Roman"/>
          <w:sz w:val="24"/>
          <w:szCs w:val="24"/>
          <w:lang w:val="en-GB"/>
        </w:rPr>
        <w:t>+44 0151 795 4971. Email: francisco.calafat@noc.ac.uk</w:t>
      </w:r>
    </w:p>
    <w:p w14:paraId="6638D35C" w14:textId="77777777" w:rsidR="00830425" w:rsidRPr="00D73FEF" w:rsidRDefault="00830425" w:rsidP="004C2252">
      <w:pPr>
        <w:spacing w:line="360" w:lineRule="auto"/>
        <w:jc w:val="center"/>
        <w:rPr>
          <w:rFonts w:ascii="Times New Roman" w:hAnsi="Times New Roman"/>
          <w:sz w:val="24"/>
          <w:szCs w:val="24"/>
          <w:lang w:val="en-GB"/>
        </w:rPr>
      </w:pPr>
    </w:p>
    <w:p w14:paraId="2D1159C6" w14:textId="2A45ABA2" w:rsidR="00830425" w:rsidRDefault="00830425" w:rsidP="00A42484">
      <w:pPr>
        <w:spacing w:line="480" w:lineRule="auto"/>
        <w:rPr>
          <w:rFonts w:ascii="Times New Roman" w:hAnsi="Times New Roman"/>
          <w:sz w:val="24"/>
          <w:szCs w:val="24"/>
          <w:lang w:val="en-US"/>
        </w:rPr>
      </w:pPr>
      <w:r w:rsidRPr="00F202D7">
        <w:rPr>
          <w:rFonts w:ascii="Times New Roman" w:hAnsi="Times New Roman"/>
          <w:b/>
          <w:i/>
          <w:sz w:val="24"/>
          <w:szCs w:val="24"/>
          <w:lang w:val="en-GB"/>
        </w:rPr>
        <w:t>Abstract.</w:t>
      </w:r>
      <w:r>
        <w:rPr>
          <w:rFonts w:ascii="Times New Roman" w:hAnsi="Times New Roman"/>
          <w:sz w:val="24"/>
          <w:szCs w:val="24"/>
          <w:lang w:val="en-GB"/>
        </w:rPr>
        <w:t xml:space="preserve"> The </w:t>
      </w:r>
      <w:r w:rsidRPr="00E71B65">
        <w:rPr>
          <w:rFonts w:ascii="Times New Roman" w:hAnsi="Times New Roman"/>
          <w:sz w:val="24"/>
          <w:szCs w:val="24"/>
          <w:lang w:val="en-US"/>
        </w:rPr>
        <w:t xml:space="preserve">CryoSat-2 </w:t>
      </w:r>
      <w:r>
        <w:rPr>
          <w:rFonts w:ascii="Times New Roman" w:hAnsi="Times New Roman"/>
          <w:sz w:val="24"/>
          <w:szCs w:val="24"/>
          <w:lang w:val="en-US"/>
        </w:rPr>
        <w:t xml:space="preserve">satellite, primarily </w:t>
      </w:r>
      <w:r w:rsidRPr="00E71B65">
        <w:rPr>
          <w:rFonts w:ascii="Times New Roman" w:hAnsi="Times New Roman"/>
          <w:sz w:val="24"/>
          <w:szCs w:val="24"/>
          <w:lang w:val="en-US"/>
        </w:rPr>
        <w:t>dedicated to precise monitoring of the</w:t>
      </w:r>
      <w:r>
        <w:rPr>
          <w:rFonts w:ascii="Times New Roman" w:hAnsi="Times New Roman"/>
          <w:sz w:val="24"/>
          <w:szCs w:val="24"/>
          <w:lang w:val="en-US"/>
        </w:rPr>
        <w:t xml:space="preserve"> Cryosphere, </w:t>
      </w:r>
      <w:r w:rsidRPr="00E71B65">
        <w:rPr>
          <w:rFonts w:ascii="Times New Roman" w:hAnsi="Times New Roman"/>
          <w:sz w:val="24"/>
          <w:szCs w:val="24"/>
          <w:lang w:val="en-US"/>
        </w:rPr>
        <w:t>is</w:t>
      </w:r>
      <w:r>
        <w:rPr>
          <w:rFonts w:ascii="Times New Roman" w:hAnsi="Times New Roman"/>
          <w:sz w:val="24"/>
          <w:szCs w:val="24"/>
          <w:lang w:val="en-US"/>
        </w:rPr>
        <w:t xml:space="preserve"> </w:t>
      </w:r>
      <w:r w:rsidRPr="00E71B65">
        <w:rPr>
          <w:rFonts w:ascii="Times New Roman" w:hAnsi="Times New Roman"/>
          <w:sz w:val="24"/>
          <w:szCs w:val="24"/>
          <w:lang w:val="en-US"/>
        </w:rPr>
        <w:t xml:space="preserve">demonstrating </w:t>
      </w:r>
      <w:r>
        <w:rPr>
          <w:rFonts w:ascii="Times New Roman" w:hAnsi="Times New Roman"/>
          <w:sz w:val="24"/>
          <w:szCs w:val="24"/>
          <w:lang w:val="en-US"/>
        </w:rPr>
        <w:t>its capability to</w:t>
      </w:r>
      <w:r w:rsidRPr="00E71B65">
        <w:rPr>
          <w:rFonts w:ascii="Times New Roman" w:hAnsi="Times New Roman"/>
          <w:sz w:val="24"/>
          <w:szCs w:val="24"/>
          <w:lang w:val="en-US"/>
        </w:rPr>
        <w:t xml:space="preserve"> provide valuable </w:t>
      </w:r>
      <w:r>
        <w:rPr>
          <w:rFonts w:ascii="Times New Roman" w:hAnsi="Times New Roman"/>
          <w:sz w:val="24"/>
          <w:szCs w:val="24"/>
          <w:lang w:val="en-US"/>
        </w:rPr>
        <w:t xml:space="preserve">altimetric </w:t>
      </w:r>
      <w:r w:rsidRPr="00E71B65">
        <w:rPr>
          <w:rFonts w:ascii="Times New Roman" w:hAnsi="Times New Roman"/>
          <w:sz w:val="24"/>
          <w:szCs w:val="24"/>
          <w:lang w:val="en-US"/>
        </w:rPr>
        <w:t>data</w:t>
      </w:r>
      <w:r>
        <w:rPr>
          <w:rFonts w:ascii="Times New Roman" w:hAnsi="Times New Roman"/>
          <w:sz w:val="24"/>
          <w:szCs w:val="24"/>
          <w:lang w:val="en-US"/>
        </w:rPr>
        <w:t xml:space="preserve"> also</w:t>
      </w:r>
      <w:r w:rsidRPr="00E71B65">
        <w:rPr>
          <w:rFonts w:ascii="Times New Roman" w:hAnsi="Times New Roman"/>
          <w:sz w:val="24"/>
          <w:szCs w:val="24"/>
          <w:lang w:val="en-US"/>
        </w:rPr>
        <w:t xml:space="preserve"> </w:t>
      </w:r>
      <w:r>
        <w:rPr>
          <w:rFonts w:ascii="Times New Roman" w:hAnsi="Times New Roman"/>
          <w:sz w:val="24"/>
          <w:szCs w:val="24"/>
          <w:lang w:val="en-US"/>
        </w:rPr>
        <w:t xml:space="preserve">over the ocean. </w:t>
      </w:r>
      <w:r>
        <w:rPr>
          <w:rFonts w:ascii="Times New Roman" w:hAnsi="Times New Roman"/>
          <w:color w:val="000000"/>
          <w:sz w:val="24"/>
          <w:szCs w:val="24"/>
          <w:lang w:val="en-US"/>
        </w:rPr>
        <w:t xml:space="preserve">Here we present the results of a global assessment and validation of the new Geophysical Ocean Product (GOP) distributed by the European Space Agency (ESA) since April 2014, focusing on the sea surface height anomaly (SSHA), the significant wave height (SWH), and the wind speed. Our assessment involves only </w:t>
      </w:r>
      <w:r w:rsidR="006C30B8">
        <w:rPr>
          <w:rFonts w:ascii="Times New Roman" w:hAnsi="Times New Roman"/>
          <w:color w:val="000000"/>
          <w:sz w:val="24"/>
          <w:szCs w:val="24"/>
          <w:lang w:val="en-US"/>
        </w:rPr>
        <w:t>L</w:t>
      </w:r>
      <w:r>
        <w:rPr>
          <w:rFonts w:ascii="Times New Roman" w:hAnsi="Times New Roman"/>
          <w:color w:val="000000"/>
          <w:sz w:val="24"/>
          <w:szCs w:val="24"/>
          <w:lang w:val="en-US"/>
        </w:rPr>
        <w:t xml:space="preserve">ow </w:t>
      </w:r>
      <w:r w:rsidR="006C30B8">
        <w:rPr>
          <w:rFonts w:ascii="Times New Roman" w:hAnsi="Times New Roman"/>
          <w:color w:val="000000"/>
          <w:sz w:val="24"/>
          <w:szCs w:val="24"/>
          <w:lang w:val="en-US"/>
        </w:rPr>
        <w:t>R</w:t>
      </w:r>
      <w:r>
        <w:rPr>
          <w:rFonts w:ascii="Times New Roman" w:hAnsi="Times New Roman"/>
          <w:color w:val="000000"/>
          <w:sz w:val="24"/>
          <w:szCs w:val="24"/>
          <w:lang w:val="en-US"/>
        </w:rPr>
        <w:t xml:space="preserve">esolution </w:t>
      </w:r>
      <w:r w:rsidR="006C30B8">
        <w:rPr>
          <w:rFonts w:ascii="Times New Roman" w:hAnsi="Times New Roman"/>
          <w:color w:val="000000"/>
          <w:sz w:val="24"/>
          <w:szCs w:val="24"/>
          <w:lang w:val="en-US"/>
        </w:rPr>
        <w:t>M</w:t>
      </w:r>
      <w:r>
        <w:rPr>
          <w:rFonts w:ascii="Times New Roman" w:hAnsi="Times New Roman"/>
          <w:color w:val="000000"/>
          <w:sz w:val="24"/>
          <w:szCs w:val="24"/>
          <w:lang w:val="en-US"/>
        </w:rPr>
        <w:t xml:space="preserve">ode (LRM) and </w:t>
      </w:r>
      <w:r w:rsidR="006C30B8">
        <w:rPr>
          <w:rFonts w:ascii="Times New Roman" w:hAnsi="Times New Roman"/>
          <w:color w:val="000000"/>
          <w:sz w:val="24"/>
          <w:szCs w:val="24"/>
          <w:lang w:val="en-US"/>
        </w:rPr>
        <w:t>P</w:t>
      </w:r>
      <w:r>
        <w:rPr>
          <w:rFonts w:ascii="Times New Roman" w:hAnsi="Times New Roman"/>
          <w:color w:val="000000"/>
          <w:sz w:val="24"/>
          <w:szCs w:val="24"/>
          <w:lang w:val="en-US"/>
        </w:rPr>
        <w:t xml:space="preserve">seudo LRM (PLRM) data, since full SAR processing is </w:t>
      </w:r>
      <w:r w:rsidR="006C30B8">
        <w:rPr>
          <w:rFonts w:ascii="Times New Roman" w:hAnsi="Times New Roman"/>
          <w:color w:val="000000"/>
          <w:sz w:val="24"/>
          <w:szCs w:val="24"/>
          <w:lang w:val="en-US"/>
        </w:rPr>
        <w:t xml:space="preserve">not already operationally </w:t>
      </w:r>
      <w:r>
        <w:rPr>
          <w:rFonts w:ascii="Times New Roman" w:hAnsi="Times New Roman"/>
          <w:color w:val="000000"/>
          <w:sz w:val="24"/>
          <w:szCs w:val="24"/>
          <w:lang w:val="en-US"/>
        </w:rPr>
        <w:t xml:space="preserve">implemented in the GOP. The global assessment is conducted on the basis of measurement noise and along-track spectral and crossover analysis, whereas the validation is performed against a variety of </w:t>
      </w:r>
      <w:r w:rsidRPr="003D5FDB">
        <w:rPr>
          <w:rFonts w:ascii="Times New Roman" w:hAnsi="Times New Roman"/>
          <w:color w:val="000000"/>
          <w:sz w:val="24"/>
          <w:szCs w:val="24"/>
          <w:lang w:val="en-US"/>
        </w:rPr>
        <w:t>in situ</w:t>
      </w:r>
      <w:r>
        <w:rPr>
          <w:rFonts w:ascii="Times New Roman" w:hAnsi="Times New Roman"/>
          <w:color w:val="000000"/>
          <w:sz w:val="24"/>
          <w:szCs w:val="24"/>
          <w:lang w:val="en-US"/>
        </w:rPr>
        <w:t xml:space="preserve"> observations such as tide gauges, buoys and Argo floats as well as data from the WaveWatch III (WWIII) model. The performance of the GOP is compared to that of Jason-2 and CryoSat-2 data from the Radar Altimeter Database System (RADS). T</w:t>
      </w:r>
      <w:r>
        <w:rPr>
          <w:rFonts w:ascii="Times New Roman" w:hAnsi="Times New Roman"/>
          <w:sz w:val="24"/>
          <w:szCs w:val="24"/>
          <w:lang w:val="en-GB"/>
        </w:rPr>
        <w:t>he mean value of the 20</w:t>
      </w:r>
      <w:r>
        <w:rPr>
          <w:rFonts w:ascii="Times New Roman" w:hAnsi="Times New Roman"/>
          <w:sz w:val="24"/>
          <w:szCs w:val="24"/>
          <w:lang w:val="en-GB"/>
        </w:rPr>
        <w:noBreakHyphen/>
        <w:t>Hz SSHA noise at 2 m SWH is 6.3 cm for LRM and 10.2 cm for PLRM</w:t>
      </w:r>
      <w:r w:rsidR="001D43DE">
        <w:rPr>
          <w:rFonts w:ascii="Times New Roman" w:hAnsi="Times New Roman"/>
          <w:sz w:val="24"/>
          <w:szCs w:val="24"/>
          <w:lang w:val="en-GB"/>
        </w:rPr>
        <w:t>, and the standard deviation of the crossovers is ~5.4 cm</w:t>
      </w:r>
      <w:r>
        <w:rPr>
          <w:rFonts w:ascii="Times New Roman" w:hAnsi="Times New Roman"/>
          <w:sz w:val="24"/>
          <w:szCs w:val="24"/>
          <w:lang w:val="en-GB"/>
        </w:rPr>
        <w:t xml:space="preserve">. The mean 20-HZ SWH noise </w:t>
      </w:r>
      <w:r>
        <w:rPr>
          <w:rFonts w:ascii="Times New Roman" w:hAnsi="Times New Roman"/>
          <w:sz w:val="24"/>
          <w:szCs w:val="24"/>
          <w:lang w:val="en-GB"/>
        </w:rPr>
        <w:lastRenderedPageBreak/>
        <w:t>over the global oceans is 49.4 cm and 69.8 cm, for LRM and PLRM respectively</w:t>
      </w:r>
      <w:r>
        <w:rPr>
          <w:rFonts w:ascii="Times New Roman" w:hAnsi="Times New Roman"/>
          <w:color w:val="000000"/>
          <w:sz w:val="24"/>
          <w:szCs w:val="24"/>
          <w:lang w:val="en-US"/>
        </w:rPr>
        <w:t xml:space="preserve">. </w:t>
      </w:r>
      <w:r>
        <w:rPr>
          <w:rFonts w:ascii="Times New Roman" w:hAnsi="Times New Roman"/>
          <w:sz w:val="24"/>
          <w:szCs w:val="24"/>
          <w:lang w:val="en-GB"/>
        </w:rPr>
        <w:t xml:space="preserve">CryoSat-2 and Jason-2 </w:t>
      </w:r>
      <w:r>
        <w:rPr>
          <w:rFonts w:ascii="Times New Roman" w:hAnsi="Times New Roman"/>
          <w:color w:val="000000"/>
          <w:sz w:val="24"/>
          <w:szCs w:val="24"/>
          <w:lang w:val="en-US"/>
        </w:rPr>
        <w:t>show almost identical performance when SSHAs are validated against tide gauges, with a</w:t>
      </w:r>
      <w:r>
        <w:rPr>
          <w:rFonts w:ascii="Times New Roman" w:hAnsi="Times New Roman"/>
          <w:sz w:val="24"/>
          <w:szCs w:val="24"/>
          <w:lang w:val="en-GB"/>
        </w:rPr>
        <w:t xml:space="preserve"> median correlation and root mean square difference (RMSD) of 0.78 and 7.1 cm for the GOP, 0.76 and 7.3 cm for Jason-2, and 0.79 and 7.8 cm for CryoSat-2 from RADS</w:t>
      </w:r>
      <w:r>
        <w:rPr>
          <w:rFonts w:ascii="Times New Roman" w:hAnsi="Times New Roman"/>
          <w:color w:val="000000"/>
          <w:sz w:val="24"/>
          <w:szCs w:val="24"/>
          <w:lang w:val="en-US"/>
        </w:rPr>
        <w:t xml:space="preserve">. </w:t>
      </w:r>
      <w:r>
        <w:rPr>
          <w:rFonts w:ascii="Times New Roman" w:hAnsi="Times New Roman"/>
          <w:sz w:val="24"/>
          <w:szCs w:val="24"/>
          <w:lang w:val="en-GB"/>
        </w:rPr>
        <w:t>The median correlation with Argo-derived steric heights is 0.68 for the GOP, 0.74 for Jason-2, and 0.67 for CryoSat-2 from RADS. However</w:t>
      </w:r>
      <w:r w:rsidR="00ED7518">
        <w:rPr>
          <w:rFonts w:ascii="Times New Roman" w:hAnsi="Times New Roman"/>
          <w:sz w:val="24"/>
          <w:szCs w:val="24"/>
          <w:lang w:val="en-GB"/>
        </w:rPr>
        <w:t>,</w:t>
      </w:r>
      <w:r>
        <w:rPr>
          <w:rFonts w:ascii="Times New Roman" w:hAnsi="Times New Roman"/>
          <w:sz w:val="24"/>
          <w:szCs w:val="24"/>
          <w:lang w:val="en-GB"/>
        </w:rPr>
        <w:t xml:space="preserve"> the correlation shows a strong latitudinal dependence, with higher values at low latitudes (median value larger than 0.80 in the 10ºS-10ºN band). The median RMSD between the SSHAs and steric heights is 5.3 cm for the GOP, 4.6 cm for Jason-2, and 5.1 cm for CryoSat-2 from RADS. The GOP and Jason-2 show also identical performance when SWHs are compared to buoy data, with a slope and RMS error of 0.98 and 15 cm for GOP, 0.97 and 16 cm for Jason-2, and 1.05 and 17 cm for CryoSat-2 from RADS. On the other hand, the GOP wind speed exhibits a bias of about 2 m/s relative to both Jason-2 and to buoy data. </w:t>
      </w:r>
      <w:r w:rsidR="00521061">
        <w:rPr>
          <w:rFonts w:ascii="Times New Roman" w:hAnsi="Times New Roman"/>
          <w:sz w:val="24"/>
          <w:szCs w:val="24"/>
          <w:lang w:val="en-GB"/>
        </w:rPr>
        <w:t>D</w:t>
      </w:r>
      <w:r>
        <w:rPr>
          <w:rFonts w:ascii="Times New Roman" w:hAnsi="Times New Roman"/>
          <w:sz w:val="24"/>
          <w:szCs w:val="24"/>
          <w:lang w:val="en-GB"/>
        </w:rPr>
        <w:t>ifferences between the GOP and WWIII</w:t>
      </w:r>
      <w:r w:rsidR="00521061">
        <w:rPr>
          <w:rFonts w:ascii="Times New Roman" w:hAnsi="Times New Roman"/>
          <w:sz w:val="24"/>
          <w:szCs w:val="24"/>
          <w:lang w:val="en-GB"/>
        </w:rPr>
        <w:t xml:space="preserve"> SWH are</w:t>
      </w:r>
      <w:r>
        <w:rPr>
          <w:rFonts w:ascii="Times New Roman" w:hAnsi="Times New Roman"/>
          <w:sz w:val="24"/>
          <w:szCs w:val="24"/>
          <w:lang w:val="en-GB"/>
        </w:rPr>
        <w:t xml:space="preserve"> smaller than 20% of the SWH almost everywhere.</w:t>
      </w:r>
      <w:r w:rsidR="007A12B9">
        <w:rPr>
          <w:rFonts w:ascii="Times New Roman" w:hAnsi="Times New Roman"/>
          <w:sz w:val="24"/>
          <w:szCs w:val="24"/>
          <w:lang w:val="en-GB"/>
        </w:rPr>
        <w:t xml:space="preserve"> In summary the GOP products </w:t>
      </w:r>
      <w:r w:rsidR="00666CAE">
        <w:rPr>
          <w:rFonts w:ascii="Times New Roman" w:hAnsi="Times New Roman"/>
          <w:sz w:val="24"/>
          <w:szCs w:val="24"/>
          <w:lang w:val="en-GB"/>
        </w:rPr>
        <w:t>are</w:t>
      </w:r>
      <w:r w:rsidR="007A12B9">
        <w:rPr>
          <w:rFonts w:ascii="Times New Roman" w:hAnsi="Times New Roman"/>
          <w:sz w:val="24"/>
          <w:szCs w:val="24"/>
          <w:lang w:val="en-GB"/>
        </w:rPr>
        <w:t xml:space="preserve"> fit for oceanographic applications.</w:t>
      </w:r>
    </w:p>
    <w:p w14:paraId="0DADC33F" w14:textId="77777777" w:rsidR="00830425" w:rsidRPr="008513A2" w:rsidRDefault="00830425" w:rsidP="00A42484">
      <w:pPr>
        <w:spacing w:line="480" w:lineRule="auto"/>
        <w:rPr>
          <w:rFonts w:ascii="Times New Roman" w:hAnsi="Times New Roman"/>
          <w:sz w:val="24"/>
          <w:szCs w:val="24"/>
          <w:lang w:val="en-US"/>
        </w:rPr>
      </w:pPr>
      <w:r w:rsidRPr="00DC71AA">
        <w:rPr>
          <w:rFonts w:ascii="Times New Roman" w:hAnsi="Times New Roman"/>
          <w:b/>
          <w:sz w:val="24"/>
          <w:szCs w:val="24"/>
          <w:lang w:val="en-US"/>
        </w:rPr>
        <w:t>Keywords</w:t>
      </w:r>
      <w:r>
        <w:rPr>
          <w:rFonts w:ascii="Times New Roman" w:hAnsi="Times New Roman"/>
          <w:sz w:val="24"/>
          <w:szCs w:val="24"/>
          <w:lang w:val="en-US"/>
        </w:rPr>
        <w:t xml:space="preserve">: </w:t>
      </w:r>
      <w:r w:rsidRPr="00DC71AA">
        <w:rPr>
          <w:rFonts w:ascii="Times New Roman" w:hAnsi="Times New Roman"/>
          <w:sz w:val="24"/>
          <w:szCs w:val="24"/>
          <w:lang w:val="en-US"/>
        </w:rPr>
        <w:t>CryoSat-2;</w:t>
      </w:r>
      <w:r>
        <w:rPr>
          <w:rFonts w:ascii="Times New Roman" w:hAnsi="Times New Roman"/>
          <w:sz w:val="24"/>
          <w:szCs w:val="24"/>
          <w:lang w:val="en-US"/>
        </w:rPr>
        <w:t xml:space="preserve"> Jason-2;</w:t>
      </w:r>
      <w:r w:rsidRPr="00DC71AA">
        <w:rPr>
          <w:rFonts w:ascii="Times New Roman" w:hAnsi="Times New Roman"/>
          <w:sz w:val="24"/>
          <w:szCs w:val="24"/>
          <w:lang w:val="en-US"/>
        </w:rPr>
        <w:t xml:space="preserve"> satellite altimetry; validation; sea surface height a</w:t>
      </w:r>
      <w:r>
        <w:rPr>
          <w:rFonts w:ascii="Times New Roman" w:hAnsi="Times New Roman"/>
          <w:sz w:val="24"/>
          <w:szCs w:val="24"/>
          <w:lang w:val="en-US"/>
        </w:rPr>
        <w:t>nomaly; significant wave height; wind speed</w:t>
      </w:r>
    </w:p>
    <w:p w14:paraId="5E27F1D8" w14:textId="77777777" w:rsidR="00830425" w:rsidRPr="009061E6" w:rsidRDefault="00830425" w:rsidP="00A42484">
      <w:pPr>
        <w:spacing w:line="480" w:lineRule="auto"/>
        <w:rPr>
          <w:rFonts w:ascii="Arial" w:hAnsi="Arial"/>
          <w:b/>
          <w:sz w:val="24"/>
          <w:szCs w:val="24"/>
          <w:lang w:val="en-GB"/>
        </w:rPr>
      </w:pPr>
      <w:r w:rsidRPr="009061E6">
        <w:rPr>
          <w:rFonts w:ascii="Arial" w:hAnsi="Arial"/>
          <w:b/>
          <w:sz w:val="24"/>
          <w:szCs w:val="24"/>
          <w:lang w:val="en-GB"/>
        </w:rPr>
        <w:t>1. Introduction</w:t>
      </w:r>
    </w:p>
    <w:p w14:paraId="3D75E0E2" w14:textId="440BD0BF" w:rsidR="00830425" w:rsidRDefault="00830425" w:rsidP="00A42484">
      <w:pPr>
        <w:spacing w:line="480" w:lineRule="auto"/>
        <w:rPr>
          <w:rFonts w:ascii="Times New Roman" w:hAnsi="Times New Roman"/>
          <w:color w:val="000000"/>
          <w:sz w:val="24"/>
          <w:szCs w:val="24"/>
          <w:lang w:val="en-US"/>
        </w:rPr>
      </w:pPr>
      <w:r>
        <w:rPr>
          <w:rFonts w:ascii="Times New Roman" w:hAnsi="Times New Roman"/>
          <w:color w:val="000000"/>
          <w:sz w:val="24"/>
          <w:szCs w:val="24"/>
          <w:lang w:val="en-US"/>
        </w:rPr>
        <w:t xml:space="preserve">Satellite altimetry has become one of the standard tools in Earth sciences and has allowed a variety of geophysical parameters to be precisely measured in remote areas of the Earth where data from other sources are sparse or nonexistent. The basic principle of satellite altimetry involves accurate measurements of the time interval between the emission of a pulse and its echo from the Earth’s surface, from which one can infer, among other things, the ocean and land topography, including that of ice sheets, the extent of sea ice, the </w:t>
      </w:r>
      <w:r>
        <w:rPr>
          <w:rFonts w:ascii="Times New Roman" w:hAnsi="Times New Roman"/>
          <w:color w:val="000000"/>
          <w:sz w:val="24"/>
          <w:szCs w:val="24"/>
          <w:lang w:val="en-US"/>
        </w:rPr>
        <w:lastRenderedPageBreak/>
        <w:t>significant wave height</w:t>
      </w:r>
      <w:r w:rsidR="00EF2183">
        <w:rPr>
          <w:rFonts w:ascii="Times New Roman" w:hAnsi="Times New Roman"/>
          <w:color w:val="000000"/>
          <w:sz w:val="24"/>
          <w:szCs w:val="24"/>
          <w:lang w:val="en-US"/>
        </w:rPr>
        <w:t xml:space="preserve"> (SWH)</w:t>
      </w:r>
      <w:r>
        <w:rPr>
          <w:rFonts w:ascii="Times New Roman" w:hAnsi="Times New Roman"/>
          <w:color w:val="000000"/>
          <w:sz w:val="24"/>
          <w:szCs w:val="24"/>
          <w:lang w:val="en-US"/>
        </w:rPr>
        <w:t xml:space="preserve"> and the wind speed. Today Satellite altimetry is able to achieve accuracies in sea surface height (SSH) measurements of only a few centimeters thanks to the technological developments and improvements in </w:t>
      </w:r>
      <w:r w:rsidR="009045D8">
        <w:rPr>
          <w:rFonts w:ascii="Times New Roman" w:hAnsi="Times New Roman"/>
          <w:color w:val="000000"/>
          <w:sz w:val="24"/>
          <w:szCs w:val="24"/>
          <w:lang w:val="en-US"/>
        </w:rPr>
        <w:t xml:space="preserve">data </w:t>
      </w:r>
      <w:r>
        <w:rPr>
          <w:rFonts w:ascii="Times New Roman" w:hAnsi="Times New Roman"/>
          <w:color w:val="000000"/>
          <w:sz w:val="24"/>
          <w:szCs w:val="24"/>
          <w:lang w:val="en-US"/>
        </w:rPr>
        <w:t xml:space="preserve">reprocessing brought by each new mission, since the launch of the first satellite radar altimeter on-board Skylab, in 1973. Despite these improvements, proper quality assessment of new altimetry products is essential </w:t>
      </w:r>
      <w:r w:rsidR="0074228C">
        <w:rPr>
          <w:rFonts w:ascii="Times New Roman" w:hAnsi="Times New Roman"/>
          <w:color w:val="000000"/>
          <w:sz w:val="24"/>
          <w:szCs w:val="24"/>
          <w:lang w:val="en-US"/>
        </w:rPr>
        <w:t>so that they can</w:t>
      </w:r>
      <w:r w:rsidR="009045D8">
        <w:rPr>
          <w:rFonts w:ascii="Times New Roman" w:hAnsi="Times New Roman"/>
          <w:color w:val="000000"/>
          <w:sz w:val="24"/>
          <w:szCs w:val="24"/>
          <w:lang w:val="en-US"/>
        </w:rPr>
        <w:t xml:space="preserve"> </w:t>
      </w:r>
      <w:r>
        <w:rPr>
          <w:rFonts w:ascii="Times New Roman" w:hAnsi="Times New Roman"/>
          <w:color w:val="000000"/>
          <w:sz w:val="24"/>
          <w:szCs w:val="24"/>
          <w:lang w:val="en-US"/>
        </w:rPr>
        <w:t xml:space="preserve">be confidently used by the scientific community. In this paper we present the results of a global assessment and </w:t>
      </w:r>
      <w:r w:rsidR="009045D8">
        <w:rPr>
          <w:rFonts w:ascii="Times New Roman" w:hAnsi="Times New Roman"/>
          <w:color w:val="000000"/>
          <w:sz w:val="24"/>
          <w:szCs w:val="24"/>
          <w:lang w:val="en-US"/>
        </w:rPr>
        <w:t xml:space="preserve">scientific </w:t>
      </w:r>
      <w:r>
        <w:rPr>
          <w:rFonts w:ascii="Times New Roman" w:hAnsi="Times New Roman"/>
          <w:color w:val="000000"/>
          <w:sz w:val="24"/>
          <w:szCs w:val="24"/>
          <w:lang w:val="en-US"/>
        </w:rPr>
        <w:t>validation of a new CryoSat-2 ocean product.</w:t>
      </w:r>
    </w:p>
    <w:p w14:paraId="6E4109C7" w14:textId="1A268D18" w:rsidR="00830425" w:rsidRDefault="00830425" w:rsidP="00A42484">
      <w:pPr>
        <w:spacing w:line="480" w:lineRule="auto"/>
        <w:rPr>
          <w:rFonts w:ascii="Times New Roman" w:hAnsi="Times New Roman"/>
          <w:sz w:val="24"/>
          <w:szCs w:val="24"/>
          <w:lang w:val="en-US"/>
        </w:rPr>
      </w:pPr>
      <w:r>
        <w:rPr>
          <w:rFonts w:ascii="Times New Roman" w:hAnsi="Times New Roman"/>
          <w:color w:val="000000"/>
          <w:sz w:val="24"/>
          <w:szCs w:val="24"/>
          <w:lang w:val="en-US"/>
        </w:rPr>
        <w:t xml:space="preserve">CryoSat-2 is a European Space Agency (ESA) Earth Explorer satellite that was launched in April 2010 and has monitoring of changes in the thickness of the sea ice and continental ice sheets as its primary goal (Drinkwater et al., 2004; Wingham et al., 2006). There are a number of features that make CryoSat-2 different from other dedicated ocean altimeters. These include a high inclination of about 92º that offers nearly global coverage reaching high latitudes of up to 88º and a repeat cycle of around 369 days, which is much longer than the </w:t>
      </w:r>
      <w:r w:rsidR="009045D8">
        <w:rPr>
          <w:rFonts w:ascii="Times New Roman" w:hAnsi="Times New Roman"/>
          <w:color w:val="000000"/>
          <w:sz w:val="24"/>
          <w:szCs w:val="24"/>
          <w:lang w:val="en-US"/>
        </w:rPr>
        <w:t>standard 10-day</w:t>
      </w:r>
      <w:r>
        <w:rPr>
          <w:rFonts w:ascii="Times New Roman" w:hAnsi="Times New Roman"/>
          <w:color w:val="000000"/>
          <w:sz w:val="24"/>
          <w:szCs w:val="24"/>
          <w:lang w:val="en-US"/>
        </w:rPr>
        <w:t xml:space="preserve"> and 35</w:t>
      </w:r>
      <w:r w:rsidR="009045D8">
        <w:rPr>
          <w:rFonts w:ascii="Times New Roman" w:hAnsi="Times New Roman"/>
          <w:color w:val="000000"/>
          <w:sz w:val="24"/>
          <w:szCs w:val="24"/>
          <w:lang w:val="en-US"/>
        </w:rPr>
        <w:t>-</w:t>
      </w:r>
      <w:r>
        <w:rPr>
          <w:rFonts w:ascii="Times New Roman" w:hAnsi="Times New Roman"/>
          <w:color w:val="000000"/>
          <w:sz w:val="24"/>
          <w:szCs w:val="24"/>
          <w:lang w:val="en-US"/>
        </w:rPr>
        <w:t xml:space="preserve">day repeats of previous </w:t>
      </w:r>
      <w:r w:rsidR="009045D8">
        <w:rPr>
          <w:rFonts w:ascii="Times New Roman" w:hAnsi="Times New Roman"/>
          <w:color w:val="000000"/>
          <w:sz w:val="24"/>
          <w:szCs w:val="24"/>
          <w:lang w:val="en-US"/>
        </w:rPr>
        <w:t xml:space="preserve">ocean-oriented </w:t>
      </w:r>
      <w:r>
        <w:rPr>
          <w:rFonts w:ascii="Times New Roman" w:hAnsi="Times New Roman"/>
          <w:color w:val="000000"/>
          <w:sz w:val="24"/>
          <w:szCs w:val="24"/>
          <w:lang w:val="en-US"/>
        </w:rPr>
        <w:t>altimeters. In addition, CryoSat-2’s primary instrument SIRAL (</w:t>
      </w:r>
      <w:r w:rsidRPr="006B0666">
        <w:rPr>
          <w:rFonts w:ascii="Times New Roman" w:hAnsi="Times New Roman"/>
          <w:color w:val="000000"/>
          <w:sz w:val="24"/>
          <w:szCs w:val="24"/>
          <w:lang w:val="en-US"/>
        </w:rPr>
        <w:t>Synthetic A</w:t>
      </w:r>
      <w:r>
        <w:rPr>
          <w:rFonts w:ascii="Times New Roman" w:hAnsi="Times New Roman"/>
          <w:color w:val="000000"/>
          <w:sz w:val="24"/>
          <w:szCs w:val="24"/>
          <w:lang w:val="en-US"/>
        </w:rPr>
        <w:t>perture Interferometric Radar Al</w:t>
      </w:r>
      <w:r w:rsidRPr="006B0666">
        <w:rPr>
          <w:rFonts w:ascii="Times New Roman" w:hAnsi="Times New Roman"/>
          <w:color w:val="000000"/>
          <w:sz w:val="24"/>
          <w:szCs w:val="24"/>
          <w:lang w:val="en-US"/>
        </w:rPr>
        <w:t>timeter</w:t>
      </w:r>
      <w:r>
        <w:rPr>
          <w:rFonts w:ascii="Times New Roman" w:hAnsi="Times New Roman"/>
          <w:color w:val="000000"/>
          <w:sz w:val="24"/>
          <w:szCs w:val="24"/>
          <w:lang w:val="en-US"/>
        </w:rPr>
        <w:t xml:space="preserve">) operates in one of three different modes, namely </w:t>
      </w:r>
      <w:r w:rsidR="009045D8">
        <w:rPr>
          <w:rFonts w:ascii="Times New Roman" w:hAnsi="Times New Roman"/>
          <w:color w:val="000000"/>
          <w:sz w:val="24"/>
          <w:szCs w:val="24"/>
          <w:lang w:val="en-US"/>
        </w:rPr>
        <w:t>S</w:t>
      </w:r>
      <w:r>
        <w:rPr>
          <w:rFonts w:ascii="Times New Roman" w:hAnsi="Times New Roman"/>
          <w:color w:val="000000"/>
          <w:sz w:val="24"/>
          <w:szCs w:val="24"/>
          <w:lang w:val="en-US"/>
        </w:rPr>
        <w:t xml:space="preserve">ynthetic </w:t>
      </w:r>
      <w:r w:rsidR="009045D8">
        <w:rPr>
          <w:rFonts w:ascii="Times New Roman" w:hAnsi="Times New Roman"/>
          <w:color w:val="000000"/>
          <w:sz w:val="24"/>
          <w:szCs w:val="24"/>
          <w:lang w:val="en-US"/>
        </w:rPr>
        <w:t>A</w:t>
      </w:r>
      <w:r>
        <w:rPr>
          <w:rFonts w:ascii="Times New Roman" w:hAnsi="Times New Roman"/>
          <w:color w:val="000000"/>
          <w:sz w:val="24"/>
          <w:szCs w:val="24"/>
          <w:lang w:val="en-US"/>
        </w:rPr>
        <w:t xml:space="preserve">perture </w:t>
      </w:r>
      <w:r w:rsidR="009045D8">
        <w:rPr>
          <w:rFonts w:ascii="Times New Roman" w:hAnsi="Times New Roman"/>
          <w:color w:val="000000"/>
          <w:sz w:val="24"/>
          <w:szCs w:val="24"/>
          <w:lang w:val="en-US"/>
        </w:rPr>
        <w:t>R</w:t>
      </w:r>
      <w:r>
        <w:rPr>
          <w:rFonts w:ascii="Times New Roman" w:hAnsi="Times New Roman"/>
          <w:color w:val="000000"/>
          <w:sz w:val="24"/>
          <w:szCs w:val="24"/>
          <w:lang w:val="en-US"/>
        </w:rPr>
        <w:t xml:space="preserve">adar (SAR) mode, </w:t>
      </w:r>
      <w:r w:rsidR="009045D8">
        <w:rPr>
          <w:rFonts w:ascii="Times New Roman" w:hAnsi="Times New Roman"/>
          <w:color w:val="000000"/>
          <w:sz w:val="24"/>
          <w:szCs w:val="24"/>
          <w:lang w:val="en-US"/>
        </w:rPr>
        <w:t>L</w:t>
      </w:r>
      <w:r>
        <w:rPr>
          <w:rFonts w:ascii="Times New Roman" w:hAnsi="Times New Roman"/>
          <w:color w:val="000000"/>
          <w:sz w:val="24"/>
          <w:szCs w:val="24"/>
          <w:lang w:val="en-US"/>
        </w:rPr>
        <w:t xml:space="preserve">ow </w:t>
      </w:r>
      <w:r w:rsidR="009045D8">
        <w:rPr>
          <w:rFonts w:ascii="Times New Roman" w:hAnsi="Times New Roman"/>
          <w:color w:val="000000"/>
          <w:sz w:val="24"/>
          <w:szCs w:val="24"/>
          <w:lang w:val="en-US"/>
        </w:rPr>
        <w:t>R</w:t>
      </w:r>
      <w:r>
        <w:rPr>
          <w:rFonts w:ascii="Times New Roman" w:hAnsi="Times New Roman"/>
          <w:color w:val="000000"/>
          <w:sz w:val="24"/>
          <w:szCs w:val="24"/>
          <w:lang w:val="en-US"/>
        </w:rPr>
        <w:t xml:space="preserve">esolution </w:t>
      </w:r>
      <w:r w:rsidR="009045D8">
        <w:rPr>
          <w:rFonts w:ascii="Times New Roman" w:hAnsi="Times New Roman"/>
          <w:color w:val="000000"/>
          <w:sz w:val="24"/>
          <w:szCs w:val="24"/>
          <w:lang w:val="en-US"/>
        </w:rPr>
        <w:t>M</w:t>
      </w:r>
      <w:r>
        <w:rPr>
          <w:rFonts w:ascii="Times New Roman" w:hAnsi="Times New Roman"/>
          <w:color w:val="000000"/>
          <w:sz w:val="24"/>
          <w:szCs w:val="24"/>
          <w:lang w:val="en-US"/>
        </w:rPr>
        <w:t xml:space="preserve">ode (LRM) and SAR </w:t>
      </w:r>
      <w:r w:rsidR="009045D8">
        <w:rPr>
          <w:rFonts w:ascii="Times New Roman" w:hAnsi="Times New Roman"/>
          <w:color w:val="000000"/>
          <w:sz w:val="24"/>
          <w:szCs w:val="24"/>
          <w:lang w:val="en-US"/>
        </w:rPr>
        <w:t>I</w:t>
      </w:r>
      <w:r>
        <w:rPr>
          <w:rFonts w:ascii="Times New Roman" w:hAnsi="Times New Roman"/>
          <w:color w:val="000000"/>
          <w:sz w:val="24"/>
          <w:szCs w:val="24"/>
          <w:lang w:val="en-US"/>
        </w:rPr>
        <w:t xml:space="preserve">nterferometry (SARIn) mode. </w:t>
      </w:r>
      <w:r w:rsidRPr="00440535">
        <w:rPr>
          <w:rFonts w:ascii="Times New Roman" w:hAnsi="Times New Roman"/>
          <w:color w:val="000000"/>
          <w:sz w:val="24"/>
          <w:szCs w:val="24"/>
          <w:lang w:val="en-US"/>
        </w:rPr>
        <w:t>LRM is based on traditional pulse-limited altimetry</w:t>
      </w:r>
      <w:r>
        <w:rPr>
          <w:rFonts w:ascii="Times New Roman" w:hAnsi="Times New Roman"/>
          <w:color w:val="000000"/>
          <w:sz w:val="24"/>
          <w:szCs w:val="24"/>
          <w:lang w:val="en-US"/>
        </w:rPr>
        <w:t xml:space="preserve"> whereas </w:t>
      </w:r>
      <w:r w:rsidRPr="00440535">
        <w:rPr>
          <w:rFonts w:ascii="Times New Roman" w:hAnsi="Times New Roman"/>
          <w:color w:val="000000"/>
          <w:sz w:val="24"/>
          <w:szCs w:val="24"/>
          <w:lang w:val="en-US"/>
        </w:rPr>
        <w:t xml:space="preserve">SAR provides higher spatial resolution in the along-track direction (~ </w:t>
      </w:r>
      <w:r w:rsidR="007A12B9">
        <w:rPr>
          <w:rFonts w:ascii="Times New Roman" w:hAnsi="Times New Roman"/>
          <w:color w:val="000000"/>
          <w:sz w:val="24"/>
          <w:szCs w:val="24"/>
          <w:lang w:val="en-US"/>
        </w:rPr>
        <w:t xml:space="preserve">380 </w:t>
      </w:r>
      <w:r w:rsidR="007A12B9" w:rsidRPr="00440535">
        <w:rPr>
          <w:rFonts w:ascii="Times New Roman" w:hAnsi="Times New Roman"/>
          <w:color w:val="000000"/>
          <w:sz w:val="24"/>
          <w:szCs w:val="24"/>
          <w:lang w:val="en-US"/>
        </w:rPr>
        <w:t>m</w:t>
      </w:r>
      <w:r w:rsidRPr="00440535">
        <w:rPr>
          <w:rFonts w:ascii="Times New Roman" w:hAnsi="Times New Roman"/>
          <w:color w:val="000000"/>
          <w:sz w:val="24"/>
          <w:szCs w:val="24"/>
          <w:lang w:val="en-US"/>
        </w:rPr>
        <w:t>)</w:t>
      </w:r>
      <w:r w:rsidRPr="007964F3">
        <w:rPr>
          <w:rFonts w:ascii="Times New Roman" w:hAnsi="Times New Roman"/>
          <w:color w:val="000000"/>
          <w:sz w:val="24"/>
          <w:szCs w:val="24"/>
          <w:lang w:val="en-US"/>
        </w:rPr>
        <w:t xml:space="preserve"> </w:t>
      </w:r>
      <w:r w:rsidRPr="00440535">
        <w:rPr>
          <w:rFonts w:ascii="Times New Roman" w:hAnsi="Times New Roman"/>
          <w:color w:val="000000"/>
          <w:sz w:val="24"/>
          <w:szCs w:val="24"/>
          <w:lang w:val="en-US"/>
        </w:rPr>
        <w:t>by exploiting coherent processing of groups of transmitted pulses (</w:t>
      </w:r>
      <w:r>
        <w:rPr>
          <w:rFonts w:ascii="Times New Roman" w:hAnsi="Times New Roman"/>
          <w:color w:val="000000"/>
          <w:sz w:val="24"/>
          <w:szCs w:val="24"/>
          <w:lang w:val="en-US"/>
        </w:rPr>
        <w:t>Raney, 1998</w:t>
      </w:r>
      <w:r w:rsidRPr="00440535">
        <w:rPr>
          <w:rFonts w:ascii="Times New Roman" w:hAnsi="Times New Roman"/>
          <w:color w:val="000000"/>
          <w:sz w:val="24"/>
          <w:szCs w:val="24"/>
          <w:lang w:val="en-US"/>
        </w:rPr>
        <w:t>)</w:t>
      </w:r>
      <w:r>
        <w:rPr>
          <w:rFonts w:ascii="Times New Roman" w:hAnsi="Times New Roman"/>
          <w:color w:val="000000"/>
          <w:sz w:val="24"/>
          <w:szCs w:val="24"/>
          <w:lang w:val="en-US"/>
        </w:rPr>
        <w:t xml:space="preserve">. In </w:t>
      </w:r>
      <w:r w:rsidRPr="00440535">
        <w:rPr>
          <w:rFonts w:ascii="Times New Roman" w:hAnsi="Times New Roman"/>
          <w:color w:val="000000"/>
          <w:sz w:val="24"/>
          <w:szCs w:val="24"/>
          <w:lang w:val="en-US"/>
        </w:rPr>
        <w:t>SAR</w:t>
      </w:r>
      <w:r>
        <w:rPr>
          <w:rFonts w:ascii="Times New Roman" w:hAnsi="Times New Roman"/>
          <w:color w:val="000000"/>
          <w:sz w:val="24"/>
          <w:szCs w:val="24"/>
          <w:lang w:val="en-US"/>
        </w:rPr>
        <w:t>I</w:t>
      </w:r>
      <w:r w:rsidRPr="00440535">
        <w:rPr>
          <w:rFonts w:ascii="Times New Roman" w:hAnsi="Times New Roman"/>
          <w:color w:val="000000"/>
          <w:sz w:val="24"/>
          <w:szCs w:val="24"/>
          <w:lang w:val="en-US"/>
        </w:rPr>
        <w:t>n mode</w:t>
      </w:r>
      <w:r>
        <w:rPr>
          <w:rFonts w:ascii="Times New Roman" w:hAnsi="Times New Roman"/>
          <w:color w:val="000000"/>
          <w:sz w:val="24"/>
          <w:szCs w:val="24"/>
          <w:lang w:val="en-US"/>
        </w:rPr>
        <w:t xml:space="preserve"> </w:t>
      </w:r>
      <w:r w:rsidRPr="00440535">
        <w:rPr>
          <w:rFonts w:ascii="Times New Roman" w:hAnsi="Times New Roman"/>
          <w:color w:val="000000"/>
          <w:sz w:val="24"/>
          <w:szCs w:val="24"/>
          <w:lang w:val="en-US"/>
        </w:rPr>
        <w:t xml:space="preserve">a second antenna is used to form a synthetic aperture interferometer across the satellite </w:t>
      </w:r>
      <w:r w:rsidR="009045D8" w:rsidRPr="00440535">
        <w:rPr>
          <w:rFonts w:ascii="Times New Roman" w:hAnsi="Times New Roman"/>
          <w:color w:val="000000"/>
          <w:sz w:val="24"/>
          <w:szCs w:val="24"/>
          <w:lang w:val="en-US"/>
        </w:rPr>
        <w:t>track</w:t>
      </w:r>
      <w:r w:rsidR="009045D8">
        <w:rPr>
          <w:rFonts w:ascii="Times New Roman" w:hAnsi="Times New Roman"/>
          <w:color w:val="000000"/>
          <w:sz w:val="24"/>
          <w:szCs w:val="24"/>
          <w:lang w:val="en-US"/>
        </w:rPr>
        <w:t>, which</w:t>
      </w:r>
      <w:r>
        <w:rPr>
          <w:rFonts w:ascii="Times New Roman" w:hAnsi="Times New Roman"/>
          <w:color w:val="000000"/>
          <w:sz w:val="24"/>
          <w:szCs w:val="24"/>
          <w:lang w:val="en-US"/>
        </w:rPr>
        <w:t xml:space="preserve"> allows determination of the across-track location of the surface. The mode is switched according to a dynamical geographical mask (see Figure 1), which is primarily set depending on the characteristics of the surface over which measurements are being taken as illustrated in Figure 1.</w:t>
      </w:r>
      <w:r w:rsidRPr="00440535">
        <w:rPr>
          <w:rFonts w:ascii="Times New Roman" w:hAnsi="Times New Roman"/>
          <w:color w:val="000000"/>
          <w:sz w:val="24"/>
          <w:szCs w:val="24"/>
          <w:lang w:val="en-US"/>
        </w:rPr>
        <w:t xml:space="preserve"> </w:t>
      </w:r>
    </w:p>
    <w:p w14:paraId="502102AA" w14:textId="77777777" w:rsidR="00830425" w:rsidRDefault="00201F8C" w:rsidP="00A42484">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lastRenderedPageBreak/>
        <w:drawing>
          <wp:inline distT="0" distB="0" distL="0" distR="0" wp14:anchorId="27B77E00" wp14:editId="45699A72">
            <wp:extent cx="4173220" cy="3930015"/>
            <wp:effectExtent l="0" t="0" r="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173220" cy="3930015"/>
                    </a:xfrm>
                    <a:prstGeom prst="rect">
                      <a:avLst/>
                    </a:prstGeom>
                    <a:noFill/>
                    <a:ln>
                      <a:noFill/>
                    </a:ln>
                  </pic:spPr>
                </pic:pic>
              </a:graphicData>
            </a:graphic>
          </wp:inline>
        </w:drawing>
      </w:r>
    </w:p>
    <w:p w14:paraId="1D7018D7" w14:textId="7FEA700E" w:rsidR="00830425" w:rsidRPr="002067DE" w:rsidRDefault="00830425" w:rsidP="00A42484">
      <w:pPr>
        <w:widowControl w:val="0"/>
        <w:autoSpaceDE w:val="0"/>
        <w:autoSpaceDN w:val="0"/>
        <w:adjustRightInd w:val="0"/>
        <w:spacing w:after="0" w:line="480" w:lineRule="auto"/>
        <w:rPr>
          <w:rFonts w:ascii="Times New Roman" w:hAnsi="Times New Roman"/>
          <w:color w:val="000000"/>
          <w:sz w:val="24"/>
          <w:szCs w:val="24"/>
          <w:lang w:val="en-US"/>
        </w:rPr>
      </w:pPr>
      <w:r w:rsidRPr="002067DE">
        <w:rPr>
          <w:rFonts w:ascii="Times New Roman" w:hAnsi="Times New Roman"/>
          <w:b/>
          <w:sz w:val="24"/>
          <w:szCs w:val="24"/>
          <w:lang w:val="en-GB"/>
        </w:rPr>
        <w:t>Figure 1.</w:t>
      </w:r>
      <w:r>
        <w:rPr>
          <w:rFonts w:ascii="Times New Roman" w:hAnsi="Times New Roman"/>
          <w:sz w:val="24"/>
          <w:szCs w:val="24"/>
          <w:lang w:val="en-GB"/>
        </w:rPr>
        <w:t xml:space="preserve"> </w:t>
      </w:r>
      <w:r w:rsidRPr="002067DE">
        <w:rPr>
          <w:rFonts w:ascii="Times New Roman" w:hAnsi="Times New Roman"/>
          <w:color w:val="000000"/>
          <w:sz w:val="24"/>
          <w:szCs w:val="24"/>
          <w:lang w:val="en-US"/>
        </w:rPr>
        <w:t>Extent of the regions defining the geographical mode mask</w:t>
      </w:r>
      <w:r>
        <w:rPr>
          <w:rFonts w:ascii="Times New Roman" w:hAnsi="Times New Roman"/>
          <w:color w:val="000000"/>
          <w:sz w:val="24"/>
          <w:szCs w:val="24"/>
          <w:lang w:val="en-US"/>
        </w:rPr>
        <w:t xml:space="preserve"> </w:t>
      </w:r>
      <w:r w:rsidRPr="002067DE">
        <w:rPr>
          <w:rFonts w:ascii="Times New Roman" w:hAnsi="Times New Roman"/>
          <w:color w:val="000000"/>
          <w:sz w:val="24"/>
          <w:szCs w:val="24"/>
          <w:lang w:val="en-US"/>
        </w:rPr>
        <w:t xml:space="preserve">for </w:t>
      </w:r>
      <w:r>
        <w:rPr>
          <w:rFonts w:ascii="Times New Roman" w:hAnsi="Times New Roman"/>
          <w:color w:val="000000"/>
          <w:sz w:val="24"/>
          <w:szCs w:val="24"/>
          <w:lang w:val="en-US"/>
        </w:rPr>
        <w:t>the first half of May 2015</w:t>
      </w:r>
      <w:r w:rsidR="007A12B9">
        <w:rPr>
          <w:rFonts w:ascii="Times New Roman" w:hAnsi="Times New Roman"/>
          <w:color w:val="000000"/>
          <w:sz w:val="24"/>
          <w:szCs w:val="24"/>
          <w:lang w:val="en-US"/>
        </w:rPr>
        <w:t xml:space="preserve"> (version 3.6 of the mask, which was in use from October 2014 to December 2015)</w:t>
      </w:r>
      <w:r w:rsidRPr="002067DE">
        <w:rPr>
          <w:rFonts w:ascii="Times New Roman" w:hAnsi="Times New Roman"/>
          <w:color w:val="000000"/>
          <w:sz w:val="24"/>
          <w:szCs w:val="24"/>
          <w:lang w:val="en-US"/>
        </w:rPr>
        <w:t>.</w:t>
      </w:r>
      <w:r>
        <w:rPr>
          <w:rFonts w:ascii="Times New Roman" w:hAnsi="Times New Roman"/>
          <w:color w:val="000000"/>
          <w:sz w:val="24"/>
          <w:szCs w:val="24"/>
          <w:lang w:val="en-US"/>
        </w:rPr>
        <w:t xml:space="preserve"> </w:t>
      </w:r>
      <w:r w:rsidRPr="002067DE">
        <w:rPr>
          <w:rFonts w:ascii="Times New Roman" w:hAnsi="Times New Roman"/>
          <w:color w:val="000000"/>
          <w:sz w:val="24"/>
          <w:szCs w:val="24"/>
          <w:lang w:val="en-US"/>
        </w:rPr>
        <w:t>The regions where SAR, and SARIn are operated are denoted by the orange and blue</w:t>
      </w:r>
      <w:r>
        <w:rPr>
          <w:rFonts w:ascii="Times New Roman" w:hAnsi="Times New Roman"/>
          <w:color w:val="000000"/>
          <w:sz w:val="24"/>
          <w:szCs w:val="24"/>
          <w:lang w:val="en-US"/>
        </w:rPr>
        <w:t xml:space="preserve"> </w:t>
      </w:r>
      <w:r w:rsidRPr="002067DE">
        <w:rPr>
          <w:rFonts w:ascii="Times New Roman" w:hAnsi="Times New Roman"/>
          <w:color w:val="000000"/>
          <w:sz w:val="24"/>
          <w:szCs w:val="24"/>
          <w:lang w:val="en-US"/>
        </w:rPr>
        <w:t>polygons, respectively. LRM is operated over areas of the continental ice sheets (red</w:t>
      </w:r>
      <w:r>
        <w:rPr>
          <w:rFonts w:ascii="Times New Roman" w:hAnsi="Times New Roman"/>
          <w:color w:val="000000"/>
          <w:sz w:val="24"/>
          <w:szCs w:val="24"/>
          <w:lang w:val="en-US"/>
        </w:rPr>
        <w:t xml:space="preserve"> </w:t>
      </w:r>
      <w:r w:rsidRPr="002067DE">
        <w:rPr>
          <w:rFonts w:ascii="Times New Roman" w:hAnsi="Times New Roman"/>
          <w:color w:val="000000"/>
          <w:sz w:val="24"/>
          <w:szCs w:val="24"/>
          <w:lang w:val="en-US"/>
        </w:rPr>
        <w:t>polygons) and over oceans and land not covered by other modes.</w:t>
      </w:r>
      <w:r>
        <w:rPr>
          <w:rFonts w:ascii="Times New Roman" w:hAnsi="Times New Roman"/>
          <w:color w:val="000000"/>
          <w:sz w:val="24"/>
          <w:szCs w:val="24"/>
          <w:lang w:val="en-US"/>
        </w:rPr>
        <w:t xml:space="preserve"> </w:t>
      </w:r>
      <w:r>
        <w:rPr>
          <w:rFonts w:ascii="Times New Roman" w:hAnsi="Times New Roman"/>
          <w:sz w:val="24"/>
          <w:szCs w:val="24"/>
          <w:lang w:val="en-US"/>
        </w:rPr>
        <w:t>The thick black lines mark the outer limit of the Arctic and Antarctic polar polygons.</w:t>
      </w:r>
      <w:r>
        <w:rPr>
          <w:rFonts w:ascii="Times New Roman" w:hAnsi="Times New Roman"/>
          <w:color w:val="000000"/>
          <w:sz w:val="24"/>
          <w:szCs w:val="24"/>
          <w:lang w:val="en-US"/>
        </w:rPr>
        <w:t xml:space="preserve"> Numbers denote tide gauge stations used in the validation: Atlantic City (1), Charleston (2), Chatham Is. (3), Chichijima (4), Crescent City (5), Fremantle (6), Key West (7), </w:t>
      </w:r>
      <w:r>
        <w:rPr>
          <w:rFonts w:ascii="Times New Roman" w:hAnsi="Times New Roman"/>
          <w:color w:val="262626"/>
          <w:sz w:val="24"/>
          <w:szCs w:val="24"/>
          <w:lang w:val="en-US"/>
        </w:rPr>
        <w:t>La Coru</w:t>
      </w:r>
      <w:r w:rsidRPr="002B69A4">
        <w:rPr>
          <w:rFonts w:ascii="Times New Roman" w:hAnsi="Times New Roman"/>
          <w:bCs/>
          <w:color w:val="1C1C1C"/>
          <w:sz w:val="24"/>
          <w:szCs w:val="24"/>
          <w:lang w:val="en-US"/>
        </w:rPr>
        <w:t>ñ</w:t>
      </w:r>
      <w:r>
        <w:rPr>
          <w:rFonts w:ascii="Times New Roman" w:hAnsi="Times New Roman"/>
          <w:bCs/>
          <w:color w:val="1C1C1C"/>
          <w:sz w:val="24"/>
          <w:szCs w:val="24"/>
          <w:lang w:val="en-US"/>
        </w:rPr>
        <w:t>a</w:t>
      </w:r>
      <w:r>
        <w:rPr>
          <w:rFonts w:ascii="Times New Roman" w:hAnsi="Times New Roman"/>
          <w:color w:val="000000"/>
          <w:sz w:val="24"/>
          <w:szCs w:val="24"/>
          <w:lang w:val="en-US"/>
        </w:rPr>
        <w:t xml:space="preserve"> (8), Lerwick (9), Lowestoft (10), Maloy (11), Midway lsland (12), Newhaven (13), Newport (14), Papeete (15), Penrhyn (16), Ponta Delgada (17), Rarotonga (18), Spring Bay (19), Trieste (20), Weymouth (21), Workington (22).</w:t>
      </w:r>
    </w:p>
    <w:p w14:paraId="7075A4DA" w14:textId="77777777" w:rsidR="00830425" w:rsidRDefault="00830425" w:rsidP="00A42484">
      <w:pPr>
        <w:spacing w:line="480" w:lineRule="auto"/>
        <w:rPr>
          <w:rFonts w:ascii="Times New Roman" w:hAnsi="Times New Roman"/>
          <w:color w:val="000000"/>
          <w:sz w:val="24"/>
          <w:szCs w:val="24"/>
          <w:lang w:val="en-US"/>
        </w:rPr>
      </w:pPr>
    </w:p>
    <w:p w14:paraId="6C423A9A" w14:textId="1266574D" w:rsidR="00830425" w:rsidRDefault="00830425" w:rsidP="00A42484">
      <w:pPr>
        <w:spacing w:line="480" w:lineRule="auto"/>
        <w:rPr>
          <w:rFonts w:ascii="Times New Roman" w:hAnsi="Times New Roman"/>
          <w:sz w:val="24"/>
          <w:szCs w:val="24"/>
          <w:lang w:val="en-US"/>
        </w:rPr>
      </w:pPr>
      <w:r>
        <w:rPr>
          <w:rFonts w:ascii="Times New Roman" w:hAnsi="Times New Roman"/>
          <w:color w:val="000000"/>
          <w:sz w:val="24"/>
          <w:szCs w:val="24"/>
          <w:lang w:val="en-US"/>
        </w:rPr>
        <w:lastRenderedPageBreak/>
        <w:t>Although the focus of CryoSat-2 is on the cryosphere, its</w:t>
      </w:r>
      <w:r w:rsidRPr="00440535">
        <w:rPr>
          <w:rFonts w:ascii="Times New Roman" w:hAnsi="Times New Roman"/>
          <w:color w:val="000000"/>
          <w:sz w:val="24"/>
          <w:szCs w:val="24"/>
          <w:lang w:val="en-US"/>
        </w:rPr>
        <w:t xml:space="preserve"> applicability extends far beyond t</w:t>
      </w:r>
      <w:r>
        <w:rPr>
          <w:rFonts w:ascii="Times New Roman" w:hAnsi="Times New Roman"/>
          <w:color w:val="000000"/>
          <w:sz w:val="24"/>
          <w:szCs w:val="24"/>
          <w:lang w:val="en-US"/>
        </w:rPr>
        <w:t xml:space="preserve">he sole framework of the Polar </w:t>
      </w:r>
      <w:r w:rsidR="009045D8">
        <w:rPr>
          <w:rFonts w:ascii="Times New Roman" w:hAnsi="Times New Roman"/>
          <w:color w:val="000000"/>
          <w:sz w:val="24"/>
          <w:szCs w:val="24"/>
          <w:lang w:val="en-US"/>
        </w:rPr>
        <w:t>Regions</w:t>
      </w:r>
      <w:r w:rsidRPr="00440535">
        <w:rPr>
          <w:rFonts w:ascii="Times New Roman" w:hAnsi="Times New Roman"/>
          <w:color w:val="000000"/>
          <w:sz w:val="24"/>
          <w:szCs w:val="24"/>
          <w:lang w:val="en-US"/>
        </w:rPr>
        <w:t xml:space="preserve">. </w:t>
      </w:r>
      <w:r>
        <w:rPr>
          <w:rFonts w:ascii="Times New Roman" w:hAnsi="Times New Roman"/>
          <w:color w:val="000000"/>
          <w:sz w:val="24"/>
          <w:szCs w:val="24"/>
          <w:lang w:val="en-US"/>
        </w:rPr>
        <w:t xml:space="preserve">For instance, </w:t>
      </w:r>
      <w:r w:rsidRPr="00E65571">
        <w:rPr>
          <w:rFonts w:ascii="Times New Roman" w:hAnsi="Times New Roman"/>
          <w:color w:val="000000"/>
          <w:sz w:val="24"/>
          <w:szCs w:val="24"/>
          <w:lang w:val="en-US"/>
        </w:rPr>
        <w:t>CryoSat-2 observations have been used in combination with data from other altimetry missions to construct a global marine gravity model with improved accuracy relative to previous models (Sandwell et al., 2014).</w:t>
      </w:r>
      <w:r>
        <w:rPr>
          <w:rFonts w:ascii="Times New Roman" w:hAnsi="Times New Roman"/>
          <w:color w:val="000000"/>
          <w:sz w:val="24"/>
          <w:szCs w:val="24"/>
          <w:lang w:val="en-US"/>
        </w:rPr>
        <w:t xml:space="preserve"> Also, </w:t>
      </w:r>
      <w:r w:rsidRPr="00440535">
        <w:rPr>
          <w:rFonts w:ascii="Times New Roman" w:hAnsi="Times New Roman"/>
          <w:color w:val="000000"/>
          <w:sz w:val="24"/>
          <w:szCs w:val="24"/>
          <w:lang w:val="en-US"/>
        </w:rPr>
        <w:t xml:space="preserve">Dibarboure et al. (2012) </w:t>
      </w:r>
      <w:r>
        <w:rPr>
          <w:rFonts w:ascii="Times New Roman" w:hAnsi="Times New Roman"/>
          <w:color w:val="000000"/>
          <w:sz w:val="24"/>
          <w:szCs w:val="24"/>
          <w:lang w:val="en-US"/>
        </w:rPr>
        <w:t xml:space="preserve">explored and </w:t>
      </w:r>
      <w:r w:rsidRPr="00440535">
        <w:rPr>
          <w:rFonts w:ascii="Times New Roman" w:hAnsi="Times New Roman"/>
          <w:color w:val="000000"/>
          <w:sz w:val="24"/>
          <w:szCs w:val="24"/>
          <w:lang w:val="en-US"/>
        </w:rPr>
        <w:t>demonstrated the feasibility of using CryoSat-2 data to explore mesoscale processes in the ocean.</w:t>
      </w:r>
      <w:r>
        <w:rPr>
          <w:rFonts w:ascii="Times New Roman" w:hAnsi="Times New Roman"/>
          <w:color w:val="000000"/>
          <w:sz w:val="24"/>
          <w:szCs w:val="24"/>
          <w:lang w:val="en-US"/>
        </w:rPr>
        <w:t xml:space="preserve"> </w:t>
      </w:r>
      <w:r w:rsidRPr="004E238A">
        <w:rPr>
          <w:rFonts w:ascii="Times New Roman" w:hAnsi="Times New Roman"/>
          <w:color w:val="000000"/>
          <w:sz w:val="24"/>
          <w:szCs w:val="24"/>
          <w:lang w:val="en-US"/>
        </w:rPr>
        <w:t xml:space="preserve">The CryoSat </w:t>
      </w:r>
      <w:r>
        <w:rPr>
          <w:rFonts w:ascii="Times New Roman" w:hAnsi="Times New Roman"/>
          <w:color w:val="000000"/>
          <w:sz w:val="24"/>
          <w:szCs w:val="24"/>
          <w:lang w:val="en-US"/>
        </w:rPr>
        <w:t>Mission Management</w:t>
      </w:r>
      <w:r w:rsidRPr="004E238A">
        <w:rPr>
          <w:rFonts w:ascii="Times New Roman" w:hAnsi="Times New Roman"/>
          <w:color w:val="000000"/>
          <w:sz w:val="24"/>
          <w:szCs w:val="24"/>
          <w:lang w:val="en-US"/>
        </w:rPr>
        <w:t xml:space="preserve"> has </w:t>
      </w:r>
      <w:r>
        <w:rPr>
          <w:rFonts w:ascii="Times New Roman" w:hAnsi="Times New Roman"/>
          <w:color w:val="000000"/>
          <w:sz w:val="24"/>
          <w:szCs w:val="24"/>
          <w:lang w:val="en-US"/>
        </w:rPr>
        <w:t xml:space="preserve">thus </w:t>
      </w:r>
      <w:r w:rsidRPr="004E238A">
        <w:rPr>
          <w:rFonts w:ascii="Times New Roman" w:hAnsi="Times New Roman"/>
          <w:color w:val="000000"/>
          <w:sz w:val="24"/>
          <w:szCs w:val="24"/>
          <w:lang w:val="en-US"/>
        </w:rPr>
        <w:t>appro</w:t>
      </w:r>
      <w:r>
        <w:rPr>
          <w:rFonts w:ascii="Times New Roman" w:hAnsi="Times New Roman"/>
          <w:color w:val="000000"/>
          <w:sz w:val="24"/>
          <w:szCs w:val="24"/>
          <w:lang w:val="en-US"/>
        </w:rPr>
        <w:t xml:space="preserve">ved, in the frame of the CryoSat-2 </w:t>
      </w:r>
      <w:r w:rsidRPr="004E238A">
        <w:rPr>
          <w:rFonts w:ascii="Times New Roman" w:hAnsi="Times New Roman"/>
          <w:color w:val="000000"/>
          <w:sz w:val="24"/>
          <w:szCs w:val="24"/>
          <w:lang w:val="en-US"/>
        </w:rPr>
        <w:t>routine phase, the generation of additional ocean products</w:t>
      </w:r>
      <w:r>
        <w:rPr>
          <w:rFonts w:ascii="Times New Roman" w:hAnsi="Times New Roman"/>
          <w:color w:val="000000"/>
          <w:sz w:val="24"/>
          <w:szCs w:val="24"/>
          <w:lang w:val="en-US"/>
        </w:rPr>
        <w:t>, namely the Interim Ocean Product (IOP) and the Geophysical Ocean Product (GOP). These new ocean products have been</w:t>
      </w:r>
      <w:r w:rsidRPr="004E238A">
        <w:rPr>
          <w:rFonts w:ascii="Times New Roman" w:hAnsi="Times New Roman"/>
          <w:color w:val="000000"/>
          <w:sz w:val="24"/>
          <w:szCs w:val="24"/>
          <w:lang w:val="en-US"/>
        </w:rPr>
        <w:t xml:space="preserve"> </w:t>
      </w:r>
      <w:r w:rsidR="00A97DC3">
        <w:rPr>
          <w:rFonts w:ascii="Times New Roman" w:hAnsi="Times New Roman"/>
          <w:color w:val="000000"/>
          <w:sz w:val="24"/>
          <w:szCs w:val="24"/>
          <w:lang w:val="en-US"/>
        </w:rPr>
        <w:t xml:space="preserve">generated and made </w:t>
      </w:r>
      <w:r w:rsidRPr="004E238A">
        <w:rPr>
          <w:rFonts w:ascii="Times New Roman" w:hAnsi="Times New Roman"/>
          <w:color w:val="000000"/>
          <w:sz w:val="24"/>
          <w:szCs w:val="24"/>
          <w:lang w:val="en-US"/>
        </w:rPr>
        <w:t>available since April 2014</w:t>
      </w:r>
      <w:r w:rsidR="009045D8">
        <w:rPr>
          <w:rFonts w:ascii="Times New Roman" w:hAnsi="Times New Roman"/>
          <w:color w:val="000000"/>
          <w:sz w:val="24"/>
          <w:szCs w:val="24"/>
          <w:lang w:val="en-US"/>
        </w:rPr>
        <w:t xml:space="preserve"> and </w:t>
      </w:r>
      <w:r w:rsidR="00A97DC3">
        <w:rPr>
          <w:rFonts w:ascii="Times New Roman" w:hAnsi="Times New Roman"/>
          <w:color w:val="000000"/>
          <w:sz w:val="24"/>
          <w:szCs w:val="24"/>
          <w:lang w:val="en-US"/>
        </w:rPr>
        <w:t>the archive should be complete (i.e. with the reprocessed GOP avail</w:t>
      </w:r>
      <w:r w:rsidR="0074228C">
        <w:rPr>
          <w:rFonts w:ascii="Times New Roman" w:hAnsi="Times New Roman"/>
          <w:color w:val="000000"/>
          <w:sz w:val="24"/>
          <w:szCs w:val="24"/>
          <w:lang w:val="en-US"/>
        </w:rPr>
        <w:t>a</w:t>
      </w:r>
      <w:r w:rsidR="00A97DC3">
        <w:rPr>
          <w:rFonts w:ascii="Times New Roman" w:hAnsi="Times New Roman"/>
          <w:color w:val="000000"/>
          <w:sz w:val="24"/>
          <w:szCs w:val="24"/>
          <w:lang w:val="en-US"/>
        </w:rPr>
        <w:t>ble from the beginning of the mission in 2010)</w:t>
      </w:r>
      <w:r w:rsidR="009045D8">
        <w:rPr>
          <w:rFonts w:ascii="Times New Roman" w:hAnsi="Times New Roman"/>
          <w:color w:val="000000"/>
          <w:sz w:val="24"/>
          <w:szCs w:val="24"/>
          <w:lang w:val="en-US"/>
        </w:rPr>
        <w:t xml:space="preserve"> </w:t>
      </w:r>
      <w:r w:rsidR="00055885">
        <w:rPr>
          <w:rFonts w:ascii="Times New Roman" w:hAnsi="Times New Roman"/>
          <w:color w:val="000000"/>
          <w:sz w:val="24"/>
          <w:szCs w:val="24"/>
          <w:lang w:val="en-US"/>
        </w:rPr>
        <w:t>by the end of</w:t>
      </w:r>
      <w:r w:rsidR="009045D8">
        <w:rPr>
          <w:rFonts w:ascii="Times New Roman" w:hAnsi="Times New Roman"/>
          <w:color w:val="000000"/>
          <w:sz w:val="24"/>
          <w:szCs w:val="24"/>
          <w:lang w:val="en-US"/>
        </w:rPr>
        <w:t xml:space="preserve"> 2016</w:t>
      </w:r>
      <w:r w:rsidR="00055885">
        <w:rPr>
          <w:rFonts w:ascii="Times New Roman" w:hAnsi="Times New Roman"/>
          <w:color w:val="000000"/>
          <w:sz w:val="24"/>
          <w:szCs w:val="24"/>
          <w:lang w:val="en-US"/>
        </w:rPr>
        <w:t xml:space="preserve"> (Bouffard et al., 2016)</w:t>
      </w:r>
      <w:r w:rsidRPr="004E238A">
        <w:rPr>
          <w:rFonts w:ascii="Times New Roman" w:hAnsi="Times New Roman"/>
          <w:color w:val="000000"/>
          <w:sz w:val="24"/>
          <w:szCs w:val="24"/>
          <w:lang w:val="en-US"/>
        </w:rPr>
        <w:t xml:space="preserve">. </w:t>
      </w:r>
      <w:r>
        <w:rPr>
          <w:rFonts w:ascii="Times New Roman" w:hAnsi="Times New Roman"/>
          <w:color w:val="000000"/>
          <w:sz w:val="24"/>
          <w:szCs w:val="24"/>
          <w:lang w:val="en-US"/>
        </w:rPr>
        <w:t>Our focus here is on the GOP data (hereafter C2 GOP), which have</w:t>
      </w:r>
      <w:r w:rsidRPr="004E238A">
        <w:rPr>
          <w:rFonts w:ascii="Times New Roman" w:hAnsi="Times New Roman"/>
          <w:color w:val="000000"/>
          <w:sz w:val="24"/>
          <w:szCs w:val="24"/>
          <w:lang w:val="en-US"/>
        </w:rPr>
        <w:t xml:space="preserve"> consolidated orbits and</w:t>
      </w:r>
      <w:r>
        <w:rPr>
          <w:rFonts w:ascii="Times New Roman" w:hAnsi="Times New Roman"/>
          <w:color w:val="000000"/>
          <w:sz w:val="24"/>
          <w:szCs w:val="24"/>
          <w:lang w:val="en-US"/>
        </w:rPr>
        <w:t xml:space="preserve"> are</w:t>
      </w:r>
      <w:r w:rsidRPr="004E238A">
        <w:rPr>
          <w:rFonts w:ascii="Times New Roman" w:hAnsi="Times New Roman"/>
          <w:color w:val="000000"/>
          <w:sz w:val="24"/>
          <w:szCs w:val="24"/>
          <w:lang w:val="en-US"/>
        </w:rPr>
        <w:t xml:space="preserve"> available 30 days after acquisition</w:t>
      </w:r>
      <w:r>
        <w:rPr>
          <w:rFonts w:ascii="Times New Roman" w:hAnsi="Times New Roman"/>
          <w:color w:val="000000"/>
          <w:sz w:val="24"/>
          <w:szCs w:val="24"/>
          <w:lang w:val="en-US"/>
        </w:rPr>
        <w:t xml:space="preserve">. </w:t>
      </w:r>
      <w:r>
        <w:rPr>
          <w:rFonts w:ascii="Times New Roman" w:hAnsi="Times New Roman"/>
          <w:sz w:val="24"/>
          <w:szCs w:val="24"/>
          <w:lang w:val="en-US"/>
        </w:rPr>
        <w:t xml:space="preserve">It is important to note that, at present, the SAR mode data in the new IOP and GOP are processed into </w:t>
      </w:r>
      <w:r w:rsidR="00055885">
        <w:rPr>
          <w:rFonts w:ascii="Times New Roman" w:hAnsi="Times New Roman"/>
          <w:sz w:val="24"/>
          <w:szCs w:val="24"/>
          <w:lang w:val="en-US"/>
        </w:rPr>
        <w:t xml:space="preserve">the so </w:t>
      </w:r>
      <w:r>
        <w:rPr>
          <w:rFonts w:ascii="Times New Roman" w:hAnsi="Times New Roman"/>
          <w:sz w:val="24"/>
          <w:szCs w:val="24"/>
          <w:lang w:val="en-US"/>
        </w:rPr>
        <w:t xml:space="preserve">called pseudo-LRM measurements (PLRM), and no full SAR processing is yet </w:t>
      </w:r>
      <w:r w:rsidR="00055885">
        <w:rPr>
          <w:rFonts w:ascii="Times New Roman" w:hAnsi="Times New Roman"/>
          <w:sz w:val="24"/>
          <w:szCs w:val="24"/>
          <w:lang w:val="en-US"/>
        </w:rPr>
        <w:t xml:space="preserve">operationally </w:t>
      </w:r>
      <w:r>
        <w:rPr>
          <w:rFonts w:ascii="Times New Roman" w:hAnsi="Times New Roman"/>
          <w:sz w:val="24"/>
          <w:szCs w:val="24"/>
          <w:lang w:val="en-US"/>
        </w:rPr>
        <w:t>implemented</w:t>
      </w:r>
      <w:r w:rsidR="00AE1B4D">
        <w:rPr>
          <w:rFonts w:ascii="Times New Roman" w:hAnsi="Times New Roman"/>
          <w:sz w:val="24"/>
          <w:szCs w:val="24"/>
          <w:lang w:val="en-US"/>
        </w:rPr>
        <w:t xml:space="preserve">. The PLRM or ‘reduced SAR’ echoes are created by grouping and summing the SAR mode echoes into </w:t>
      </w:r>
      <w:r w:rsidR="00AE1B4D" w:rsidRPr="00AE1B4D">
        <w:rPr>
          <w:rFonts w:ascii="Times New Roman" w:hAnsi="Times New Roman"/>
          <w:sz w:val="24"/>
          <w:szCs w:val="24"/>
          <w:lang w:val="en-US"/>
        </w:rPr>
        <w:t>LRM-like power waveforms</w:t>
      </w:r>
      <w:r w:rsidR="007A0733">
        <w:rPr>
          <w:rFonts w:ascii="Times New Roman" w:hAnsi="Times New Roman"/>
          <w:sz w:val="24"/>
          <w:szCs w:val="24"/>
          <w:lang w:val="en-US"/>
        </w:rPr>
        <w:t>,</w:t>
      </w:r>
      <w:r w:rsidR="00AE1B4D" w:rsidRPr="00AE1B4D">
        <w:rPr>
          <w:rFonts w:ascii="Times New Roman" w:hAnsi="Times New Roman"/>
          <w:sz w:val="24"/>
          <w:szCs w:val="24"/>
          <w:lang w:val="en-US"/>
        </w:rPr>
        <w:t xml:space="preserve"> </w:t>
      </w:r>
      <w:r w:rsidR="00AE1B4D">
        <w:rPr>
          <w:rFonts w:ascii="Times New Roman" w:hAnsi="Times New Roman"/>
          <w:sz w:val="24"/>
          <w:szCs w:val="24"/>
          <w:lang w:val="en-US"/>
        </w:rPr>
        <w:t xml:space="preserve">which </w:t>
      </w:r>
      <w:r w:rsidR="00AE1B4D" w:rsidRPr="00AE1B4D">
        <w:rPr>
          <w:rFonts w:ascii="Times New Roman" w:hAnsi="Times New Roman"/>
          <w:sz w:val="24"/>
          <w:szCs w:val="24"/>
          <w:lang w:val="en-US"/>
        </w:rPr>
        <w:t>are then processed as LRM waveforms</w:t>
      </w:r>
      <w:r>
        <w:rPr>
          <w:rFonts w:ascii="Times New Roman" w:hAnsi="Times New Roman"/>
          <w:sz w:val="24"/>
          <w:szCs w:val="24"/>
          <w:lang w:val="en-US"/>
        </w:rPr>
        <w:t xml:space="preserve"> (</w:t>
      </w:r>
      <w:r w:rsidR="00BA2036">
        <w:rPr>
          <w:rFonts w:ascii="Times New Roman" w:hAnsi="Times New Roman"/>
          <w:sz w:val="24"/>
          <w:szCs w:val="24"/>
          <w:lang w:val="en-US"/>
        </w:rPr>
        <w:t xml:space="preserve">for more details </w:t>
      </w:r>
      <w:r>
        <w:rPr>
          <w:rFonts w:ascii="Times New Roman" w:hAnsi="Times New Roman"/>
          <w:sz w:val="24"/>
          <w:szCs w:val="24"/>
          <w:lang w:val="en-US"/>
        </w:rPr>
        <w:t>see</w:t>
      </w:r>
      <w:r w:rsidR="00357274">
        <w:rPr>
          <w:rFonts w:ascii="Times New Roman" w:hAnsi="Times New Roman"/>
          <w:sz w:val="24"/>
          <w:szCs w:val="24"/>
          <w:lang w:val="en-US"/>
        </w:rPr>
        <w:t xml:space="preserve"> section</w:t>
      </w:r>
      <w:r w:rsidR="00EC761D">
        <w:rPr>
          <w:rFonts w:ascii="Times New Roman" w:hAnsi="Times New Roman"/>
          <w:sz w:val="24"/>
          <w:szCs w:val="24"/>
          <w:lang w:val="en-US"/>
        </w:rPr>
        <w:t>s</w:t>
      </w:r>
      <w:r w:rsidR="00357274">
        <w:rPr>
          <w:rFonts w:ascii="Times New Roman" w:hAnsi="Times New Roman"/>
          <w:sz w:val="24"/>
          <w:szCs w:val="24"/>
          <w:lang w:val="en-US"/>
        </w:rPr>
        <w:t xml:space="preserve"> 2.1 </w:t>
      </w:r>
      <w:r w:rsidR="00EC761D">
        <w:rPr>
          <w:rFonts w:ascii="Times New Roman" w:hAnsi="Times New Roman"/>
          <w:sz w:val="24"/>
          <w:szCs w:val="24"/>
          <w:lang w:val="en-US"/>
        </w:rPr>
        <w:t xml:space="preserve">and 3.1, </w:t>
      </w:r>
      <w:r w:rsidR="00357274">
        <w:rPr>
          <w:rFonts w:ascii="Times New Roman" w:hAnsi="Times New Roman"/>
          <w:sz w:val="24"/>
          <w:szCs w:val="24"/>
          <w:lang w:val="en-US"/>
        </w:rPr>
        <w:t>and</w:t>
      </w:r>
      <w:r>
        <w:rPr>
          <w:rFonts w:ascii="Times New Roman" w:hAnsi="Times New Roman"/>
          <w:sz w:val="24"/>
          <w:szCs w:val="24"/>
          <w:lang w:val="en-US"/>
        </w:rPr>
        <w:t xml:space="preserve"> </w:t>
      </w:r>
      <w:r w:rsidR="00BA2036">
        <w:rPr>
          <w:rFonts w:ascii="Times New Roman" w:hAnsi="Times New Roman"/>
          <w:sz w:val="24"/>
          <w:szCs w:val="24"/>
          <w:lang w:val="en-US"/>
        </w:rPr>
        <w:t xml:space="preserve">the </w:t>
      </w:r>
      <w:r>
        <w:rPr>
          <w:rFonts w:ascii="Times New Roman" w:hAnsi="Times New Roman"/>
          <w:sz w:val="24"/>
          <w:szCs w:val="24"/>
          <w:lang w:val="en-US"/>
        </w:rPr>
        <w:t xml:space="preserve">CryoSat Product Handbook at </w:t>
      </w:r>
      <w:hyperlink r:id="rId9" w:history="1">
        <w:r w:rsidRPr="00760C80">
          <w:rPr>
            <w:rStyle w:val="Hyperlink"/>
            <w:rFonts w:ascii="Times New Roman" w:hAnsi="Times New Roman"/>
            <w:sz w:val="24"/>
            <w:szCs w:val="24"/>
            <w:lang w:val="en-US"/>
          </w:rPr>
          <w:t>https://earth.esa.int/documents</w:t>
        </w:r>
      </w:hyperlink>
      <w:r>
        <w:rPr>
          <w:rFonts w:ascii="Times New Roman" w:hAnsi="Times New Roman"/>
          <w:sz w:val="24"/>
          <w:szCs w:val="24"/>
          <w:lang w:val="en-US"/>
        </w:rPr>
        <w:t xml:space="preserve">). </w:t>
      </w:r>
      <w:r w:rsidR="00A97DC3">
        <w:rPr>
          <w:rFonts w:ascii="Times New Roman" w:hAnsi="Times New Roman"/>
          <w:sz w:val="24"/>
          <w:szCs w:val="24"/>
          <w:lang w:val="en-US"/>
        </w:rPr>
        <w:t>Adding full SAR mode processing</w:t>
      </w:r>
      <w:r w:rsidR="00055885">
        <w:rPr>
          <w:rFonts w:ascii="Times New Roman" w:hAnsi="Times New Roman"/>
          <w:sz w:val="24"/>
          <w:szCs w:val="24"/>
          <w:lang w:val="en-US"/>
        </w:rPr>
        <w:t xml:space="preserve"> will be part of </w:t>
      </w:r>
      <w:r w:rsidR="00A97DC3">
        <w:rPr>
          <w:rFonts w:ascii="Times New Roman" w:hAnsi="Times New Roman"/>
          <w:sz w:val="24"/>
          <w:szCs w:val="24"/>
          <w:lang w:val="en-US"/>
        </w:rPr>
        <w:t xml:space="preserve">a </w:t>
      </w:r>
      <w:r w:rsidR="00055885">
        <w:rPr>
          <w:rFonts w:ascii="Times New Roman" w:hAnsi="Times New Roman"/>
          <w:sz w:val="24"/>
          <w:szCs w:val="24"/>
          <w:lang w:val="en-US"/>
        </w:rPr>
        <w:t xml:space="preserve">significant GOP processing upgrade, which should be </w:t>
      </w:r>
      <w:r w:rsidR="00DB4E28">
        <w:rPr>
          <w:rFonts w:ascii="Times New Roman" w:hAnsi="Times New Roman"/>
          <w:sz w:val="24"/>
          <w:szCs w:val="24"/>
          <w:lang w:val="en-US"/>
        </w:rPr>
        <w:t xml:space="preserve">in </w:t>
      </w:r>
      <w:r w:rsidR="00055885">
        <w:rPr>
          <w:rFonts w:ascii="Times New Roman" w:hAnsi="Times New Roman"/>
          <w:sz w:val="24"/>
          <w:szCs w:val="24"/>
          <w:lang w:val="en-US"/>
        </w:rPr>
        <w:t xml:space="preserve">operation </w:t>
      </w:r>
      <w:r w:rsidR="00A97DC3">
        <w:rPr>
          <w:rFonts w:ascii="Times New Roman" w:hAnsi="Times New Roman"/>
          <w:sz w:val="24"/>
          <w:szCs w:val="24"/>
          <w:lang w:val="en-US"/>
        </w:rPr>
        <w:t>in</w:t>
      </w:r>
      <w:r w:rsidR="00055885">
        <w:rPr>
          <w:rFonts w:ascii="Times New Roman" w:hAnsi="Times New Roman"/>
          <w:sz w:val="24"/>
          <w:szCs w:val="24"/>
          <w:lang w:val="en-US"/>
        </w:rPr>
        <w:t xml:space="preserve"> mid 2017</w:t>
      </w:r>
      <w:r w:rsidR="00DB4E28">
        <w:rPr>
          <w:rFonts w:ascii="Times New Roman" w:hAnsi="Times New Roman"/>
          <w:sz w:val="24"/>
          <w:szCs w:val="24"/>
          <w:lang w:val="en-US"/>
        </w:rPr>
        <w:t xml:space="preserve"> (Bouffard et al, 2016)</w:t>
      </w:r>
      <w:r w:rsidR="00055885">
        <w:rPr>
          <w:rFonts w:ascii="Times New Roman" w:hAnsi="Times New Roman"/>
          <w:sz w:val="24"/>
          <w:szCs w:val="24"/>
          <w:lang w:val="en-US"/>
        </w:rPr>
        <w:t xml:space="preserve">. </w:t>
      </w:r>
      <w:r>
        <w:rPr>
          <w:rFonts w:ascii="Times New Roman" w:hAnsi="Times New Roman"/>
          <w:sz w:val="24"/>
          <w:szCs w:val="24"/>
          <w:lang w:val="en-US"/>
        </w:rPr>
        <w:t xml:space="preserve">Therefore, our assessment and validation </w:t>
      </w:r>
      <w:r w:rsidR="00055885">
        <w:rPr>
          <w:rFonts w:ascii="Times New Roman" w:hAnsi="Times New Roman"/>
          <w:sz w:val="24"/>
          <w:szCs w:val="24"/>
          <w:lang w:val="en-US"/>
        </w:rPr>
        <w:t xml:space="preserve">here </w:t>
      </w:r>
      <w:r>
        <w:rPr>
          <w:rFonts w:ascii="Times New Roman" w:hAnsi="Times New Roman"/>
          <w:sz w:val="24"/>
          <w:szCs w:val="24"/>
          <w:lang w:val="en-US"/>
        </w:rPr>
        <w:t>involves only LRM and PLRM data over the oceans.</w:t>
      </w:r>
    </w:p>
    <w:p w14:paraId="43CF0614" w14:textId="1975B6F5" w:rsidR="00830425" w:rsidRDefault="00830425" w:rsidP="00A42484">
      <w:pPr>
        <w:spacing w:line="480" w:lineRule="auto"/>
        <w:rPr>
          <w:rFonts w:ascii="Times New Roman" w:hAnsi="Times New Roman"/>
          <w:color w:val="000000"/>
          <w:sz w:val="24"/>
          <w:szCs w:val="24"/>
          <w:lang w:val="en-US"/>
        </w:rPr>
      </w:pPr>
      <w:r>
        <w:rPr>
          <w:rFonts w:ascii="Times New Roman" w:hAnsi="Times New Roman"/>
          <w:color w:val="000000"/>
          <w:sz w:val="24"/>
          <w:szCs w:val="24"/>
          <w:lang w:val="en-US"/>
        </w:rPr>
        <w:t xml:space="preserve">In this paper, we first show the results of a global assessment of the C2 GOP sea surface height anomaly (SSHA), SWH, and sigma0 in terms of measurement noise, along-track spectral analysis and crossover analysis. We then present a global validation of the new GOP SSHA, SWH and wind speed against a variety of </w:t>
      </w:r>
      <w:r w:rsidRPr="00440535">
        <w:rPr>
          <w:rFonts w:ascii="Times New Roman" w:hAnsi="Times New Roman"/>
          <w:i/>
          <w:color w:val="000000"/>
          <w:sz w:val="24"/>
          <w:szCs w:val="24"/>
          <w:lang w:val="en-US"/>
        </w:rPr>
        <w:t>in situ</w:t>
      </w:r>
      <w:r>
        <w:rPr>
          <w:rFonts w:ascii="Times New Roman" w:hAnsi="Times New Roman"/>
          <w:color w:val="000000"/>
          <w:sz w:val="24"/>
          <w:szCs w:val="24"/>
          <w:lang w:val="en-US"/>
        </w:rPr>
        <w:t xml:space="preserve"> observations from tide gauges, buoys </w:t>
      </w:r>
      <w:r>
        <w:rPr>
          <w:rFonts w:ascii="Times New Roman" w:hAnsi="Times New Roman"/>
          <w:color w:val="000000"/>
          <w:sz w:val="24"/>
          <w:szCs w:val="24"/>
          <w:lang w:val="en-US"/>
        </w:rPr>
        <w:lastRenderedPageBreak/>
        <w:t>and Argo floats as well as against data from a wave model. In addition, we compare the performance of the C2 GOP to that of the Jason-2 (hereafter J2) and CryoSat-2 (hereafter C2 RADS) datasets from the Radar Altimeter Database System (RADS)</w:t>
      </w:r>
      <w:r w:rsidR="00084D22">
        <w:rPr>
          <w:rFonts w:ascii="Times New Roman" w:hAnsi="Times New Roman"/>
          <w:color w:val="000000"/>
          <w:sz w:val="24"/>
          <w:szCs w:val="24"/>
          <w:lang w:val="en-US"/>
        </w:rPr>
        <w:t xml:space="preserve">. The comparison is therefore both with a different altimeter altogether, and with the same altimeter but processed by a different processor (which in principle may </w:t>
      </w:r>
      <w:r w:rsidR="007A0733">
        <w:rPr>
          <w:rFonts w:ascii="Times New Roman" w:hAnsi="Times New Roman"/>
          <w:color w:val="000000"/>
          <w:sz w:val="24"/>
          <w:szCs w:val="24"/>
          <w:lang w:val="en-US"/>
        </w:rPr>
        <w:t xml:space="preserve">output </w:t>
      </w:r>
      <w:r w:rsidR="00084D22">
        <w:rPr>
          <w:rFonts w:ascii="Times New Roman" w:hAnsi="Times New Roman"/>
          <w:color w:val="000000"/>
          <w:sz w:val="24"/>
          <w:szCs w:val="24"/>
          <w:lang w:val="en-US"/>
        </w:rPr>
        <w:t xml:space="preserve">different </w:t>
      </w:r>
      <w:r w:rsidR="007A0733">
        <w:rPr>
          <w:rFonts w:ascii="Times New Roman" w:hAnsi="Times New Roman"/>
          <w:color w:val="000000"/>
          <w:sz w:val="24"/>
          <w:szCs w:val="24"/>
          <w:lang w:val="en-US"/>
        </w:rPr>
        <w:t xml:space="preserve">values of </w:t>
      </w:r>
      <w:r w:rsidR="00082A91">
        <w:rPr>
          <w:rFonts w:ascii="Times New Roman" w:hAnsi="Times New Roman"/>
          <w:color w:val="000000"/>
          <w:sz w:val="24"/>
          <w:szCs w:val="24"/>
          <w:lang w:val="en-US"/>
        </w:rPr>
        <w:t>height, SWH and sigma0</w:t>
      </w:r>
      <w:r w:rsidR="00084D22">
        <w:rPr>
          <w:rFonts w:ascii="Times New Roman" w:hAnsi="Times New Roman"/>
          <w:color w:val="000000"/>
          <w:sz w:val="24"/>
          <w:szCs w:val="24"/>
          <w:lang w:val="en-US"/>
        </w:rPr>
        <w:t xml:space="preserve"> and </w:t>
      </w:r>
      <w:r w:rsidR="007A0733">
        <w:rPr>
          <w:rFonts w:ascii="Times New Roman" w:hAnsi="Times New Roman"/>
          <w:color w:val="000000"/>
          <w:sz w:val="24"/>
          <w:szCs w:val="24"/>
          <w:lang w:val="en-US"/>
        </w:rPr>
        <w:t xml:space="preserve">entail a different </w:t>
      </w:r>
      <w:r w:rsidR="00084D22">
        <w:rPr>
          <w:rFonts w:ascii="Times New Roman" w:hAnsi="Times New Roman"/>
          <w:color w:val="000000"/>
          <w:sz w:val="24"/>
          <w:szCs w:val="24"/>
          <w:lang w:val="en-US"/>
        </w:rPr>
        <w:t>sea state bias)</w:t>
      </w:r>
      <w:r>
        <w:rPr>
          <w:rFonts w:ascii="Times New Roman" w:hAnsi="Times New Roman"/>
          <w:color w:val="000000"/>
          <w:sz w:val="24"/>
          <w:szCs w:val="24"/>
          <w:lang w:val="en-US"/>
        </w:rPr>
        <w:t xml:space="preserve">. Our main goal is to evaluate the ability of the new C2 GOP to capture sea level, wave, and wind signals, placing the results in the context of other altimetry datasets such as J2 and C2 RADS. </w:t>
      </w:r>
    </w:p>
    <w:p w14:paraId="782908E6" w14:textId="00F4A439" w:rsidR="00830425" w:rsidRDefault="00830425" w:rsidP="00A42484">
      <w:pPr>
        <w:spacing w:line="480" w:lineRule="auto"/>
        <w:rPr>
          <w:rFonts w:ascii="Times New Roman" w:hAnsi="Times New Roman"/>
          <w:color w:val="000000"/>
          <w:sz w:val="24"/>
          <w:szCs w:val="24"/>
          <w:lang w:val="en-US"/>
        </w:rPr>
      </w:pPr>
      <w:r>
        <w:rPr>
          <w:rFonts w:ascii="Times New Roman" w:hAnsi="Times New Roman"/>
          <w:color w:val="000000"/>
          <w:sz w:val="24"/>
          <w:szCs w:val="24"/>
          <w:lang w:val="en-US"/>
        </w:rPr>
        <w:t xml:space="preserve">Results from the few previous studies that have conducted a validation of CryoSat-2 data already indicate good performance of SAR data as well as LRM and PLRM data. Examples of such studies include Labroue et al. (2012) who performed a validation of SSH and SWH mainly against other altimetry missions and focusing on LRM only, and Fenoglio-Marc et al. (2015) who have presented a validation of SSH, SWH and wind speed against in situ </w:t>
      </w:r>
      <w:r w:rsidR="00B8002F">
        <w:rPr>
          <w:rFonts w:ascii="Times New Roman" w:hAnsi="Times New Roman"/>
          <w:color w:val="000000"/>
          <w:sz w:val="24"/>
          <w:szCs w:val="24"/>
          <w:lang w:val="en-US"/>
        </w:rPr>
        <w:t xml:space="preserve">data </w:t>
      </w:r>
      <w:r>
        <w:rPr>
          <w:rFonts w:ascii="Times New Roman" w:hAnsi="Times New Roman"/>
          <w:color w:val="000000"/>
          <w:sz w:val="24"/>
          <w:szCs w:val="24"/>
          <w:lang w:val="en-US"/>
        </w:rPr>
        <w:t xml:space="preserve">and </w:t>
      </w:r>
      <w:r w:rsidR="00B8002F">
        <w:rPr>
          <w:rFonts w:ascii="Times New Roman" w:hAnsi="Times New Roman"/>
          <w:color w:val="000000"/>
          <w:sz w:val="24"/>
          <w:szCs w:val="24"/>
          <w:lang w:val="en-US"/>
        </w:rPr>
        <w:t>modeled</w:t>
      </w:r>
      <w:r>
        <w:rPr>
          <w:rFonts w:ascii="Times New Roman" w:hAnsi="Times New Roman"/>
          <w:color w:val="000000"/>
          <w:sz w:val="24"/>
          <w:szCs w:val="24"/>
          <w:lang w:val="en-US"/>
        </w:rPr>
        <w:t xml:space="preserve"> </w:t>
      </w:r>
      <w:r w:rsidR="00B8002F">
        <w:rPr>
          <w:rFonts w:ascii="Times New Roman" w:hAnsi="Times New Roman"/>
          <w:color w:val="000000"/>
          <w:sz w:val="24"/>
          <w:szCs w:val="24"/>
          <w:lang w:val="en-US"/>
        </w:rPr>
        <w:t xml:space="preserve">elevations </w:t>
      </w:r>
      <w:r>
        <w:rPr>
          <w:rFonts w:ascii="Times New Roman" w:hAnsi="Times New Roman"/>
          <w:color w:val="000000"/>
          <w:sz w:val="24"/>
          <w:szCs w:val="24"/>
          <w:lang w:val="en-US"/>
        </w:rPr>
        <w:t xml:space="preserve">in the German Bight, for both SAR and PLRM data. Our assessment is global in scope and includes validation against both in situ observations and other altimetry datasets, which are important distinctions </w:t>
      </w:r>
      <w:r w:rsidR="00EF2183">
        <w:rPr>
          <w:rFonts w:ascii="Times New Roman" w:hAnsi="Times New Roman"/>
          <w:color w:val="000000"/>
          <w:sz w:val="24"/>
          <w:szCs w:val="24"/>
          <w:lang w:val="en-US"/>
        </w:rPr>
        <w:t>to</w:t>
      </w:r>
      <w:r>
        <w:rPr>
          <w:rFonts w:ascii="Times New Roman" w:hAnsi="Times New Roman"/>
          <w:color w:val="000000"/>
          <w:sz w:val="24"/>
          <w:szCs w:val="24"/>
          <w:lang w:val="en-US"/>
        </w:rPr>
        <w:t xml:space="preserve"> Labroue et al. (2012) who performed a global assessment but did not compare with in situ data, and </w:t>
      </w:r>
      <w:r w:rsidR="00EF2183">
        <w:rPr>
          <w:rFonts w:ascii="Times New Roman" w:hAnsi="Times New Roman"/>
          <w:color w:val="000000"/>
          <w:sz w:val="24"/>
          <w:szCs w:val="24"/>
          <w:lang w:val="en-US"/>
        </w:rPr>
        <w:t xml:space="preserve">to </w:t>
      </w:r>
      <w:r>
        <w:rPr>
          <w:rFonts w:ascii="Times New Roman" w:hAnsi="Times New Roman"/>
          <w:color w:val="000000"/>
          <w:sz w:val="24"/>
          <w:szCs w:val="24"/>
          <w:lang w:val="en-US"/>
        </w:rPr>
        <w:t>Fenoglio-Marc et al. (2015) who did compare with in situ data but restricted their analysis</w:t>
      </w:r>
      <w:r w:rsidR="00B8002F">
        <w:rPr>
          <w:rFonts w:ascii="Times New Roman" w:hAnsi="Times New Roman"/>
          <w:color w:val="000000"/>
          <w:sz w:val="24"/>
          <w:szCs w:val="24"/>
          <w:lang w:val="en-US"/>
        </w:rPr>
        <w:t xml:space="preserve"> over a relatively small area</w:t>
      </w:r>
      <w:r>
        <w:rPr>
          <w:rFonts w:ascii="Times New Roman" w:hAnsi="Times New Roman"/>
          <w:color w:val="000000"/>
          <w:sz w:val="24"/>
          <w:szCs w:val="24"/>
          <w:lang w:val="en-US"/>
        </w:rPr>
        <w:t xml:space="preserve">. Another important difference is that here we use steric heights derived from Argo float observations to validate the SSHA over the entire ocean, including remote areas where no </w:t>
      </w:r>
      <w:r w:rsidRPr="00440535">
        <w:rPr>
          <w:rFonts w:ascii="Times New Roman" w:hAnsi="Times New Roman"/>
          <w:i/>
          <w:color w:val="000000"/>
          <w:sz w:val="24"/>
          <w:szCs w:val="24"/>
          <w:lang w:val="en-US"/>
        </w:rPr>
        <w:t>in situ</w:t>
      </w:r>
      <w:r>
        <w:rPr>
          <w:rFonts w:ascii="Times New Roman" w:hAnsi="Times New Roman"/>
          <w:color w:val="000000"/>
          <w:sz w:val="24"/>
          <w:szCs w:val="24"/>
          <w:lang w:val="en-US"/>
        </w:rPr>
        <w:t xml:space="preserve"> sea level observations are available. Although </w:t>
      </w:r>
      <w:r>
        <w:rPr>
          <w:rFonts w:ascii="Times New Roman" w:hAnsi="Times New Roman"/>
          <w:sz w:val="24"/>
          <w:szCs w:val="24"/>
          <w:lang w:val="en-US"/>
        </w:rPr>
        <w:t xml:space="preserve">the idea of comparing SSHAs and steric heights is not new (e.g., Guinehut et al., 2006, 2009; Ivchenko et al., 2007; Dhomps et al., 2011; Calafat and Marcos, 2012), to our knowledge, this is the first time that such comparison has been performed for an altimeter with the special characteristics of CryoSat-2. Finally, </w:t>
      </w:r>
      <w:r>
        <w:rPr>
          <w:rFonts w:ascii="Times New Roman" w:hAnsi="Times New Roman"/>
          <w:color w:val="000000"/>
          <w:sz w:val="24"/>
          <w:szCs w:val="24"/>
          <w:lang w:val="en-US"/>
        </w:rPr>
        <w:t>it is important to remark again that in this study we evaluate LRM and PLRM data only.</w:t>
      </w:r>
      <w:r w:rsidDel="008452B7">
        <w:rPr>
          <w:rFonts w:ascii="Times New Roman" w:hAnsi="Times New Roman"/>
          <w:color w:val="000000"/>
          <w:sz w:val="24"/>
          <w:szCs w:val="24"/>
          <w:lang w:val="en-US"/>
        </w:rPr>
        <w:t xml:space="preserve"> </w:t>
      </w:r>
    </w:p>
    <w:p w14:paraId="59476560" w14:textId="77777777" w:rsidR="00830425" w:rsidRPr="00F13CFE" w:rsidRDefault="00830425" w:rsidP="00A42484">
      <w:pPr>
        <w:spacing w:line="480" w:lineRule="auto"/>
        <w:rPr>
          <w:rFonts w:ascii="Times New Roman" w:hAnsi="Times New Roman"/>
          <w:sz w:val="24"/>
          <w:szCs w:val="24"/>
          <w:lang w:val="en-GB"/>
        </w:rPr>
      </w:pPr>
      <w:r>
        <w:rPr>
          <w:rFonts w:ascii="Times New Roman" w:hAnsi="Times New Roman"/>
          <w:sz w:val="24"/>
          <w:szCs w:val="24"/>
          <w:lang w:val="en-US"/>
        </w:rPr>
        <w:lastRenderedPageBreak/>
        <w:t xml:space="preserve">The paper is organized as follows. Section 2 is dedicated to describing the data used in this study as well as the methods that we apply to compare the altimetry measurements with the </w:t>
      </w:r>
      <w:r w:rsidRPr="005B0750">
        <w:rPr>
          <w:rFonts w:ascii="Times New Roman" w:hAnsi="Times New Roman"/>
          <w:i/>
          <w:sz w:val="24"/>
          <w:szCs w:val="24"/>
          <w:lang w:val="en-US"/>
        </w:rPr>
        <w:t>in situ</w:t>
      </w:r>
      <w:r>
        <w:rPr>
          <w:rFonts w:ascii="Times New Roman" w:hAnsi="Times New Roman"/>
          <w:sz w:val="24"/>
          <w:szCs w:val="24"/>
          <w:lang w:val="en-US"/>
        </w:rPr>
        <w:t xml:space="preserve"> and model data. In Section 3 we first present the results of the noise and crossover analysis and then we move to the results of the global validation. Finally, in Section 4 we summarize and discuss the main results presented in Section 3 in the context of previous studies.</w:t>
      </w:r>
    </w:p>
    <w:p w14:paraId="2308FD9A" w14:textId="77777777" w:rsidR="00830425" w:rsidRPr="009061E6" w:rsidRDefault="00830425" w:rsidP="00A42484">
      <w:pPr>
        <w:spacing w:line="480" w:lineRule="auto"/>
        <w:rPr>
          <w:rFonts w:ascii="Arial" w:hAnsi="Arial"/>
          <w:b/>
          <w:sz w:val="24"/>
          <w:szCs w:val="24"/>
          <w:lang w:val="en-GB"/>
        </w:rPr>
      </w:pPr>
      <w:r w:rsidRPr="009061E6">
        <w:rPr>
          <w:rFonts w:ascii="Arial" w:hAnsi="Arial"/>
          <w:b/>
          <w:sz w:val="24"/>
          <w:szCs w:val="24"/>
          <w:lang w:val="en-GB"/>
        </w:rPr>
        <w:t>2. Data and methods</w:t>
      </w:r>
    </w:p>
    <w:p w14:paraId="2AF5BBBD" w14:textId="77777777" w:rsidR="00830425" w:rsidRDefault="00830425" w:rsidP="00A42484">
      <w:pPr>
        <w:spacing w:line="480" w:lineRule="auto"/>
        <w:rPr>
          <w:rFonts w:ascii="Times New Roman" w:hAnsi="Times New Roman"/>
          <w:b/>
          <w:sz w:val="24"/>
          <w:szCs w:val="24"/>
          <w:lang w:val="en-GB"/>
        </w:rPr>
      </w:pPr>
      <w:r>
        <w:rPr>
          <w:rFonts w:ascii="Times New Roman" w:hAnsi="Times New Roman"/>
          <w:b/>
          <w:sz w:val="24"/>
          <w:szCs w:val="24"/>
          <w:lang w:val="en-GB"/>
        </w:rPr>
        <w:t>2.1. CryoSat-2 Geophysical Ocean Product</w:t>
      </w:r>
    </w:p>
    <w:p w14:paraId="302FFD61" w14:textId="292A90C3" w:rsidR="00830425" w:rsidRPr="00E8264F" w:rsidRDefault="00830425" w:rsidP="00A42484">
      <w:pPr>
        <w:spacing w:line="480" w:lineRule="auto"/>
        <w:rPr>
          <w:rFonts w:ascii="Times New Roman" w:hAnsi="Times New Roman"/>
          <w:b/>
          <w:sz w:val="24"/>
          <w:szCs w:val="24"/>
          <w:lang w:val="en-GB"/>
        </w:rPr>
      </w:pPr>
      <w:r>
        <w:rPr>
          <w:rFonts w:ascii="Times New Roman" w:hAnsi="Times New Roman"/>
          <w:sz w:val="24"/>
          <w:szCs w:val="24"/>
          <w:lang w:val="en-GB"/>
        </w:rPr>
        <w:t xml:space="preserve">Here we use the new Level 2 GOP data, which are distributed by ESA and are available for download via ftp </w:t>
      </w:r>
      <w:r w:rsidRPr="008D620B">
        <w:rPr>
          <w:rFonts w:ascii="Times New Roman" w:hAnsi="Times New Roman"/>
          <w:sz w:val="24"/>
          <w:szCs w:val="24"/>
          <w:lang w:val="en-GB"/>
        </w:rPr>
        <w:t xml:space="preserve">at </w:t>
      </w:r>
      <w:r w:rsidRPr="00A622E7">
        <w:rPr>
          <w:rFonts w:ascii="Times New Roman" w:hAnsi="Times New Roman"/>
          <w:sz w:val="24"/>
          <w:szCs w:val="24"/>
          <w:lang w:val="en-US"/>
        </w:rPr>
        <w:t>ftp://science-pds.cryosat.esa.int</w:t>
      </w:r>
      <w:r>
        <w:rPr>
          <w:rFonts w:ascii="Times New Roman" w:hAnsi="Times New Roman"/>
          <w:sz w:val="24"/>
          <w:szCs w:val="24"/>
          <w:lang w:val="en-US"/>
        </w:rPr>
        <w:t>. The GOP data are delivered approximately 30 days after data acquisition and are available for data acquired since April 2014. Our analysis is restricted to the period April 2014 to April 2016. We recall that the GOP</w:t>
      </w:r>
      <w:r w:rsidR="00666CAE">
        <w:rPr>
          <w:rFonts w:ascii="Times New Roman" w:hAnsi="Times New Roman"/>
          <w:sz w:val="24"/>
          <w:szCs w:val="24"/>
          <w:lang w:val="en-US"/>
        </w:rPr>
        <w:t xml:space="preserve"> so far do not contain full-resolution SAR mode data; </w:t>
      </w:r>
      <w:r>
        <w:rPr>
          <w:rFonts w:ascii="Times New Roman" w:hAnsi="Times New Roman"/>
          <w:sz w:val="24"/>
          <w:szCs w:val="24"/>
          <w:lang w:val="en-US"/>
        </w:rPr>
        <w:t xml:space="preserve">the SAR mode data </w:t>
      </w:r>
      <w:r w:rsidR="00666CAE">
        <w:rPr>
          <w:rFonts w:ascii="Times New Roman" w:hAnsi="Times New Roman"/>
          <w:sz w:val="24"/>
          <w:szCs w:val="24"/>
          <w:lang w:val="en-US"/>
        </w:rPr>
        <w:t xml:space="preserve">have been </w:t>
      </w:r>
      <w:r>
        <w:rPr>
          <w:rFonts w:ascii="Times New Roman" w:hAnsi="Times New Roman"/>
          <w:sz w:val="24"/>
          <w:szCs w:val="24"/>
          <w:lang w:val="en-US"/>
        </w:rPr>
        <w:t>processed into PLRM</w:t>
      </w:r>
      <w:r w:rsidR="00666CAE">
        <w:rPr>
          <w:rFonts w:ascii="Times New Roman" w:hAnsi="Times New Roman"/>
          <w:sz w:val="24"/>
          <w:szCs w:val="24"/>
          <w:lang w:val="en-US"/>
        </w:rPr>
        <w:t>, and then both LRM and PLRM are processed with an</w:t>
      </w:r>
      <w:r w:rsidR="00666CAE" w:rsidRPr="00666CAE">
        <w:rPr>
          <w:rFonts w:ascii="Times New Roman" w:hAnsi="Times New Roman"/>
          <w:sz w:val="24"/>
          <w:szCs w:val="24"/>
          <w:lang w:val="en-US"/>
        </w:rPr>
        <w:t xml:space="preserve"> </w:t>
      </w:r>
      <w:r w:rsidR="00666CAE">
        <w:rPr>
          <w:rFonts w:ascii="Times New Roman" w:hAnsi="Times New Roman"/>
          <w:sz w:val="24"/>
          <w:szCs w:val="24"/>
          <w:lang w:val="en-US"/>
        </w:rPr>
        <w:t>o</w:t>
      </w:r>
      <w:r w:rsidR="00666CAE" w:rsidRPr="00666CAE">
        <w:rPr>
          <w:rFonts w:ascii="Times New Roman" w:hAnsi="Times New Roman"/>
          <w:sz w:val="24"/>
          <w:szCs w:val="24"/>
          <w:lang w:val="en-US"/>
        </w:rPr>
        <w:t xml:space="preserve">cean retracker </w:t>
      </w:r>
      <w:r w:rsidR="00666CAE">
        <w:rPr>
          <w:rFonts w:ascii="Times New Roman" w:hAnsi="Times New Roman"/>
          <w:sz w:val="24"/>
          <w:szCs w:val="24"/>
          <w:lang w:val="en-US"/>
        </w:rPr>
        <w:t>equivalent to</w:t>
      </w:r>
      <w:r w:rsidR="00666CAE" w:rsidRPr="00666CAE">
        <w:rPr>
          <w:rFonts w:ascii="Times New Roman" w:hAnsi="Times New Roman"/>
          <w:sz w:val="24"/>
          <w:szCs w:val="24"/>
          <w:lang w:val="en-US"/>
        </w:rPr>
        <w:t xml:space="preserve"> the so called Ocean-3 or MLE4 algorithm</w:t>
      </w:r>
      <w:r w:rsidR="00666CAE">
        <w:rPr>
          <w:rFonts w:ascii="Times New Roman" w:hAnsi="Times New Roman"/>
          <w:sz w:val="24"/>
          <w:szCs w:val="24"/>
          <w:lang w:val="en-US"/>
        </w:rPr>
        <w:t xml:space="preserve"> for</w:t>
      </w:r>
      <w:r w:rsidR="00666CAE" w:rsidRPr="00666CAE">
        <w:rPr>
          <w:rFonts w:ascii="Times New Roman" w:hAnsi="Times New Roman"/>
          <w:sz w:val="24"/>
          <w:szCs w:val="24"/>
          <w:lang w:val="en-US"/>
        </w:rPr>
        <w:t xml:space="preserve"> Jason-2</w:t>
      </w:r>
      <w:r w:rsidR="00EC09EC">
        <w:rPr>
          <w:rFonts w:ascii="Times New Roman" w:hAnsi="Times New Roman"/>
          <w:sz w:val="24"/>
          <w:szCs w:val="24"/>
          <w:lang w:val="en-US"/>
        </w:rPr>
        <w:t>, where the</w:t>
      </w:r>
      <w:r w:rsidR="00666CAE" w:rsidRPr="00666CAE">
        <w:rPr>
          <w:rFonts w:ascii="Times New Roman" w:hAnsi="Times New Roman"/>
          <w:sz w:val="24"/>
          <w:szCs w:val="24"/>
          <w:lang w:val="en-US"/>
        </w:rPr>
        <w:t xml:space="preserve"> measured waveform </w:t>
      </w:r>
      <w:r w:rsidR="00EC09EC">
        <w:rPr>
          <w:rFonts w:ascii="Times New Roman" w:hAnsi="Times New Roman"/>
          <w:sz w:val="24"/>
          <w:szCs w:val="24"/>
          <w:lang w:val="en-US"/>
        </w:rPr>
        <w:t>is fitted with a 4-parameter</w:t>
      </w:r>
      <w:r w:rsidR="00666CAE" w:rsidRPr="00666CAE">
        <w:rPr>
          <w:rFonts w:ascii="Times New Roman" w:hAnsi="Times New Roman"/>
          <w:sz w:val="24"/>
          <w:szCs w:val="24"/>
          <w:lang w:val="en-US"/>
        </w:rPr>
        <w:t xml:space="preserve"> return power model, according to weighted Least Square Estimators derived from Maximum Likelihood Estimators</w:t>
      </w:r>
      <w:r w:rsidR="00666CAE">
        <w:rPr>
          <w:rFonts w:ascii="Times New Roman" w:hAnsi="Times New Roman"/>
          <w:sz w:val="24"/>
          <w:szCs w:val="24"/>
          <w:lang w:val="en-US"/>
        </w:rPr>
        <w:t>.</w:t>
      </w:r>
      <w:r>
        <w:rPr>
          <w:rFonts w:ascii="Times New Roman" w:hAnsi="Times New Roman"/>
          <w:sz w:val="24"/>
          <w:szCs w:val="24"/>
          <w:lang w:val="en-US"/>
        </w:rPr>
        <w:t xml:space="preserve"> </w:t>
      </w:r>
      <w:r w:rsidR="00DC0931">
        <w:rPr>
          <w:rFonts w:ascii="Times New Roman" w:hAnsi="Times New Roman"/>
          <w:sz w:val="24"/>
          <w:szCs w:val="24"/>
          <w:lang w:val="en-US"/>
        </w:rPr>
        <w:t>The four parameters in MLE4 are waveform delay (related to range), waveform amplitude (related to sigma0</w:t>
      </w:r>
      <w:r w:rsidR="00D0759E">
        <w:rPr>
          <w:rFonts w:ascii="Times New Roman" w:hAnsi="Times New Roman"/>
          <w:sz w:val="24"/>
          <w:szCs w:val="24"/>
          <w:lang w:val="en-US"/>
        </w:rPr>
        <w:t>, hence to wind speed</w:t>
      </w:r>
      <w:r w:rsidR="00DC0931">
        <w:rPr>
          <w:rFonts w:ascii="Times New Roman" w:hAnsi="Times New Roman"/>
          <w:sz w:val="24"/>
          <w:szCs w:val="24"/>
          <w:lang w:val="en-US"/>
        </w:rPr>
        <w:t xml:space="preserve">), waveform rise time (related to SWH), and antenna mispointing. </w:t>
      </w:r>
      <w:r>
        <w:rPr>
          <w:rFonts w:ascii="Times New Roman" w:hAnsi="Times New Roman"/>
          <w:sz w:val="24"/>
          <w:szCs w:val="24"/>
          <w:lang w:val="en-US"/>
        </w:rPr>
        <w:t>We refer the reader to the CryoSat Product Handbook (</w:t>
      </w:r>
      <w:r w:rsidRPr="00372EBB">
        <w:rPr>
          <w:rFonts w:ascii="Times New Roman" w:hAnsi="Times New Roman"/>
          <w:sz w:val="24"/>
          <w:szCs w:val="24"/>
          <w:lang w:val="en-US"/>
        </w:rPr>
        <w:t>https://earth.esa.int/documents</w:t>
      </w:r>
      <w:r>
        <w:rPr>
          <w:rFonts w:ascii="Times New Roman" w:hAnsi="Times New Roman"/>
          <w:sz w:val="24"/>
          <w:szCs w:val="24"/>
          <w:lang w:val="en-US"/>
        </w:rPr>
        <w:t xml:space="preserve">) for a detailed description of the GOP data. </w:t>
      </w:r>
    </w:p>
    <w:p w14:paraId="3C184329" w14:textId="4F93047E" w:rsidR="00830425" w:rsidRDefault="00830425" w:rsidP="00A42484">
      <w:pPr>
        <w:spacing w:line="480" w:lineRule="auto"/>
        <w:rPr>
          <w:rFonts w:ascii="Times New Roman" w:hAnsi="Times New Roman"/>
          <w:sz w:val="24"/>
          <w:szCs w:val="24"/>
          <w:lang w:val="en-US"/>
        </w:rPr>
      </w:pPr>
      <w:r>
        <w:rPr>
          <w:rFonts w:ascii="Times New Roman" w:hAnsi="Times New Roman"/>
          <w:sz w:val="24"/>
          <w:szCs w:val="24"/>
          <w:lang w:val="en-US"/>
        </w:rPr>
        <w:t xml:space="preserve">The SWH and the wind speed are provided as two of the fields in the Level 2 GOP files, however the SSHA needs to be calculated from other fields available in the GOP, by first subtracting the corrected range from the altitude to obtain </w:t>
      </w:r>
      <w:r w:rsidR="00775665">
        <w:rPr>
          <w:rFonts w:ascii="Times New Roman" w:hAnsi="Times New Roman"/>
          <w:sz w:val="24"/>
          <w:szCs w:val="24"/>
          <w:lang w:val="en-US"/>
        </w:rPr>
        <w:t xml:space="preserve">the </w:t>
      </w:r>
      <w:r>
        <w:rPr>
          <w:rFonts w:ascii="Times New Roman" w:hAnsi="Times New Roman"/>
          <w:sz w:val="24"/>
          <w:szCs w:val="24"/>
          <w:lang w:val="en-US"/>
        </w:rPr>
        <w:t xml:space="preserve">SSH, and then subtracting the </w:t>
      </w:r>
      <w:r>
        <w:rPr>
          <w:rFonts w:ascii="Times New Roman" w:hAnsi="Times New Roman"/>
          <w:sz w:val="24"/>
          <w:szCs w:val="24"/>
          <w:lang w:val="en-US"/>
        </w:rPr>
        <w:lastRenderedPageBreak/>
        <w:t xml:space="preserve">DTU10 </w:t>
      </w:r>
      <w:r w:rsidR="005E0E3B">
        <w:rPr>
          <w:rFonts w:ascii="Times New Roman" w:hAnsi="Times New Roman"/>
          <w:sz w:val="24"/>
          <w:szCs w:val="24"/>
          <w:lang w:val="en-US"/>
        </w:rPr>
        <w:t>(Andersen, 2013</w:t>
      </w:r>
      <w:r w:rsidR="00775665">
        <w:rPr>
          <w:rFonts w:ascii="Times New Roman" w:hAnsi="Times New Roman"/>
          <w:sz w:val="24"/>
          <w:szCs w:val="24"/>
          <w:lang w:val="en-US"/>
        </w:rPr>
        <w:t xml:space="preserve">) </w:t>
      </w:r>
      <w:r>
        <w:rPr>
          <w:rFonts w:ascii="Times New Roman" w:hAnsi="Times New Roman"/>
          <w:sz w:val="24"/>
          <w:szCs w:val="24"/>
          <w:lang w:val="en-US"/>
        </w:rPr>
        <w:t>mean sea surface</w:t>
      </w:r>
      <w:r w:rsidR="00775665">
        <w:rPr>
          <w:rFonts w:ascii="Times New Roman" w:hAnsi="Times New Roman"/>
          <w:sz w:val="24"/>
          <w:szCs w:val="24"/>
          <w:lang w:val="en-US"/>
        </w:rPr>
        <w:t xml:space="preserve"> (MSS)</w:t>
      </w:r>
      <w:r>
        <w:rPr>
          <w:rFonts w:ascii="Times New Roman" w:hAnsi="Times New Roman"/>
          <w:sz w:val="24"/>
          <w:szCs w:val="24"/>
          <w:lang w:val="en-US"/>
        </w:rPr>
        <w:t xml:space="preserve"> from this SSH to obtain SSHA. The corrected range is defined as the range corrected for tropospheric (wet and dry based on data from ECMWF) and ionospheric path delays (derived from the Global Ionospheric Map)</w:t>
      </w:r>
      <w:r w:rsidR="00775665">
        <w:rPr>
          <w:rFonts w:ascii="Times New Roman" w:hAnsi="Times New Roman"/>
          <w:sz w:val="24"/>
          <w:szCs w:val="24"/>
          <w:lang w:val="en-US"/>
        </w:rPr>
        <w:t>,</w:t>
      </w:r>
      <w:r>
        <w:rPr>
          <w:rFonts w:ascii="Times New Roman" w:hAnsi="Times New Roman"/>
          <w:sz w:val="24"/>
          <w:szCs w:val="24"/>
          <w:lang w:val="en-US"/>
        </w:rPr>
        <w:t xml:space="preserve"> and for sea state bias</w:t>
      </w:r>
      <w:r w:rsidR="00D0759E">
        <w:rPr>
          <w:rFonts w:ascii="Times New Roman" w:hAnsi="Times New Roman"/>
          <w:sz w:val="24"/>
          <w:szCs w:val="24"/>
          <w:lang w:val="en-US"/>
        </w:rPr>
        <w:t xml:space="preserve"> (using the same two-parameter model as for Jason-2, evolution of Gaspar and Florens 1998)</w:t>
      </w:r>
      <w:r>
        <w:rPr>
          <w:rFonts w:ascii="Times New Roman" w:hAnsi="Times New Roman"/>
          <w:sz w:val="24"/>
          <w:szCs w:val="24"/>
          <w:lang w:val="en-US"/>
        </w:rPr>
        <w:t>. The SSHA is then corrected for the solid earth (Cartwright and Edden, 1973), ocean (GOT4.8; Ray, 1999), loading (GOT4.8) and pole (Wahr, 1985) tides. The atmospheric correction is applied to the SSHAs only for the comparison with steric heights but not for that with tide gauges. To correct for atmospheric effects we use the dynamic atmospheric correction (DAC), which consists of the contribution of wind and atmospheric pressure as given by the Mog2D barotropic model</w:t>
      </w:r>
      <w:r w:rsidR="000E7DA0">
        <w:rPr>
          <w:rFonts w:ascii="Times New Roman" w:hAnsi="Times New Roman"/>
          <w:sz w:val="24"/>
          <w:szCs w:val="24"/>
          <w:lang w:val="en-US"/>
        </w:rPr>
        <w:t xml:space="preserve"> (</w:t>
      </w:r>
      <w:r w:rsidR="0037122E">
        <w:rPr>
          <w:rFonts w:ascii="Times New Roman" w:hAnsi="Times New Roman"/>
          <w:sz w:val="24"/>
          <w:szCs w:val="24"/>
          <w:lang w:val="en-US"/>
        </w:rPr>
        <w:t>Carrere and Lyard, 2003</w:t>
      </w:r>
      <w:r w:rsidR="000E7DA0">
        <w:rPr>
          <w:rFonts w:ascii="Times New Roman" w:hAnsi="Times New Roman"/>
          <w:sz w:val="24"/>
          <w:szCs w:val="24"/>
          <w:lang w:val="en-US"/>
        </w:rPr>
        <w:t xml:space="preserve">) </w:t>
      </w:r>
      <w:r>
        <w:rPr>
          <w:rFonts w:ascii="Times New Roman" w:hAnsi="Times New Roman"/>
          <w:sz w:val="24"/>
          <w:szCs w:val="24"/>
          <w:lang w:val="en-US"/>
        </w:rPr>
        <w:t>for periods less than 20 days and the inverse barometer (IB) effect for longer periods.</w:t>
      </w:r>
    </w:p>
    <w:p w14:paraId="09D55C55" w14:textId="77777777" w:rsidR="00830425" w:rsidRDefault="00830425" w:rsidP="00A42484">
      <w:pPr>
        <w:spacing w:line="480" w:lineRule="auto"/>
        <w:rPr>
          <w:rFonts w:ascii="Times New Roman" w:hAnsi="Times New Roman"/>
          <w:sz w:val="24"/>
          <w:szCs w:val="24"/>
          <w:lang w:val="en-US"/>
        </w:rPr>
      </w:pPr>
      <w:r>
        <w:rPr>
          <w:rFonts w:ascii="Times New Roman" w:hAnsi="Times New Roman"/>
          <w:sz w:val="24"/>
          <w:szCs w:val="24"/>
          <w:lang w:val="en-US"/>
        </w:rPr>
        <w:t xml:space="preserve">We have performed a careful quality control of the GOP data, aimed at removing anomalous records. This quality control is in fact conducted monthly as part of the activities undertaken within the CryOcean-QCV project at the National Oceanography Centre (UK), with results being summarized in regular monthly reports that are available at </w:t>
      </w:r>
      <w:r w:rsidRPr="00481C6D">
        <w:rPr>
          <w:rFonts w:ascii="Times New Roman" w:hAnsi="Times New Roman"/>
          <w:sz w:val="24"/>
          <w:szCs w:val="24"/>
          <w:lang w:val="en-US"/>
        </w:rPr>
        <w:t>https://earth.esa.int/web/sppa/mission-performance/esa-missions/cryosat/quality-control-reports/ocean-product-quality-reports</w:t>
      </w:r>
      <w:r>
        <w:rPr>
          <w:rFonts w:ascii="Times New Roman" w:hAnsi="Times New Roman"/>
          <w:sz w:val="24"/>
          <w:szCs w:val="24"/>
          <w:lang w:val="en-US"/>
        </w:rPr>
        <w:t>. Full details on the quality control procedure can be found in the reports; here we provide only a brief summary description. First, we reject all records that have been flagged as bad by the quality control flags provided within the product files (.DBL). Note that this includes rejection of records with parameters that are set to specific values in case of error (see the CryoSat product handbook). Note also that the quality control flags refer to the 20</w:t>
      </w:r>
      <w:r>
        <w:rPr>
          <w:rFonts w:ascii="Times New Roman" w:hAnsi="Times New Roman"/>
          <w:sz w:val="24"/>
          <w:szCs w:val="24"/>
          <w:lang w:val="en-US"/>
        </w:rPr>
        <w:noBreakHyphen/>
        <w:t>Hz measurements while we are working with the 1</w:t>
      </w:r>
      <w:r>
        <w:rPr>
          <w:rFonts w:ascii="Times New Roman" w:hAnsi="Times New Roman"/>
          <w:sz w:val="24"/>
          <w:szCs w:val="24"/>
          <w:lang w:val="en-US"/>
        </w:rPr>
        <w:noBreakHyphen/>
        <w:t>Hz data. We account for the quality control flags in the selection of the 1</w:t>
      </w:r>
      <w:r>
        <w:rPr>
          <w:rFonts w:ascii="Times New Roman" w:hAnsi="Times New Roman"/>
          <w:sz w:val="24"/>
          <w:szCs w:val="24"/>
          <w:lang w:val="en-US"/>
        </w:rPr>
        <w:noBreakHyphen/>
        <w:t>Hz measurements by rejecting all measurements at 1</w:t>
      </w:r>
      <w:r>
        <w:rPr>
          <w:rFonts w:ascii="Times New Roman" w:hAnsi="Times New Roman"/>
          <w:sz w:val="24"/>
          <w:szCs w:val="24"/>
          <w:lang w:val="en-US"/>
        </w:rPr>
        <w:noBreakHyphen/>
        <w:t>Hz associated with a 20</w:t>
      </w:r>
      <w:r>
        <w:rPr>
          <w:rFonts w:ascii="Times New Roman" w:hAnsi="Times New Roman"/>
          <w:sz w:val="24"/>
          <w:szCs w:val="24"/>
          <w:lang w:val="en-US"/>
        </w:rPr>
        <w:noBreakHyphen/>
        <w:t>Hz block with less than 10 valid measurements. The remaining 1</w:t>
      </w:r>
      <w:r>
        <w:rPr>
          <w:rFonts w:ascii="Times New Roman" w:hAnsi="Times New Roman"/>
          <w:sz w:val="24"/>
          <w:szCs w:val="24"/>
          <w:lang w:val="en-US"/>
        </w:rPr>
        <w:noBreakHyphen/>
        <w:t xml:space="preserve">Hz records are then screened according to scientific quality </w:t>
      </w:r>
      <w:r>
        <w:rPr>
          <w:rFonts w:ascii="Times New Roman" w:hAnsi="Times New Roman"/>
          <w:sz w:val="24"/>
          <w:szCs w:val="24"/>
          <w:lang w:val="en-US"/>
        </w:rPr>
        <w:lastRenderedPageBreak/>
        <w:t>criteria, including the use of minimum and maximum thresholds for the range corrections as well as for sigma0, SSHA, SWH and their corresponding 20</w:t>
      </w:r>
      <w:r>
        <w:rPr>
          <w:rFonts w:ascii="Times New Roman" w:hAnsi="Times New Roman"/>
          <w:sz w:val="24"/>
          <w:szCs w:val="24"/>
          <w:lang w:val="en-US"/>
        </w:rPr>
        <w:noBreakHyphen/>
        <w:t>Hz standard deviations. Editing criteria are summarized in Table 1. Note that measurements taken over ice-covered areas (polar polygons as denoted in Figure 1) are rejected.</w:t>
      </w:r>
    </w:p>
    <w:p w14:paraId="5943D396" w14:textId="77777777" w:rsidR="00830425" w:rsidRDefault="00830425" w:rsidP="00A42484">
      <w:pPr>
        <w:spacing w:line="480" w:lineRule="auto"/>
        <w:rPr>
          <w:rFonts w:ascii="Times New Roman" w:hAnsi="Times New Roman"/>
          <w:sz w:val="24"/>
          <w:szCs w:val="24"/>
          <w:lang w:val="en-US"/>
        </w:rPr>
      </w:pPr>
      <w:r>
        <w:rPr>
          <w:rFonts w:ascii="Times New Roman" w:hAnsi="Times New Roman"/>
          <w:sz w:val="24"/>
          <w:szCs w:val="24"/>
          <w:lang w:val="en-US"/>
        </w:rPr>
        <w:t>Table 1. Editing criteria applied to C2 GOP, C2 RADS and J2.</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15"/>
        <w:gridCol w:w="836"/>
        <w:gridCol w:w="836"/>
      </w:tblGrid>
      <w:tr w:rsidR="00830425" w:rsidRPr="009F34FE" w14:paraId="07C163D2" w14:textId="77777777" w:rsidTr="00AC6C0B">
        <w:trPr>
          <w:jc w:val="center"/>
        </w:trPr>
        <w:tc>
          <w:tcPr>
            <w:tcW w:w="0" w:type="auto"/>
          </w:tcPr>
          <w:p w14:paraId="1A190FDD"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Parameter</w:t>
            </w:r>
          </w:p>
        </w:tc>
        <w:tc>
          <w:tcPr>
            <w:tcW w:w="0" w:type="auto"/>
          </w:tcPr>
          <w:p w14:paraId="4E825A1D"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Min</w:t>
            </w:r>
          </w:p>
        </w:tc>
        <w:tc>
          <w:tcPr>
            <w:tcW w:w="0" w:type="auto"/>
          </w:tcPr>
          <w:p w14:paraId="79C7F9A7"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Max</w:t>
            </w:r>
          </w:p>
        </w:tc>
      </w:tr>
      <w:tr w:rsidR="00830425" w:rsidRPr="009F34FE" w14:paraId="586BBBB7" w14:textId="77777777" w:rsidTr="00AC6C0B">
        <w:trPr>
          <w:jc w:val="center"/>
        </w:trPr>
        <w:tc>
          <w:tcPr>
            <w:tcW w:w="0" w:type="auto"/>
          </w:tcPr>
          <w:p w14:paraId="211F3559"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Wet tropospheric correction [m]</w:t>
            </w:r>
          </w:p>
        </w:tc>
        <w:tc>
          <w:tcPr>
            <w:tcW w:w="0" w:type="auto"/>
          </w:tcPr>
          <w:p w14:paraId="454E6ACD"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-0.500</w:t>
            </w:r>
          </w:p>
        </w:tc>
        <w:tc>
          <w:tcPr>
            <w:tcW w:w="0" w:type="auto"/>
          </w:tcPr>
          <w:p w14:paraId="6C6421A6"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-0.001</w:t>
            </w:r>
          </w:p>
        </w:tc>
      </w:tr>
      <w:tr w:rsidR="00830425" w:rsidRPr="009F34FE" w14:paraId="2A68087D" w14:textId="77777777" w:rsidTr="00AC6C0B">
        <w:trPr>
          <w:jc w:val="center"/>
        </w:trPr>
        <w:tc>
          <w:tcPr>
            <w:tcW w:w="0" w:type="auto"/>
          </w:tcPr>
          <w:p w14:paraId="380D303A"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 xml:space="preserve">Dry tropospheric correction [m] </w:t>
            </w:r>
          </w:p>
        </w:tc>
        <w:tc>
          <w:tcPr>
            <w:tcW w:w="0" w:type="auto"/>
          </w:tcPr>
          <w:p w14:paraId="6CFFE541"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-2.5</w:t>
            </w:r>
          </w:p>
        </w:tc>
        <w:tc>
          <w:tcPr>
            <w:tcW w:w="0" w:type="auto"/>
          </w:tcPr>
          <w:p w14:paraId="300AD3B1"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-1.9</w:t>
            </w:r>
          </w:p>
        </w:tc>
      </w:tr>
      <w:tr w:rsidR="00830425" w:rsidRPr="009F34FE" w14:paraId="67F3A399" w14:textId="77777777" w:rsidTr="00AC6C0B">
        <w:trPr>
          <w:jc w:val="center"/>
        </w:trPr>
        <w:tc>
          <w:tcPr>
            <w:tcW w:w="0" w:type="auto"/>
          </w:tcPr>
          <w:p w14:paraId="741A7F6B"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Ionospheric correction [m]</w:t>
            </w:r>
          </w:p>
        </w:tc>
        <w:tc>
          <w:tcPr>
            <w:tcW w:w="0" w:type="auto"/>
          </w:tcPr>
          <w:p w14:paraId="37972E2C"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-0.40</w:t>
            </w:r>
          </w:p>
        </w:tc>
        <w:tc>
          <w:tcPr>
            <w:tcW w:w="0" w:type="auto"/>
          </w:tcPr>
          <w:p w14:paraId="3DD32307"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0.04</w:t>
            </w:r>
          </w:p>
        </w:tc>
      </w:tr>
      <w:tr w:rsidR="00830425" w:rsidRPr="009F34FE" w14:paraId="35F00D55" w14:textId="77777777" w:rsidTr="00AC6C0B">
        <w:trPr>
          <w:jc w:val="center"/>
        </w:trPr>
        <w:tc>
          <w:tcPr>
            <w:tcW w:w="0" w:type="auto"/>
          </w:tcPr>
          <w:p w14:paraId="08D81F8B"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DAC [m]</w:t>
            </w:r>
          </w:p>
        </w:tc>
        <w:tc>
          <w:tcPr>
            <w:tcW w:w="0" w:type="auto"/>
          </w:tcPr>
          <w:p w14:paraId="663ECDBE"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-2.0</w:t>
            </w:r>
          </w:p>
        </w:tc>
        <w:tc>
          <w:tcPr>
            <w:tcW w:w="0" w:type="auto"/>
          </w:tcPr>
          <w:p w14:paraId="1267DF59"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2.0</w:t>
            </w:r>
          </w:p>
        </w:tc>
      </w:tr>
      <w:tr w:rsidR="00830425" w:rsidRPr="009F34FE" w14:paraId="563BF047" w14:textId="77777777" w:rsidTr="00AC6C0B">
        <w:trPr>
          <w:jc w:val="center"/>
        </w:trPr>
        <w:tc>
          <w:tcPr>
            <w:tcW w:w="0" w:type="auto"/>
          </w:tcPr>
          <w:p w14:paraId="553C51F7"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Sea state bias [m]</w:t>
            </w:r>
          </w:p>
        </w:tc>
        <w:tc>
          <w:tcPr>
            <w:tcW w:w="0" w:type="auto"/>
          </w:tcPr>
          <w:p w14:paraId="062153A4"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-0.5</w:t>
            </w:r>
          </w:p>
        </w:tc>
        <w:tc>
          <w:tcPr>
            <w:tcW w:w="0" w:type="auto"/>
          </w:tcPr>
          <w:p w14:paraId="47926510"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0.0</w:t>
            </w:r>
          </w:p>
        </w:tc>
      </w:tr>
      <w:tr w:rsidR="00830425" w:rsidRPr="009F34FE" w14:paraId="1452C345" w14:textId="77777777" w:rsidTr="00ED7518">
        <w:trPr>
          <w:jc w:val="center"/>
        </w:trPr>
        <w:tc>
          <w:tcPr>
            <w:tcW w:w="0" w:type="auto"/>
          </w:tcPr>
          <w:p w14:paraId="547DA8FC"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SSH anomaly [m]</w:t>
            </w:r>
          </w:p>
        </w:tc>
        <w:tc>
          <w:tcPr>
            <w:tcW w:w="0" w:type="auto"/>
          </w:tcPr>
          <w:p w14:paraId="73C8B98A"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-3</w:t>
            </w:r>
          </w:p>
        </w:tc>
        <w:tc>
          <w:tcPr>
            <w:tcW w:w="0" w:type="auto"/>
          </w:tcPr>
          <w:p w14:paraId="7682D5D8"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3</w:t>
            </w:r>
          </w:p>
        </w:tc>
      </w:tr>
      <w:tr w:rsidR="00830425" w:rsidRPr="009F34FE" w14:paraId="2FF5B01C" w14:textId="77777777" w:rsidTr="00AC6C0B">
        <w:trPr>
          <w:jc w:val="center"/>
        </w:trPr>
        <w:tc>
          <w:tcPr>
            <w:tcW w:w="0" w:type="auto"/>
          </w:tcPr>
          <w:p w14:paraId="4619F506"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SWH [m]</w:t>
            </w:r>
          </w:p>
        </w:tc>
        <w:tc>
          <w:tcPr>
            <w:tcW w:w="0" w:type="auto"/>
          </w:tcPr>
          <w:p w14:paraId="6CD9C18A"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0</w:t>
            </w:r>
          </w:p>
        </w:tc>
        <w:tc>
          <w:tcPr>
            <w:tcW w:w="0" w:type="auto"/>
          </w:tcPr>
          <w:p w14:paraId="78E2CD94"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15</w:t>
            </w:r>
          </w:p>
        </w:tc>
      </w:tr>
      <w:tr w:rsidR="00830425" w:rsidRPr="009F34FE" w14:paraId="65025A63" w14:textId="77777777" w:rsidTr="00ED7518">
        <w:trPr>
          <w:jc w:val="center"/>
        </w:trPr>
        <w:tc>
          <w:tcPr>
            <w:tcW w:w="0" w:type="auto"/>
          </w:tcPr>
          <w:p w14:paraId="7F71FA0F"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Wind speed [m/s]</w:t>
            </w:r>
          </w:p>
        </w:tc>
        <w:tc>
          <w:tcPr>
            <w:tcW w:w="0" w:type="auto"/>
          </w:tcPr>
          <w:p w14:paraId="52931420"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0</w:t>
            </w:r>
          </w:p>
        </w:tc>
        <w:tc>
          <w:tcPr>
            <w:tcW w:w="0" w:type="auto"/>
          </w:tcPr>
          <w:p w14:paraId="6F77E112"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30</w:t>
            </w:r>
          </w:p>
        </w:tc>
      </w:tr>
      <w:tr w:rsidR="00830425" w:rsidRPr="009F34FE" w14:paraId="5E8FD70E" w14:textId="77777777" w:rsidTr="00AC6C0B">
        <w:trPr>
          <w:jc w:val="center"/>
        </w:trPr>
        <w:tc>
          <w:tcPr>
            <w:tcW w:w="0" w:type="auto"/>
          </w:tcPr>
          <w:p w14:paraId="265262B4"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 xml:space="preserve">Sigma0 [dB] </w:t>
            </w:r>
          </w:p>
        </w:tc>
        <w:tc>
          <w:tcPr>
            <w:tcW w:w="0" w:type="auto"/>
          </w:tcPr>
          <w:p w14:paraId="41A16BF5"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7</w:t>
            </w:r>
          </w:p>
        </w:tc>
        <w:tc>
          <w:tcPr>
            <w:tcW w:w="0" w:type="auto"/>
          </w:tcPr>
          <w:p w14:paraId="68B7644D"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30</w:t>
            </w:r>
          </w:p>
        </w:tc>
      </w:tr>
      <w:tr w:rsidR="00830425" w:rsidRPr="009F34FE" w14:paraId="549CE061" w14:textId="77777777" w:rsidTr="00AC6C0B">
        <w:trPr>
          <w:jc w:val="center"/>
        </w:trPr>
        <w:tc>
          <w:tcPr>
            <w:tcW w:w="0" w:type="auto"/>
          </w:tcPr>
          <w:p w14:paraId="4F3A224E"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std of range [m]</w:t>
            </w:r>
          </w:p>
        </w:tc>
        <w:tc>
          <w:tcPr>
            <w:tcW w:w="0" w:type="auto"/>
          </w:tcPr>
          <w:p w14:paraId="0442EB99"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0.0</w:t>
            </w:r>
          </w:p>
        </w:tc>
        <w:tc>
          <w:tcPr>
            <w:tcW w:w="0" w:type="auto"/>
          </w:tcPr>
          <w:p w14:paraId="1654F738"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0.2</w:t>
            </w:r>
          </w:p>
        </w:tc>
      </w:tr>
      <w:tr w:rsidR="00830425" w:rsidRPr="009F34FE" w14:paraId="70272FEE" w14:textId="77777777" w:rsidTr="00AC6C0B">
        <w:trPr>
          <w:jc w:val="center"/>
        </w:trPr>
        <w:tc>
          <w:tcPr>
            <w:tcW w:w="0" w:type="auto"/>
          </w:tcPr>
          <w:p w14:paraId="2158DC8E"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std of SWH [m]</w:t>
            </w:r>
          </w:p>
        </w:tc>
        <w:tc>
          <w:tcPr>
            <w:tcW w:w="0" w:type="auto"/>
          </w:tcPr>
          <w:p w14:paraId="6911FBF7"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0</w:t>
            </w:r>
          </w:p>
        </w:tc>
        <w:tc>
          <w:tcPr>
            <w:tcW w:w="0" w:type="auto"/>
          </w:tcPr>
          <w:p w14:paraId="71FC1E66"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1</w:t>
            </w:r>
          </w:p>
        </w:tc>
      </w:tr>
      <w:tr w:rsidR="00830425" w:rsidRPr="009F34FE" w14:paraId="57836DCB" w14:textId="77777777" w:rsidTr="00AC6C0B">
        <w:trPr>
          <w:jc w:val="center"/>
        </w:trPr>
        <w:tc>
          <w:tcPr>
            <w:tcW w:w="0" w:type="auto"/>
          </w:tcPr>
          <w:p w14:paraId="2A66A77C"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std of sigma0 [dB]</w:t>
            </w:r>
          </w:p>
        </w:tc>
        <w:tc>
          <w:tcPr>
            <w:tcW w:w="0" w:type="auto"/>
          </w:tcPr>
          <w:p w14:paraId="3F341AC9"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0.00</w:t>
            </w:r>
          </w:p>
        </w:tc>
        <w:tc>
          <w:tcPr>
            <w:tcW w:w="0" w:type="auto"/>
          </w:tcPr>
          <w:p w14:paraId="4CF46996" w14:textId="77777777" w:rsidR="00830425" w:rsidRPr="009F34FE" w:rsidRDefault="00830425" w:rsidP="009F34FE">
            <w:pPr>
              <w:spacing w:after="0" w:line="480" w:lineRule="auto"/>
              <w:jc w:val="center"/>
              <w:rPr>
                <w:rFonts w:ascii="Times New Roman" w:hAnsi="Times New Roman"/>
                <w:sz w:val="24"/>
                <w:szCs w:val="24"/>
                <w:lang w:val="en-US"/>
              </w:rPr>
            </w:pPr>
            <w:r w:rsidRPr="009F34FE">
              <w:rPr>
                <w:rFonts w:ascii="Times New Roman" w:hAnsi="Times New Roman"/>
                <w:sz w:val="24"/>
                <w:szCs w:val="24"/>
                <w:lang w:val="en-US"/>
              </w:rPr>
              <w:t>0.23</w:t>
            </w:r>
          </w:p>
        </w:tc>
      </w:tr>
    </w:tbl>
    <w:p w14:paraId="6817D777" w14:textId="77777777" w:rsidR="00830425" w:rsidRDefault="00830425" w:rsidP="00A42484">
      <w:pPr>
        <w:spacing w:line="480" w:lineRule="auto"/>
        <w:rPr>
          <w:rFonts w:ascii="Times New Roman" w:hAnsi="Times New Roman"/>
          <w:sz w:val="24"/>
          <w:szCs w:val="24"/>
          <w:lang w:val="en-US"/>
        </w:rPr>
      </w:pPr>
    </w:p>
    <w:p w14:paraId="75B1DE72" w14:textId="77777777" w:rsidR="00830425" w:rsidRDefault="00830425" w:rsidP="00A42484">
      <w:pPr>
        <w:spacing w:line="480" w:lineRule="auto"/>
        <w:rPr>
          <w:rFonts w:ascii="Times New Roman" w:hAnsi="Times New Roman"/>
          <w:b/>
          <w:sz w:val="24"/>
          <w:szCs w:val="24"/>
          <w:lang w:val="en-GB"/>
        </w:rPr>
      </w:pPr>
      <w:r>
        <w:rPr>
          <w:rFonts w:ascii="Times New Roman" w:hAnsi="Times New Roman"/>
          <w:b/>
          <w:sz w:val="24"/>
          <w:szCs w:val="24"/>
          <w:lang w:val="en-GB"/>
        </w:rPr>
        <w:t>2.2. Jason-2 and CryoSat-2 data from RADS.</w:t>
      </w:r>
    </w:p>
    <w:p w14:paraId="43AFC309" w14:textId="04909A7A" w:rsidR="00830425" w:rsidRDefault="00830425" w:rsidP="00A42484">
      <w:pPr>
        <w:spacing w:line="480" w:lineRule="auto"/>
        <w:rPr>
          <w:rFonts w:ascii="Times New Roman" w:hAnsi="Times New Roman"/>
          <w:sz w:val="24"/>
          <w:szCs w:val="24"/>
          <w:lang w:val="en-US"/>
        </w:rPr>
      </w:pPr>
      <w:r>
        <w:rPr>
          <w:rFonts w:ascii="Times New Roman" w:hAnsi="Times New Roman"/>
          <w:sz w:val="24"/>
          <w:szCs w:val="24"/>
          <w:lang w:val="en-US"/>
        </w:rPr>
        <w:t>For our validation, we use the 1</w:t>
      </w:r>
      <w:r>
        <w:rPr>
          <w:rFonts w:ascii="Times New Roman" w:hAnsi="Times New Roman"/>
          <w:sz w:val="24"/>
          <w:szCs w:val="24"/>
          <w:lang w:val="en-US"/>
        </w:rPr>
        <w:noBreakHyphen/>
        <w:t>Hz SSHA, SWH, and wind speed data from Jason-2 and CryoSat-2 as provided by the RADS database (</w:t>
      </w:r>
      <w:r w:rsidRPr="00B95CAF">
        <w:rPr>
          <w:rFonts w:ascii="Times New Roman" w:hAnsi="Times New Roman"/>
          <w:sz w:val="24"/>
          <w:szCs w:val="24"/>
          <w:lang w:val="en-US"/>
        </w:rPr>
        <w:t>http://rads.tudelft.nl/rads/rads.shtml</w:t>
      </w:r>
      <w:r>
        <w:rPr>
          <w:rFonts w:ascii="Times New Roman" w:hAnsi="Times New Roman"/>
          <w:sz w:val="24"/>
          <w:szCs w:val="24"/>
          <w:lang w:val="en-US"/>
        </w:rPr>
        <w:t xml:space="preserve">). The geophysical and atmospheric corrections applied to the SSHA are the same as those applied to the C2 GOP data (see Section 2.1), except for the sea state bias which is derived from a </w:t>
      </w:r>
      <w:r>
        <w:rPr>
          <w:rFonts w:ascii="Times New Roman" w:hAnsi="Times New Roman"/>
          <w:sz w:val="24"/>
          <w:szCs w:val="24"/>
          <w:lang w:val="en-US"/>
        </w:rPr>
        <w:lastRenderedPageBreak/>
        <w:t xml:space="preserve">hybrid model. We also use a different </w:t>
      </w:r>
      <w:r w:rsidR="00775665">
        <w:rPr>
          <w:rFonts w:ascii="Times New Roman" w:hAnsi="Times New Roman"/>
          <w:sz w:val="24"/>
          <w:szCs w:val="24"/>
          <w:lang w:val="en-US"/>
        </w:rPr>
        <w:t>MSS</w:t>
      </w:r>
      <w:r>
        <w:rPr>
          <w:rFonts w:ascii="Times New Roman" w:hAnsi="Times New Roman"/>
          <w:sz w:val="24"/>
          <w:szCs w:val="24"/>
          <w:lang w:val="en-US"/>
        </w:rPr>
        <w:t xml:space="preserve"> (DTU13) to compute the SSHA since the one used in C2 GOP (DTU10) was not available in RADS. As for the C2 GOP data, DAC will be applied to the SSHAs only for the comparison with steric heights. The RADS data used here have been screened based on the same editing criteria as those used for C2 GOP (Table 1).</w:t>
      </w:r>
    </w:p>
    <w:p w14:paraId="48DA016B" w14:textId="77777777" w:rsidR="00830425" w:rsidRDefault="00830425" w:rsidP="00A42484">
      <w:pPr>
        <w:spacing w:line="480" w:lineRule="auto"/>
        <w:rPr>
          <w:rFonts w:ascii="Times New Roman" w:hAnsi="Times New Roman"/>
          <w:b/>
          <w:sz w:val="24"/>
          <w:szCs w:val="24"/>
          <w:lang w:val="en-GB"/>
        </w:rPr>
      </w:pPr>
      <w:r>
        <w:rPr>
          <w:rFonts w:ascii="Times New Roman" w:hAnsi="Times New Roman"/>
          <w:b/>
          <w:sz w:val="24"/>
          <w:szCs w:val="24"/>
          <w:lang w:val="en-GB"/>
        </w:rPr>
        <w:t>2.3. Tide gauge data.</w:t>
      </w:r>
    </w:p>
    <w:p w14:paraId="6E7534D8" w14:textId="77777777" w:rsidR="00830425" w:rsidRDefault="00830425" w:rsidP="00A42484">
      <w:pPr>
        <w:spacing w:line="480" w:lineRule="auto"/>
        <w:rPr>
          <w:rFonts w:ascii="Times New Roman" w:hAnsi="Times New Roman"/>
          <w:color w:val="000000"/>
          <w:sz w:val="24"/>
          <w:szCs w:val="24"/>
          <w:lang w:val="en-US"/>
        </w:rPr>
      </w:pPr>
      <w:r>
        <w:rPr>
          <w:rFonts w:ascii="Times New Roman" w:hAnsi="Times New Roman"/>
          <w:color w:val="262626"/>
          <w:sz w:val="24"/>
          <w:szCs w:val="24"/>
          <w:lang w:val="en-US"/>
        </w:rPr>
        <w:t>Tide gauge records were</w:t>
      </w:r>
      <w:r w:rsidRPr="0038397B">
        <w:rPr>
          <w:rFonts w:ascii="Times New Roman" w:hAnsi="Times New Roman"/>
          <w:color w:val="262626"/>
          <w:sz w:val="24"/>
          <w:szCs w:val="24"/>
          <w:lang w:val="en-US"/>
        </w:rPr>
        <w:t xml:space="preserve"> obtained from the </w:t>
      </w:r>
      <w:r>
        <w:rPr>
          <w:rFonts w:ascii="Times New Roman" w:hAnsi="Times New Roman"/>
          <w:color w:val="262626"/>
          <w:sz w:val="24"/>
          <w:szCs w:val="24"/>
          <w:lang w:val="en-US"/>
        </w:rPr>
        <w:t>UK National Tide Gauge Network</w:t>
      </w:r>
      <w:r w:rsidRPr="0038397B">
        <w:rPr>
          <w:rFonts w:ascii="Times New Roman" w:hAnsi="Times New Roman"/>
          <w:color w:val="262626"/>
          <w:sz w:val="24"/>
          <w:szCs w:val="24"/>
          <w:lang w:val="en-US"/>
        </w:rPr>
        <w:t xml:space="preserve"> archive</w:t>
      </w:r>
      <w:r>
        <w:rPr>
          <w:rFonts w:ascii="Times New Roman" w:hAnsi="Times New Roman"/>
          <w:color w:val="262626"/>
          <w:sz w:val="24"/>
          <w:szCs w:val="24"/>
          <w:lang w:val="en-US"/>
        </w:rPr>
        <w:t xml:space="preserve">s at </w:t>
      </w:r>
      <w:r>
        <w:rPr>
          <w:rFonts w:ascii="Times New Roman" w:hAnsi="Times New Roman"/>
          <w:color w:val="424242"/>
          <w:sz w:val="24"/>
          <w:szCs w:val="24"/>
          <w:lang w:val="en-US"/>
        </w:rPr>
        <w:t>t</w:t>
      </w:r>
      <w:r w:rsidRPr="00DF63D6">
        <w:rPr>
          <w:rFonts w:ascii="Times New Roman" w:hAnsi="Times New Roman"/>
          <w:color w:val="424242"/>
          <w:sz w:val="24"/>
          <w:szCs w:val="24"/>
          <w:lang w:val="en-US"/>
        </w:rPr>
        <w:t>he British Oceanographic Data Centre (BODC)</w:t>
      </w:r>
      <w:r>
        <w:rPr>
          <w:rFonts w:ascii="Times New Roman" w:hAnsi="Times New Roman"/>
          <w:color w:val="262626"/>
          <w:sz w:val="24"/>
          <w:szCs w:val="24"/>
          <w:lang w:val="en-US"/>
        </w:rPr>
        <w:t xml:space="preserve"> and</w:t>
      </w:r>
      <w:r w:rsidRPr="0038397B">
        <w:rPr>
          <w:rFonts w:ascii="Times New Roman" w:hAnsi="Times New Roman"/>
          <w:color w:val="262626"/>
          <w:sz w:val="24"/>
          <w:szCs w:val="24"/>
          <w:lang w:val="en-US"/>
        </w:rPr>
        <w:t xml:space="preserve"> the </w:t>
      </w:r>
      <w:r>
        <w:rPr>
          <w:rFonts w:ascii="Times New Roman" w:hAnsi="Times New Roman"/>
          <w:color w:val="262626"/>
          <w:sz w:val="24"/>
          <w:szCs w:val="24"/>
          <w:lang w:val="en-US"/>
        </w:rPr>
        <w:t>University of Hawaii Sea Level Center (UHSLC</w:t>
      </w:r>
      <w:r w:rsidRPr="0038397B">
        <w:rPr>
          <w:rFonts w:ascii="Times New Roman" w:hAnsi="Times New Roman"/>
          <w:color w:val="262626"/>
          <w:sz w:val="24"/>
          <w:szCs w:val="24"/>
          <w:lang w:val="en-US"/>
        </w:rPr>
        <w:t>)</w:t>
      </w:r>
      <w:r>
        <w:rPr>
          <w:rFonts w:ascii="Times New Roman" w:hAnsi="Times New Roman"/>
          <w:color w:val="262626"/>
          <w:sz w:val="24"/>
          <w:szCs w:val="24"/>
          <w:lang w:val="en-US"/>
        </w:rPr>
        <w:t>. The temporal resolution of the sea level data is 15 minutes for records stored at the BODC and 1 hour for those stored at the UHSLC. A set of 22 tide gauges was selected based on the following criteria: 1) they have valid hourly or more frequent data for the period April 2014 to April 2016; and 2) they do not show obvious shifts and outliers upon visual inspection of the non-tidal residuals. The tide gauge</w:t>
      </w:r>
      <w:r>
        <w:rPr>
          <w:rFonts w:ascii="Times New Roman" w:hAnsi="Times New Roman"/>
          <w:color w:val="000000"/>
          <w:sz w:val="24"/>
          <w:szCs w:val="24"/>
          <w:lang w:val="en-US"/>
        </w:rPr>
        <w:t xml:space="preserve"> names and locations</w:t>
      </w:r>
      <w:r w:rsidRPr="00EE32C3">
        <w:rPr>
          <w:rFonts w:ascii="Times New Roman" w:hAnsi="Times New Roman"/>
          <w:color w:val="000000"/>
          <w:sz w:val="24"/>
          <w:szCs w:val="24"/>
          <w:lang w:val="en-US"/>
        </w:rPr>
        <w:t xml:space="preserve"> are shown in Figure 1. For cons</w:t>
      </w:r>
      <w:r>
        <w:rPr>
          <w:rFonts w:ascii="Times New Roman" w:hAnsi="Times New Roman"/>
          <w:color w:val="000000"/>
          <w:sz w:val="24"/>
          <w:szCs w:val="24"/>
          <w:lang w:val="en-US"/>
        </w:rPr>
        <w:t>istency with the altimetry data, all tide gauge records were detided. T</w:t>
      </w:r>
      <w:r w:rsidRPr="00EE32C3">
        <w:rPr>
          <w:rFonts w:ascii="Times New Roman" w:hAnsi="Times New Roman"/>
          <w:color w:val="000000"/>
          <w:sz w:val="24"/>
          <w:szCs w:val="24"/>
          <w:lang w:val="en-US"/>
        </w:rPr>
        <w:t>he amplitudes and phases of the tidal constituents were estimated</w:t>
      </w:r>
      <w:r>
        <w:rPr>
          <w:rFonts w:ascii="Times New Roman" w:hAnsi="Times New Roman"/>
          <w:color w:val="000000"/>
          <w:sz w:val="24"/>
          <w:szCs w:val="24"/>
          <w:lang w:val="en-US"/>
        </w:rPr>
        <w:t xml:space="preserve"> on a year-by-year basis</w:t>
      </w:r>
      <w:r w:rsidRPr="00EE32C3">
        <w:rPr>
          <w:rFonts w:ascii="Times New Roman" w:hAnsi="Times New Roman"/>
          <w:color w:val="000000"/>
          <w:sz w:val="24"/>
          <w:szCs w:val="24"/>
          <w:lang w:val="en-US"/>
        </w:rPr>
        <w:t xml:space="preserve"> by harmonic analysis using the program </w:t>
      </w:r>
      <w:r w:rsidRPr="00EE32C3">
        <w:rPr>
          <w:rFonts w:ascii="Times New Roman" w:hAnsi="Times New Roman"/>
          <w:iCs/>
          <w:color w:val="000000"/>
          <w:sz w:val="24"/>
          <w:szCs w:val="24"/>
          <w:lang w:val="en-US"/>
        </w:rPr>
        <w:t>t-tide</w:t>
      </w:r>
      <w:r>
        <w:rPr>
          <w:rFonts w:ascii="Times New Roman" w:hAnsi="Times New Roman"/>
          <w:color w:val="000000"/>
          <w:sz w:val="24"/>
          <w:szCs w:val="24"/>
          <w:lang w:val="en-US"/>
        </w:rPr>
        <w:t xml:space="preserve"> (</w:t>
      </w:r>
      <w:r w:rsidRPr="00EE32C3">
        <w:rPr>
          <w:rFonts w:ascii="Times New Roman" w:hAnsi="Times New Roman"/>
          <w:iCs/>
          <w:color w:val="000000"/>
          <w:sz w:val="24"/>
          <w:szCs w:val="24"/>
          <w:lang w:val="en-US"/>
        </w:rPr>
        <w:t>Pawlowicz et al</w:t>
      </w:r>
      <w:r w:rsidRPr="00EE32C3">
        <w:rPr>
          <w:rFonts w:ascii="Times New Roman" w:hAnsi="Times New Roman"/>
          <w:color w:val="000000"/>
          <w:sz w:val="24"/>
          <w:szCs w:val="24"/>
          <w:lang w:val="en-US"/>
        </w:rPr>
        <w:t xml:space="preserve">., </w:t>
      </w:r>
      <w:r w:rsidRPr="00EE32C3">
        <w:rPr>
          <w:rFonts w:ascii="Times New Roman" w:hAnsi="Times New Roman"/>
          <w:bCs/>
          <w:color w:val="000000"/>
          <w:sz w:val="24"/>
          <w:szCs w:val="24"/>
          <w:lang w:val="en-US"/>
        </w:rPr>
        <w:t>2002</w:t>
      </w:r>
      <w:r>
        <w:rPr>
          <w:rFonts w:ascii="Times New Roman" w:hAnsi="Times New Roman"/>
          <w:color w:val="000000"/>
          <w:sz w:val="24"/>
          <w:szCs w:val="24"/>
          <w:lang w:val="en-US"/>
        </w:rPr>
        <w:t>)</w:t>
      </w:r>
      <w:r w:rsidRPr="00EE32C3">
        <w:rPr>
          <w:rFonts w:ascii="Times New Roman" w:hAnsi="Times New Roman"/>
          <w:color w:val="000000"/>
          <w:sz w:val="24"/>
          <w:szCs w:val="24"/>
          <w:lang w:val="en-US"/>
        </w:rPr>
        <w:t>. Only constituents with a signal-to-noise ratio equal or larger than three were used to reconstruct the tidal signal</w:t>
      </w:r>
      <w:r>
        <w:rPr>
          <w:rFonts w:ascii="Times New Roman" w:hAnsi="Times New Roman"/>
          <w:color w:val="000000"/>
          <w:sz w:val="24"/>
          <w:szCs w:val="24"/>
          <w:lang w:val="en-US"/>
        </w:rPr>
        <w:t xml:space="preserve">. </w:t>
      </w:r>
    </w:p>
    <w:p w14:paraId="21792D8B" w14:textId="6D38AD95" w:rsidR="00830425" w:rsidRPr="00BD2140" w:rsidRDefault="00BC7147" w:rsidP="00C95166">
      <w:pPr>
        <w:spacing w:line="480" w:lineRule="auto"/>
        <w:rPr>
          <w:rFonts w:ascii="Times New Roman" w:hAnsi="Times New Roman"/>
          <w:color w:val="000000"/>
          <w:sz w:val="24"/>
          <w:szCs w:val="24"/>
          <w:lang w:val="en-GB"/>
        </w:rPr>
      </w:pPr>
      <w:r>
        <w:rPr>
          <w:rFonts w:ascii="Times New Roman" w:hAnsi="Times New Roman"/>
          <w:color w:val="000000"/>
          <w:sz w:val="24"/>
          <w:szCs w:val="24"/>
          <w:lang w:val="en-US"/>
        </w:rPr>
        <w:t>If there was</w:t>
      </w:r>
      <w:r w:rsidR="00830425">
        <w:rPr>
          <w:rFonts w:ascii="Times New Roman" w:hAnsi="Times New Roman"/>
          <w:color w:val="000000"/>
          <w:sz w:val="24"/>
          <w:szCs w:val="24"/>
          <w:lang w:val="en-US"/>
        </w:rPr>
        <w:t xml:space="preserve"> no</w:t>
      </w:r>
      <w:r>
        <w:rPr>
          <w:rFonts w:ascii="Times New Roman" w:hAnsi="Times New Roman"/>
          <w:color w:val="000000"/>
          <w:sz w:val="24"/>
          <w:szCs w:val="24"/>
          <w:lang w:val="en-US"/>
        </w:rPr>
        <w:t>t</w:t>
      </w:r>
      <w:r w:rsidR="00830425">
        <w:rPr>
          <w:rFonts w:ascii="Times New Roman" w:hAnsi="Times New Roman"/>
          <w:color w:val="000000"/>
          <w:sz w:val="24"/>
          <w:szCs w:val="24"/>
          <w:lang w:val="en-US"/>
        </w:rPr>
        <w:t xml:space="preserve"> vertical land motion at the tide gauge location, then collocated altimetry and tide gauge measurements</w:t>
      </w:r>
      <w:r w:rsidR="003D0057">
        <w:rPr>
          <w:rFonts w:ascii="Times New Roman" w:hAnsi="Times New Roman"/>
          <w:color w:val="000000"/>
          <w:sz w:val="24"/>
          <w:szCs w:val="24"/>
          <w:lang w:val="en-US"/>
        </w:rPr>
        <w:t xml:space="preserve"> would</w:t>
      </w:r>
      <w:r w:rsidR="00830425">
        <w:rPr>
          <w:rFonts w:ascii="Times New Roman" w:hAnsi="Times New Roman"/>
          <w:color w:val="000000"/>
          <w:sz w:val="24"/>
          <w:szCs w:val="24"/>
          <w:lang w:val="en-US"/>
        </w:rPr>
        <w:t xml:space="preserve"> provide estimates of the same quantity. Note however that, in general, altimetry measurements are not taken at the tide gauge location but at some ocean point nearby nor they are collocated in time with the tide gauge observations. Moreover, CryoSat-2 measurements are hardly ever taken over the same ocean point due to the long-repeat cycle (369 days) of the satellite. Therefore, </w:t>
      </w:r>
      <w:r w:rsidR="00830425" w:rsidRPr="00D91AB0">
        <w:rPr>
          <w:rFonts w:ascii="Times New Roman" w:hAnsi="Times New Roman"/>
          <w:color w:val="000000"/>
          <w:sz w:val="24"/>
          <w:szCs w:val="24"/>
          <w:lang w:val="en-GB"/>
        </w:rPr>
        <w:t>some processing is necessary to obtain altimeter</w:t>
      </w:r>
      <w:r w:rsidR="00830425">
        <w:rPr>
          <w:rFonts w:ascii="Times New Roman" w:hAnsi="Times New Roman"/>
          <w:color w:val="000000"/>
          <w:sz w:val="24"/>
          <w:szCs w:val="24"/>
          <w:lang w:val="en-GB"/>
        </w:rPr>
        <w:t>/</w:t>
      </w:r>
      <w:r w:rsidR="00830425" w:rsidRPr="00D91AB0">
        <w:rPr>
          <w:rFonts w:ascii="Times New Roman" w:hAnsi="Times New Roman"/>
          <w:color w:val="000000"/>
          <w:sz w:val="24"/>
          <w:szCs w:val="24"/>
          <w:lang w:val="en-GB"/>
        </w:rPr>
        <w:t>tide</w:t>
      </w:r>
      <w:r w:rsidR="00830425">
        <w:rPr>
          <w:rFonts w:ascii="Times New Roman" w:hAnsi="Times New Roman"/>
          <w:color w:val="000000"/>
          <w:sz w:val="24"/>
          <w:szCs w:val="24"/>
          <w:lang w:val="en-GB"/>
        </w:rPr>
        <w:t xml:space="preserve"> </w:t>
      </w:r>
      <w:r w:rsidR="00830425" w:rsidRPr="00D91AB0">
        <w:rPr>
          <w:rFonts w:ascii="Times New Roman" w:hAnsi="Times New Roman"/>
          <w:color w:val="000000"/>
          <w:sz w:val="24"/>
          <w:szCs w:val="24"/>
          <w:lang w:val="en-GB"/>
        </w:rPr>
        <w:t>gauge</w:t>
      </w:r>
      <w:r w:rsidR="00830425">
        <w:rPr>
          <w:rFonts w:ascii="Times New Roman" w:hAnsi="Times New Roman"/>
          <w:color w:val="000000"/>
          <w:sz w:val="24"/>
          <w:szCs w:val="24"/>
          <w:lang w:val="en-GB"/>
        </w:rPr>
        <w:t xml:space="preserve"> comparison</w:t>
      </w:r>
      <w:r w:rsidR="00830425" w:rsidRPr="00D91AB0">
        <w:rPr>
          <w:rFonts w:ascii="Times New Roman" w:hAnsi="Times New Roman"/>
          <w:color w:val="000000"/>
          <w:sz w:val="24"/>
          <w:szCs w:val="24"/>
          <w:lang w:val="en-GB"/>
        </w:rPr>
        <w:t xml:space="preserve"> pair</w:t>
      </w:r>
      <w:r w:rsidR="00830425">
        <w:rPr>
          <w:rFonts w:ascii="Times New Roman" w:hAnsi="Times New Roman"/>
          <w:color w:val="000000"/>
          <w:sz w:val="24"/>
          <w:szCs w:val="24"/>
          <w:lang w:val="en-GB"/>
        </w:rPr>
        <w:t xml:space="preserve">s. Here we use a search radius centred on the tide gauge to select the altimetry measurements that are relevant to the tide gauge observations. This </w:t>
      </w:r>
      <w:r w:rsidR="00830425">
        <w:rPr>
          <w:rFonts w:ascii="Times New Roman" w:hAnsi="Times New Roman"/>
          <w:color w:val="000000"/>
          <w:sz w:val="24"/>
          <w:szCs w:val="24"/>
          <w:lang w:val="en-GB"/>
        </w:rPr>
        <w:lastRenderedPageBreak/>
        <w:t>approach allows us to accommodate the non-repeating CryoSat-2 ground tracks.</w:t>
      </w:r>
      <w:r w:rsidR="00830425" w:rsidRPr="00D91AB0">
        <w:rPr>
          <w:rFonts w:ascii="Times New Roman" w:hAnsi="Times New Roman"/>
          <w:color w:val="000000"/>
          <w:sz w:val="24"/>
          <w:szCs w:val="24"/>
          <w:lang w:val="en-GB"/>
        </w:rPr>
        <w:t xml:space="preserve"> </w:t>
      </w:r>
      <w:r w:rsidR="00830425">
        <w:rPr>
          <w:rFonts w:ascii="Times New Roman" w:hAnsi="Times New Roman"/>
          <w:color w:val="000000"/>
          <w:sz w:val="24"/>
          <w:szCs w:val="24"/>
          <w:lang w:val="en-GB"/>
        </w:rPr>
        <w:t>We</w:t>
      </w:r>
      <w:r w:rsidR="00830425" w:rsidRPr="00D91AB0">
        <w:rPr>
          <w:rFonts w:ascii="Times New Roman" w:hAnsi="Times New Roman"/>
          <w:color w:val="000000"/>
          <w:sz w:val="24"/>
          <w:szCs w:val="24"/>
          <w:lang w:val="en-GB"/>
        </w:rPr>
        <w:t xml:space="preserve"> test for different values of the</w:t>
      </w:r>
      <w:r w:rsidR="00830425">
        <w:rPr>
          <w:rFonts w:ascii="Times New Roman" w:hAnsi="Times New Roman"/>
          <w:color w:val="000000"/>
          <w:sz w:val="24"/>
          <w:szCs w:val="24"/>
          <w:lang w:val="en-GB"/>
        </w:rPr>
        <w:t xml:space="preserve"> radius within the range 0 to 15</w:t>
      </w:r>
      <w:r w:rsidR="00830425" w:rsidRPr="00D91AB0">
        <w:rPr>
          <w:rFonts w:ascii="Times New Roman" w:hAnsi="Times New Roman"/>
          <w:color w:val="000000"/>
          <w:sz w:val="24"/>
          <w:szCs w:val="24"/>
          <w:lang w:val="en-GB"/>
        </w:rPr>
        <w:t xml:space="preserve">0 km and </w:t>
      </w:r>
      <w:r w:rsidR="00830425">
        <w:rPr>
          <w:rFonts w:ascii="Times New Roman" w:hAnsi="Times New Roman"/>
          <w:color w:val="000000"/>
          <w:sz w:val="24"/>
          <w:szCs w:val="24"/>
          <w:lang w:val="en-GB"/>
        </w:rPr>
        <w:t>select</w:t>
      </w:r>
      <w:r w:rsidR="00830425" w:rsidRPr="00D91AB0">
        <w:rPr>
          <w:rFonts w:ascii="Times New Roman" w:hAnsi="Times New Roman"/>
          <w:color w:val="000000"/>
          <w:sz w:val="24"/>
          <w:szCs w:val="24"/>
          <w:lang w:val="en-GB"/>
        </w:rPr>
        <w:t xml:space="preserve"> th</w:t>
      </w:r>
      <w:r w:rsidR="00830425">
        <w:rPr>
          <w:rFonts w:ascii="Times New Roman" w:hAnsi="Times New Roman"/>
          <w:color w:val="000000"/>
          <w:sz w:val="24"/>
          <w:szCs w:val="24"/>
          <w:lang w:val="en-GB"/>
        </w:rPr>
        <w:t>e radius that</w:t>
      </w:r>
      <w:r w:rsidR="00830425" w:rsidRPr="00D91AB0">
        <w:rPr>
          <w:rFonts w:ascii="Times New Roman" w:hAnsi="Times New Roman"/>
          <w:color w:val="000000"/>
          <w:sz w:val="24"/>
          <w:szCs w:val="24"/>
          <w:lang w:val="en-GB"/>
        </w:rPr>
        <w:t xml:space="preserve"> minimiz</w:t>
      </w:r>
      <w:r w:rsidR="00830425">
        <w:rPr>
          <w:rFonts w:ascii="Times New Roman" w:hAnsi="Times New Roman"/>
          <w:color w:val="000000"/>
          <w:sz w:val="24"/>
          <w:szCs w:val="24"/>
          <w:lang w:val="en-GB"/>
        </w:rPr>
        <w:t>es</w:t>
      </w:r>
      <w:r w:rsidR="00830425" w:rsidRPr="00D91AB0">
        <w:rPr>
          <w:rFonts w:ascii="Times New Roman" w:hAnsi="Times New Roman"/>
          <w:color w:val="000000"/>
          <w:sz w:val="24"/>
          <w:szCs w:val="24"/>
          <w:lang w:val="en-GB"/>
        </w:rPr>
        <w:t xml:space="preserve"> the root mean square difference (RMSD) between the tide gauge and altimetry observations.</w:t>
      </w:r>
      <w:r w:rsidR="00830425">
        <w:rPr>
          <w:rFonts w:ascii="Times New Roman" w:hAnsi="Times New Roman"/>
          <w:color w:val="000000"/>
          <w:sz w:val="24"/>
          <w:szCs w:val="24"/>
          <w:lang w:val="en-GB"/>
        </w:rPr>
        <w:t xml:space="preserve"> Therefore, </w:t>
      </w:r>
      <w:r w:rsidR="00830425">
        <w:rPr>
          <w:rFonts w:ascii="Times New Roman" w:hAnsi="Times New Roman"/>
          <w:color w:val="000000"/>
          <w:sz w:val="24"/>
          <w:szCs w:val="24"/>
          <w:lang w:val="en-US"/>
        </w:rPr>
        <w:t xml:space="preserve">the selection of the radius is strictly based on quantitative analysis and it is tailored to represent the optimum radius for each individual tide gauge. The imposition of a maximum radius (150 km) is justified by the fact that </w:t>
      </w:r>
      <w:r w:rsidR="00830425" w:rsidRPr="00D91AB0">
        <w:rPr>
          <w:rFonts w:ascii="Times New Roman" w:hAnsi="Times New Roman"/>
          <w:color w:val="000000"/>
          <w:sz w:val="24"/>
          <w:szCs w:val="24"/>
          <w:lang w:val="en-GB"/>
        </w:rPr>
        <w:t xml:space="preserve">altimetry measurements taken too far from </w:t>
      </w:r>
      <w:r w:rsidR="00830425">
        <w:rPr>
          <w:rFonts w:ascii="Times New Roman" w:hAnsi="Times New Roman"/>
          <w:color w:val="000000"/>
          <w:sz w:val="24"/>
          <w:szCs w:val="24"/>
          <w:lang w:val="en-GB"/>
        </w:rPr>
        <w:t>the tide gauge</w:t>
      </w:r>
      <w:r w:rsidR="00830425" w:rsidRPr="00D91AB0">
        <w:rPr>
          <w:rFonts w:ascii="Times New Roman" w:hAnsi="Times New Roman"/>
          <w:color w:val="000000"/>
          <w:sz w:val="24"/>
          <w:szCs w:val="24"/>
          <w:lang w:val="en-GB"/>
        </w:rPr>
        <w:t xml:space="preserve"> may </w:t>
      </w:r>
      <w:r w:rsidR="00830425">
        <w:rPr>
          <w:rFonts w:ascii="Times New Roman" w:hAnsi="Times New Roman"/>
          <w:color w:val="000000"/>
          <w:sz w:val="24"/>
          <w:szCs w:val="24"/>
          <w:lang w:val="en-GB"/>
        </w:rPr>
        <w:t>include signals different from those</w:t>
      </w:r>
      <w:r w:rsidR="00830425" w:rsidRPr="00D91AB0">
        <w:rPr>
          <w:rFonts w:ascii="Times New Roman" w:hAnsi="Times New Roman"/>
          <w:color w:val="000000"/>
          <w:sz w:val="24"/>
          <w:szCs w:val="24"/>
          <w:lang w:val="en-GB"/>
        </w:rPr>
        <w:t xml:space="preserve"> </w:t>
      </w:r>
      <w:r w:rsidR="00830425">
        <w:rPr>
          <w:rFonts w:ascii="Times New Roman" w:hAnsi="Times New Roman"/>
          <w:color w:val="000000"/>
          <w:sz w:val="24"/>
          <w:szCs w:val="24"/>
          <w:lang w:val="en-GB"/>
        </w:rPr>
        <w:t xml:space="preserve">measured </w:t>
      </w:r>
      <w:r w:rsidR="00830425" w:rsidRPr="00D91AB0">
        <w:rPr>
          <w:rFonts w:ascii="Times New Roman" w:hAnsi="Times New Roman"/>
          <w:color w:val="000000"/>
          <w:sz w:val="24"/>
          <w:szCs w:val="24"/>
          <w:lang w:val="en-GB"/>
        </w:rPr>
        <w:t>by the tide gauge</w:t>
      </w:r>
      <w:r w:rsidR="00830425">
        <w:rPr>
          <w:rFonts w:ascii="Times New Roman" w:hAnsi="Times New Roman"/>
          <w:color w:val="000000"/>
          <w:sz w:val="24"/>
          <w:szCs w:val="24"/>
          <w:lang w:val="en-GB"/>
        </w:rPr>
        <w:t>.</w:t>
      </w:r>
      <w:r w:rsidR="00830425">
        <w:rPr>
          <w:rFonts w:ascii="Times New Roman" w:hAnsi="Times New Roman"/>
          <w:color w:val="000000"/>
          <w:sz w:val="24"/>
          <w:szCs w:val="24"/>
          <w:lang w:val="en-US"/>
        </w:rPr>
        <w:t xml:space="preserve"> </w:t>
      </w:r>
      <w:r>
        <w:rPr>
          <w:rFonts w:ascii="Times New Roman" w:hAnsi="Times New Roman"/>
          <w:color w:val="000000"/>
          <w:sz w:val="24"/>
          <w:szCs w:val="24"/>
          <w:lang w:val="en-GB"/>
        </w:rPr>
        <w:t>Then</w:t>
      </w:r>
      <w:r w:rsidR="00830425">
        <w:rPr>
          <w:rFonts w:ascii="Times New Roman" w:hAnsi="Times New Roman"/>
          <w:color w:val="000000"/>
          <w:sz w:val="24"/>
          <w:szCs w:val="24"/>
          <w:lang w:val="en-GB"/>
        </w:rPr>
        <w:t>,</w:t>
      </w:r>
      <w:r w:rsidR="00830425" w:rsidRPr="00D91AB0">
        <w:rPr>
          <w:rFonts w:ascii="Times New Roman" w:hAnsi="Times New Roman"/>
          <w:color w:val="000000"/>
          <w:sz w:val="24"/>
          <w:szCs w:val="24"/>
          <w:lang w:val="en-GB"/>
        </w:rPr>
        <w:t xml:space="preserve"> for each altimetry pass</w:t>
      </w:r>
      <w:r w:rsidR="00830425">
        <w:rPr>
          <w:rFonts w:ascii="Times New Roman" w:hAnsi="Times New Roman"/>
          <w:color w:val="000000"/>
          <w:sz w:val="24"/>
          <w:szCs w:val="24"/>
          <w:lang w:val="en-GB"/>
        </w:rPr>
        <w:t xml:space="preserve"> falling within the selected radius</w:t>
      </w:r>
      <w:r w:rsidR="00830425" w:rsidRPr="00D91AB0">
        <w:rPr>
          <w:rFonts w:ascii="Times New Roman" w:hAnsi="Times New Roman"/>
          <w:color w:val="000000"/>
          <w:sz w:val="24"/>
          <w:szCs w:val="24"/>
          <w:lang w:val="en-GB"/>
        </w:rPr>
        <w:t>, an altimetry value is obtained by computing the median of all records falling within the selected radius. The corresponding tide gauge matching value is obtained by linearly interpolating the</w:t>
      </w:r>
      <w:r w:rsidR="00830425">
        <w:rPr>
          <w:rFonts w:ascii="Times New Roman" w:hAnsi="Times New Roman"/>
          <w:color w:val="000000"/>
          <w:sz w:val="24"/>
          <w:szCs w:val="24"/>
          <w:lang w:val="en-GB"/>
        </w:rPr>
        <w:t xml:space="preserve"> tide gauge observations to the </w:t>
      </w:r>
      <w:r w:rsidR="00830425" w:rsidRPr="00D91AB0">
        <w:rPr>
          <w:rFonts w:ascii="Times New Roman" w:hAnsi="Times New Roman"/>
          <w:color w:val="000000"/>
          <w:sz w:val="24"/>
          <w:szCs w:val="24"/>
          <w:lang w:val="en-GB"/>
        </w:rPr>
        <w:t xml:space="preserve">time of </w:t>
      </w:r>
      <w:r w:rsidR="00830425">
        <w:rPr>
          <w:rFonts w:ascii="Times New Roman" w:hAnsi="Times New Roman"/>
          <w:color w:val="000000"/>
          <w:sz w:val="24"/>
          <w:szCs w:val="24"/>
          <w:lang w:val="en-GB"/>
        </w:rPr>
        <w:t>each selected</w:t>
      </w:r>
      <w:r w:rsidR="00830425" w:rsidRPr="00D91AB0">
        <w:rPr>
          <w:rFonts w:ascii="Times New Roman" w:hAnsi="Times New Roman"/>
          <w:color w:val="000000"/>
          <w:sz w:val="24"/>
          <w:szCs w:val="24"/>
          <w:lang w:val="en-GB"/>
        </w:rPr>
        <w:t xml:space="preserve"> altimetry pass.</w:t>
      </w:r>
      <w:r w:rsidR="00830425">
        <w:rPr>
          <w:rFonts w:ascii="Times New Roman" w:hAnsi="Times New Roman"/>
          <w:color w:val="000000"/>
          <w:sz w:val="24"/>
          <w:szCs w:val="24"/>
          <w:lang w:val="en-US"/>
        </w:rPr>
        <w:t xml:space="preserve"> Values in the resulting time series with a temporal separation smaller than 3 days are averaged to form a single value (this only affects the C2 GOP and C2 RADS data). </w:t>
      </w:r>
    </w:p>
    <w:p w14:paraId="40D4F6B4" w14:textId="2DC5F4CF" w:rsidR="00830425" w:rsidRDefault="00830425" w:rsidP="00C95166">
      <w:pPr>
        <w:spacing w:line="480" w:lineRule="auto"/>
        <w:rPr>
          <w:rFonts w:ascii="Times New Roman" w:hAnsi="Times New Roman"/>
          <w:sz w:val="24"/>
          <w:szCs w:val="24"/>
          <w:lang w:val="en-US"/>
        </w:rPr>
      </w:pPr>
      <w:r>
        <w:rPr>
          <w:rFonts w:ascii="Times New Roman" w:hAnsi="Times New Roman"/>
          <w:color w:val="000000"/>
          <w:sz w:val="24"/>
          <w:szCs w:val="24"/>
          <w:lang w:val="en-GB"/>
        </w:rPr>
        <w:t xml:space="preserve">We realize that the derived time series for CryoSat-2 and Jason-2 have different sampling intervals due to the different characteristics between the two altimeters and this may raise concerns about the consistency of the comparison. </w:t>
      </w:r>
      <w:r w:rsidRPr="005914BF">
        <w:rPr>
          <w:rFonts w:ascii="Times New Roman" w:hAnsi="Times New Roman"/>
          <w:color w:val="000000"/>
          <w:sz w:val="24"/>
          <w:szCs w:val="24"/>
          <w:lang w:val="en-GB"/>
        </w:rPr>
        <w:t>Nevertheless,</w:t>
      </w:r>
      <w:r>
        <w:rPr>
          <w:rFonts w:ascii="Times New Roman" w:hAnsi="Times New Roman"/>
          <w:color w:val="000000"/>
          <w:sz w:val="24"/>
          <w:szCs w:val="24"/>
          <w:lang w:val="en-GB"/>
        </w:rPr>
        <w:t xml:space="preserve"> it is important to note that here</w:t>
      </w:r>
      <w:r w:rsidRPr="005914BF">
        <w:rPr>
          <w:rFonts w:ascii="Times New Roman" w:hAnsi="Times New Roman"/>
          <w:color w:val="000000"/>
          <w:sz w:val="24"/>
          <w:szCs w:val="24"/>
          <w:lang w:val="en-GB"/>
        </w:rPr>
        <w:t xml:space="preserve"> we obtain one comparison pair each time that an altimeter pass falls within the selected radius</w:t>
      </w:r>
      <w:r>
        <w:rPr>
          <w:rFonts w:ascii="Times New Roman" w:hAnsi="Times New Roman"/>
          <w:color w:val="000000"/>
          <w:sz w:val="24"/>
          <w:szCs w:val="24"/>
          <w:lang w:val="en-GB"/>
        </w:rPr>
        <w:t>, and thus we are essentially</w:t>
      </w:r>
      <w:r w:rsidRPr="005914BF">
        <w:rPr>
          <w:rFonts w:ascii="Times New Roman" w:hAnsi="Times New Roman"/>
          <w:color w:val="000000"/>
          <w:sz w:val="24"/>
          <w:szCs w:val="24"/>
          <w:lang w:val="en-GB"/>
        </w:rPr>
        <w:t xml:space="preserve"> comparing instantaneous values of sea level since we do not perform any averaging in time. Over timescales of </w:t>
      </w:r>
      <w:r w:rsidR="00873D5B">
        <w:rPr>
          <w:rFonts w:ascii="Times New Roman" w:hAnsi="Times New Roman"/>
          <w:color w:val="000000"/>
          <w:sz w:val="24"/>
          <w:szCs w:val="24"/>
          <w:lang w:val="en-GB"/>
        </w:rPr>
        <w:t xml:space="preserve">few weeks </w:t>
      </w:r>
      <w:r w:rsidRPr="005914BF">
        <w:rPr>
          <w:rFonts w:ascii="Times New Roman" w:hAnsi="Times New Roman"/>
          <w:color w:val="000000"/>
          <w:sz w:val="24"/>
          <w:szCs w:val="24"/>
          <w:lang w:val="en-GB"/>
        </w:rPr>
        <w:t xml:space="preserve">sea level variability is close to white noise and thus sampling it with a certain periodicity </w:t>
      </w:r>
      <w:r>
        <w:rPr>
          <w:rFonts w:ascii="Times New Roman" w:hAnsi="Times New Roman"/>
          <w:color w:val="000000"/>
          <w:sz w:val="24"/>
          <w:szCs w:val="24"/>
          <w:lang w:val="en-GB"/>
        </w:rPr>
        <w:t>or irregularly or at different rates</w:t>
      </w:r>
      <w:r w:rsidRPr="005914BF">
        <w:rPr>
          <w:rFonts w:ascii="Times New Roman" w:hAnsi="Times New Roman"/>
          <w:color w:val="000000"/>
          <w:sz w:val="24"/>
          <w:szCs w:val="24"/>
          <w:lang w:val="en-GB"/>
        </w:rPr>
        <w:t xml:space="preserve"> results in time series that have practically the same power spectrum.</w:t>
      </w:r>
      <w:r>
        <w:rPr>
          <w:rFonts w:ascii="Times New Roman" w:hAnsi="Times New Roman"/>
          <w:color w:val="000000"/>
          <w:sz w:val="24"/>
          <w:szCs w:val="24"/>
          <w:lang w:val="en-GB"/>
        </w:rPr>
        <w:t xml:space="preserve"> We have tested for this and have found that, as expected, the C2 GOP and J2 time series have very similar power spectra and consequently the comparison is consistent. </w:t>
      </w:r>
      <w:r w:rsidRPr="00747BE1">
        <w:rPr>
          <w:rFonts w:ascii="Times New Roman" w:hAnsi="Times New Roman"/>
          <w:color w:val="000000"/>
          <w:sz w:val="24"/>
          <w:szCs w:val="24"/>
          <w:lang w:val="en-GB"/>
        </w:rPr>
        <w:t>An additional issue concerns the fact that by using a</w:t>
      </w:r>
      <w:r>
        <w:rPr>
          <w:rFonts w:ascii="Times New Roman" w:hAnsi="Times New Roman"/>
          <w:color w:val="000000"/>
          <w:sz w:val="24"/>
          <w:szCs w:val="24"/>
          <w:lang w:val="en-GB"/>
        </w:rPr>
        <w:t xml:space="preserve"> search</w:t>
      </w:r>
      <w:r w:rsidRPr="00747BE1">
        <w:rPr>
          <w:rFonts w:ascii="Times New Roman" w:hAnsi="Times New Roman"/>
          <w:color w:val="000000"/>
          <w:sz w:val="24"/>
          <w:szCs w:val="24"/>
          <w:lang w:val="en-GB"/>
        </w:rPr>
        <w:t xml:space="preserve"> radius we are sampling different ocean points over time, which is true of both CryoSat-2 and Jason-2 since often more than one track falls within the selected </w:t>
      </w:r>
      <w:r w:rsidRPr="00747BE1">
        <w:rPr>
          <w:rFonts w:ascii="Times New Roman" w:hAnsi="Times New Roman"/>
          <w:color w:val="000000"/>
          <w:sz w:val="24"/>
          <w:szCs w:val="24"/>
          <w:lang w:val="en-GB"/>
        </w:rPr>
        <w:lastRenderedPageBreak/>
        <w:t xml:space="preserve">radius. </w:t>
      </w:r>
      <w:r>
        <w:rPr>
          <w:rFonts w:ascii="Times New Roman" w:hAnsi="Times New Roman"/>
          <w:color w:val="000000"/>
          <w:sz w:val="24"/>
          <w:szCs w:val="24"/>
          <w:lang w:val="en-GB"/>
        </w:rPr>
        <w:t xml:space="preserve">This </w:t>
      </w:r>
      <w:r w:rsidRPr="007840AC">
        <w:rPr>
          <w:rFonts w:ascii="Times New Roman" w:hAnsi="Times New Roman"/>
          <w:color w:val="000000"/>
          <w:sz w:val="24"/>
          <w:szCs w:val="24"/>
          <w:lang w:val="en-GB"/>
        </w:rPr>
        <w:t>may potentially introduce geoid errors if the MSS model</w:t>
      </w:r>
      <w:r>
        <w:rPr>
          <w:rFonts w:ascii="Times New Roman" w:hAnsi="Times New Roman"/>
          <w:color w:val="000000"/>
          <w:sz w:val="24"/>
          <w:szCs w:val="24"/>
          <w:lang w:val="en-GB"/>
        </w:rPr>
        <w:t xml:space="preserve"> that we use to derive SSH anomalies</w:t>
      </w:r>
      <w:r w:rsidRPr="007840AC">
        <w:rPr>
          <w:rFonts w:ascii="Times New Roman" w:hAnsi="Times New Roman"/>
          <w:color w:val="000000"/>
          <w:sz w:val="24"/>
          <w:szCs w:val="24"/>
          <w:lang w:val="en-GB"/>
        </w:rPr>
        <w:t xml:space="preserve"> was not accurate</w:t>
      </w:r>
      <w:r>
        <w:rPr>
          <w:rFonts w:ascii="Times New Roman" w:hAnsi="Times New Roman"/>
          <w:color w:val="000000"/>
          <w:sz w:val="24"/>
          <w:szCs w:val="24"/>
          <w:lang w:val="en-GB"/>
        </w:rPr>
        <w:t xml:space="preserve"> enough</w:t>
      </w:r>
      <w:r w:rsidRPr="007840AC">
        <w:rPr>
          <w:rFonts w:ascii="Times New Roman" w:hAnsi="Times New Roman"/>
          <w:color w:val="000000"/>
          <w:sz w:val="24"/>
          <w:szCs w:val="24"/>
          <w:lang w:val="en-GB"/>
        </w:rPr>
        <w:t>.</w:t>
      </w:r>
      <w:r w:rsidR="003D627C">
        <w:rPr>
          <w:rFonts w:ascii="Times New Roman" w:hAnsi="Times New Roman"/>
          <w:color w:val="000000"/>
          <w:sz w:val="24"/>
          <w:szCs w:val="24"/>
          <w:lang w:val="en-GB"/>
        </w:rPr>
        <w:t xml:space="preserve"> Such errors are expected to be larger for CryoSat-2 than for repeat-track altimetry mis</w:t>
      </w:r>
      <w:r w:rsidR="00FF1104">
        <w:rPr>
          <w:rFonts w:ascii="Times New Roman" w:hAnsi="Times New Roman"/>
          <w:color w:val="000000"/>
          <w:sz w:val="24"/>
          <w:szCs w:val="24"/>
          <w:lang w:val="en-GB"/>
        </w:rPr>
        <w:t>sions such as Jason-2 due to</w:t>
      </w:r>
      <w:r w:rsidR="003D627C">
        <w:rPr>
          <w:rFonts w:ascii="Times New Roman" w:hAnsi="Times New Roman"/>
          <w:color w:val="000000"/>
          <w:sz w:val="24"/>
          <w:szCs w:val="24"/>
          <w:lang w:val="en-GB"/>
        </w:rPr>
        <w:t xml:space="preserve"> interpolation errors in the MSS close to the coast (where MSS errors are larger).</w:t>
      </w:r>
      <w:r w:rsidRPr="007840AC">
        <w:rPr>
          <w:rFonts w:ascii="Times New Roman" w:hAnsi="Times New Roman"/>
          <w:color w:val="000000"/>
          <w:sz w:val="24"/>
          <w:szCs w:val="24"/>
          <w:lang w:val="en-GB"/>
        </w:rPr>
        <w:t xml:space="preserve"> </w:t>
      </w:r>
      <w:r>
        <w:rPr>
          <w:rFonts w:ascii="Times New Roman" w:hAnsi="Times New Roman"/>
          <w:color w:val="000000"/>
          <w:sz w:val="24"/>
          <w:szCs w:val="24"/>
          <w:lang w:val="en-GB"/>
        </w:rPr>
        <w:t>Nevertheless,</w:t>
      </w:r>
      <w:r w:rsidRPr="007840AC">
        <w:rPr>
          <w:rFonts w:ascii="Times New Roman" w:hAnsi="Times New Roman"/>
          <w:color w:val="000000"/>
          <w:sz w:val="24"/>
          <w:szCs w:val="24"/>
          <w:lang w:val="en-GB"/>
        </w:rPr>
        <w:t xml:space="preserve"> </w:t>
      </w:r>
      <w:r>
        <w:rPr>
          <w:rFonts w:ascii="Times New Roman" w:hAnsi="Times New Roman"/>
          <w:color w:val="000000"/>
          <w:sz w:val="24"/>
          <w:szCs w:val="24"/>
          <w:lang w:val="en-GB"/>
        </w:rPr>
        <w:t xml:space="preserve">previous studies </w:t>
      </w:r>
      <w:r w:rsidRPr="007840AC">
        <w:rPr>
          <w:rFonts w:ascii="Times New Roman" w:hAnsi="Times New Roman"/>
          <w:color w:val="000000"/>
          <w:sz w:val="24"/>
          <w:szCs w:val="24"/>
          <w:lang w:val="en-GB"/>
        </w:rPr>
        <w:t xml:space="preserve">(e.g., Smith and Scharroo, 2009) </w:t>
      </w:r>
      <w:r>
        <w:rPr>
          <w:rFonts w:ascii="Times New Roman" w:hAnsi="Times New Roman"/>
          <w:color w:val="000000"/>
          <w:sz w:val="24"/>
          <w:szCs w:val="24"/>
          <w:lang w:val="en-GB"/>
        </w:rPr>
        <w:t xml:space="preserve">have found </w:t>
      </w:r>
      <w:r w:rsidRPr="007840AC">
        <w:rPr>
          <w:rFonts w:ascii="Times New Roman" w:hAnsi="Times New Roman"/>
          <w:color w:val="000000"/>
          <w:sz w:val="24"/>
          <w:szCs w:val="24"/>
          <w:lang w:val="en-GB"/>
        </w:rPr>
        <w:t>that current MSS models are of sufficient quality to be used for estimating SSH anomalies without introducing significant errors.</w:t>
      </w:r>
    </w:p>
    <w:p w14:paraId="45091CA0" w14:textId="77777777" w:rsidR="00830425" w:rsidRDefault="00830425" w:rsidP="00A42484">
      <w:pPr>
        <w:spacing w:line="480" w:lineRule="auto"/>
        <w:rPr>
          <w:rFonts w:ascii="Times New Roman" w:hAnsi="Times New Roman"/>
          <w:b/>
          <w:sz w:val="24"/>
          <w:szCs w:val="24"/>
          <w:lang w:val="en-GB"/>
        </w:rPr>
      </w:pPr>
      <w:r>
        <w:rPr>
          <w:rFonts w:ascii="Times New Roman" w:hAnsi="Times New Roman"/>
          <w:b/>
          <w:sz w:val="24"/>
          <w:szCs w:val="24"/>
          <w:lang w:val="en-GB"/>
        </w:rPr>
        <w:t>2.4. Hydrographic observations and steric height derivation</w:t>
      </w:r>
    </w:p>
    <w:p w14:paraId="099BF9AC" w14:textId="77777777" w:rsidR="00830425" w:rsidRDefault="00830425" w:rsidP="00A42484">
      <w:pPr>
        <w:widowControl w:val="0"/>
        <w:autoSpaceDE w:val="0"/>
        <w:autoSpaceDN w:val="0"/>
        <w:adjustRightInd w:val="0"/>
        <w:spacing w:after="240" w:line="480" w:lineRule="auto"/>
        <w:rPr>
          <w:rFonts w:ascii="Times New Roman" w:hAnsi="Times New Roman"/>
          <w:sz w:val="24"/>
          <w:szCs w:val="24"/>
          <w:lang w:val="en-US"/>
        </w:rPr>
      </w:pPr>
      <w:r w:rsidRPr="00BC1C0D">
        <w:rPr>
          <w:rFonts w:ascii="Times New Roman" w:hAnsi="Times New Roman"/>
          <w:sz w:val="24"/>
          <w:szCs w:val="24"/>
          <w:lang w:val="en-US"/>
        </w:rPr>
        <w:t xml:space="preserve">The </w:t>
      </w:r>
      <w:r>
        <w:rPr>
          <w:rFonts w:ascii="Times New Roman" w:hAnsi="Times New Roman"/>
          <w:sz w:val="24"/>
          <w:szCs w:val="24"/>
          <w:lang w:val="en-US"/>
        </w:rPr>
        <w:t xml:space="preserve">set of temperature (T) and salinity (S) </w:t>
      </w:r>
      <w:r w:rsidRPr="00BC1C0D">
        <w:rPr>
          <w:rFonts w:ascii="Times New Roman" w:hAnsi="Times New Roman"/>
          <w:sz w:val="24"/>
          <w:szCs w:val="24"/>
          <w:lang w:val="en-US"/>
        </w:rPr>
        <w:t>profiles</w:t>
      </w:r>
      <w:r>
        <w:rPr>
          <w:rFonts w:ascii="Times New Roman" w:hAnsi="Times New Roman"/>
          <w:sz w:val="24"/>
          <w:szCs w:val="24"/>
          <w:lang w:val="en-US"/>
        </w:rPr>
        <w:t xml:space="preserve"> were obtained from the EN4.1.1 data set (Good et al., 2013) </w:t>
      </w:r>
      <w:r w:rsidRPr="00BC1C0D">
        <w:rPr>
          <w:rFonts w:ascii="Times New Roman" w:hAnsi="Times New Roman"/>
          <w:sz w:val="24"/>
          <w:szCs w:val="24"/>
          <w:lang w:val="en-US"/>
        </w:rPr>
        <w:t>made available by the Met Office Hadley Centre (</w:t>
      </w:r>
      <w:r w:rsidRPr="0016303B">
        <w:rPr>
          <w:rFonts w:ascii="Times New Roman" w:hAnsi="Times New Roman"/>
          <w:sz w:val="24"/>
          <w:szCs w:val="24"/>
          <w:lang w:val="en-US"/>
        </w:rPr>
        <w:t>http://hadobs.metoffice.com/en4/</w:t>
      </w:r>
      <w:r>
        <w:rPr>
          <w:rFonts w:ascii="Times New Roman" w:hAnsi="Times New Roman"/>
          <w:sz w:val="24"/>
          <w:szCs w:val="24"/>
          <w:lang w:val="en-US"/>
        </w:rPr>
        <w:t>). Although the EN4 data set includes measurements collected by a number of different instruments such as XBTs, MBTs, CTDs and Argo floats, among others, here we use only Argo data because, unlike the other types of measurements, they provide nearly global coverage of T and S from surface to more than 1000 m thus allowing for a consistent comparison between different regions of the ocean in terms of altimeter performance. In addition to the observed profile data, the EN4 data set includes quality control flags for each profile. These flags allow quality control decisions on whether to accept or reject either an individual level within a profile or the entire profile and they have been applied during the profile selection process to ensure that all data used in our analysis are of the highest quality. The location of all the selected profiles is shown Figure 2a.</w:t>
      </w:r>
    </w:p>
    <w:p w14:paraId="3FC60344" w14:textId="77777777" w:rsidR="00830425" w:rsidRDefault="00201F8C" w:rsidP="00BD2140">
      <w:pPr>
        <w:widowControl w:val="0"/>
        <w:autoSpaceDE w:val="0"/>
        <w:autoSpaceDN w:val="0"/>
        <w:adjustRightInd w:val="0"/>
        <w:spacing w:after="240" w:line="480" w:lineRule="auto"/>
        <w:jc w:val="center"/>
        <w:rPr>
          <w:rFonts w:ascii="Times New Roman" w:hAnsi="Times New Roman"/>
          <w:sz w:val="24"/>
          <w:szCs w:val="24"/>
          <w:lang w:val="en-US"/>
        </w:rPr>
      </w:pPr>
      <w:r>
        <w:rPr>
          <w:rFonts w:ascii="Times New Roman" w:hAnsi="Times New Roman"/>
          <w:noProof/>
          <w:sz w:val="24"/>
          <w:szCs w:val="24"/>
          <w:lang w:val="en-GB" w:eastAsia="en-GB"/>
        </w:rPr>
        <w:lastRenderedPageBreak/>
        <w:drawing>
          <wp:inline distT="0" distB="0" distL="0" distR="0" wp14:anchorId="7F56D616" wp14:editId="415FFF8E">
            <wp:extent cx="3560445" cy="213042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60445" cy="2130425"/>
                    </a:xfrm>
                    <a:prstGeom prst="rect">
                      <a:avLst/>
                    </a:prstGeom>
                    <a:noFill/>
                    <a:ln>
                      <a:noFill/>
                    </a:ln>
                  </pic:spPr>
                </pic:pic>
              </a:graphicData>
            </a:graphic>
          </wp:inline>
        </w:drawing>
      </w:r>
    </w:p>
    <w:p w14:paraId="2A7821FE" w14:textId="77777777" w:rsidR="00830425" w:rsidRDefault="00201F8C" w:rsidP="00BD2140">
      <w:pPr>
        <w:widowControl w:val="0"/>
        <w:autoSpaceDE w:val="0"/>
        <w:autoSpaceDN w:val="0"/>
        <w:adjustRightInd w:val="0"/>
        <w:spacing w:after="240" w:line="480" w:lineRule="auto"/>
        <w:jc w:val="center"/>
        <w:rPr>
          <w:rFonts w:ascii="Times New Roman" w:hAnsi="Times New Roman"/>
          <w:sz w:val="24"/>
          <w:szCs w:val="24"/>
          <w:lang w:val="en-US"/>
        </w:rPr>
      </w:pPr>
      <w:r>
        <w:rPr>
          <w:rFonts w:ascii="Times New Roman" w:hAnsi="Times New Roman"/>
          <w:noProof/>
          <w:sz w:val="24"/>
          <w:szCs w:val="24"/>
          <w:lang w:val="en-GB" w:eastAsia="en-GB"/>
        </w:rPr>
        <w:drawing>
          <wp:inline distT="0" distB="0" distL="0" distR="0" wp14:anchorId="1ADBC447" wp14:editId="7C059B86">
            <wp:extent cx="2947670" cy="2412365"/>
            <wp:effectExtent l="0" t="0" r="0" b="63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47670" cy="2412365"/>
                    </a:xfrm>
                    <a:prstGeom prst="rect">
                      <a:avLst/>
                    </a:prstGeom>
                    <a:noFill/>
                    <a:ln>
                      <a:noFill/>
                    </a:ln>
                  </pic:spPr>
                </pic:pic>
              </a:graphicData>
            </a:graphic>
          </wp:inline>
        </w:drawing>
      </w:r>
    </w:p>
    <w:p w14:paraId="5DBCE264" w14:textId="77777777" w:rsidR="00830425" w:rsidRDefault="00830425" w:rsidP="00A42484">
      <w:pPr>
        <w:spacing w:line="480" w:lineRule="auto"/>
        <w:rPr>
          <w:rFonts w:ascii="Times New Roman" w:hAnsi="Times New Roman"/>
          <w:sz w:val="24"/>
          <w:szCs w:val="24"/>
          <w:lang w:val="en-GB"/>
        </w:rPr>
      </w:pPr>
      <w:r w:rsidRPr="002B69A4">
        <w:rPr>
          <w:rFonts w:ascii="Times New Roman" w:hAnsi="Times New Roman"/>
          <w:b/>
          <w:sz w:val="24"/>
          <w:szCs w:val="24"/>
          <w:lang w:val="en-GB"/>
        </w:rPr>
        <w:t xml:space="preserve">Figure </w:t>
      </w:r>
      <w:r>
        <w:rPr>
          <w:rFonts w:ascii="Times New Roman" w:hAnsi="Times New Roman"/>
          <w:b/>
          <w:sz w:val="24"/>
          <w:szCs w:val="24"/>
          <w:lang w:val="en-GB"/>
        </w:rPr>
        <w:t>2</w:t>
      </w:r>
      <w:r>
        <w:rPr>
          <w:rFonts w:ascii="Times New Roman" w:hAnsi="Times New Roman"/>
          <w:sz w:val="24"/>
          <w:szCs w:val="24"/>
          <w:lang w:val="en-GB"/>
        </w:rPr>
        <w:t xml:space="preserve">. </w:t>
      </w:r>
      <w:r>
        <w:rPr>
          <w:rFonts w:ascii="Times New Roman" w:hAnsi="Times New Roman"/>
          <w:color w:val="191919"/>
          <w:sz w:val="24"/>
          <w:szCs w:val="24"/>
          <w:lang w:val="en-US"/>
        </w:rPr>
        <w:t>Map showing the location of the (a) Argo floats and (b) the buoys used in the validation.</w:t>
      </w:r>
    </w:p>
    <w:p w14:paraId="3245FD5B" w14:textId="77777777" w:rsidR="00830425" w:rsidRDefault="00830425" w:rsidP="00A42484">
      <w:pPr>
        <w:widowControl w:val="0"/>
        <w:autoSpaceDE w:val="0"/>
        <w:autoSpaceDN w:val="0"/>
        <w:adjustRightInd w:val="0"/>
        <w:spacing w:after="240" w:line="480" w:lineRule="auto"/>
        <w:rPr>
          <w:rFonts w:ascii="Times New Roman" w:hAnsi="Times New Roman"/>
          <w:sz w:val="24"/>
          <w:szCs w:val="24"/>
          <w:lang w:val="en-US"/>
        </w:rPr>
      </w:pPr>
    </w:p>
    <w:p w14:paraId="42155C88" w14:textId="331348E0" w:rsidR="00830425" w:rsidRDefault="00830425" w:rsidP="00A42484">
      <w:pPr>
        <w:widowControl w:val="0"/>
        <w:autoSpaceDE w:val="0"/>
        <w:autoSpaceDN w:val="0"/>
        <w:adjustRightInd w:val="0"/>
        <w:spacing w:after="240" w:line="480" w:lineRule="auto"/>
        <w:rPr>
          <w:rFonts w:ascii="Times New Roman" w:hAnsi="Times New Roman"/>
          <w:sz w:val="24"/>
          <w:szCs w:val="24"/>
          <w:lang w:val="en-US"/>
        </w:rPr>
      </w:pPr>
      <w:r>
        <w:rPr>
          <w:rFonts w:ascii="Times New Roman" w:hAnsi="Times New Roman"/>
          <w:sz w:val="24"/>
          <w:szCs w:val="24"/>
          <w:lang w:val="en-US"/>
        </w:rPr>
        <w:t xml:space="preserve">The motivation for using steric height as derived from T and S profiles in our evaluation of the altimeter SSHAs is that it provides a useful validation tool in the open ocean where very few </w:t>
      </w:r>
      <w:r w:rsidRPr="00440535">
        <w:rPr>
          <w:rFonts w:ascii="Times New Roman" w:hAnsi="Times New Roman"/>
          <w:i/>
          <w:sz w:val="24"/>
          <w:szCs w:val="24"/>
          <w:lang w:val="en-US"/>
        </w:rPr>
        <w:t>in situ</w:t>
      </w:r>
      <w:r>
        <w:rPr>
          <w:rFonts w:ascii="Times New Roman" w:hAnsi="Times New Roman"/>
          <w:sz w:val="24"/>
          <w:szCs w:val="24"/>
          <w:lang w:val="en-US"/>
        </w:rPr>
        <w:t xml:space="preserve"> measurements of sea level are available. This idea is appealing because it allows</w:t>
      </w:r>
      <w:r w:rsidR="00D33EAA">
        <w:rPr>
          <w:rFonts w:ascii="Times New Roman" w:hAnsi="Times New Roman"/>
          <w:sz w:val="24"/>
          <w:szCs w:val="24"/>
          <w:lang w:val="en-US"/>
        </w:rPr>
        <w:t xml:space="preserve"> for</w:t>
      </w:r>
      <w:r>
        <w:rPr>
          <w:rFonts w:ascii="Times New Roman" w:hAnsi="Times New Roman"/>
          <w:sz w:val="24"/>
          <w:szCs w:val="24"/>
          <w:lang w:val="en-US"/>
        </w:rPr>
        <w:t xml:space="preserve"> an independent validation over most of the global oceans thanks to the good spatial coverage of the Argo network and avoids the issue of degraded performance affecting altimetry near the coast that commonly arises when comparing with tide gauge observations. It is not surprising, therefore, that this approach has become one of the standard altimetry </w:t>
      </w:r>
      <w:r>
        <w:rPr>
          <w:rFonts w:ascii="Times New Roman" w:hAnsi="Times New Roman"/>
          <w:sz w:val="24"/>
          <w:szCs w:val="24"/>
          <w:lang w:val="en-US"/>
        </w:rPr>
        <w:lastRenderedPageBreak/>
        <w:t xml:space="preserve">validation tools (e.g., Guinehut et al., 2006, 2009; Ivchenko et al., 2007; Dhomps et al., 2011; Calafat and Marcos, 2012). </w:t>
      </w:r>
    </w:p>
    <w:p w14:paraId="488BAA64" w14:textId="77777777" w:rsidR="00830425" w:rsidRDefault="00830425" w:rsidP="00A42484">
      <w:pPr>
        <w:widowControl w:val="0"/>
        <w:autoSpaceDE w:val="0"/>
        <w:autoSpaceDN w:val="0"/>
        <w:adjustRightInd w:val="0"/>
        <w:spacing w:after="240" w:line="480" w:lineRule="auto"/>
        <w:rPr>
          <w:rFonts w:ascii="Times New Roman" w:hAnsi="Times New Roman"/>
          <w:sz w:val="24"/>
          <w:szCs w:val="24"/>
          <w:lang w:val="en-US"/>
        </w:rPr>
      </w:pPr>
      <w:r>
        <w:rPr>
          <w:rFonts w:ascii="Times New Roman" w:hAnsi="Times New Roman"/>
          <w:sz w:val="24"/>
          <w:szCs w:val="24"/>
          <w:lang w:val="en-US"/>
        </w:rPr>
        <w:t>We should note, however, that the steric height is only one of several components that contribute to SSHAs. It is in general a good approximation, and certainly standard practice, to describe sea level changes as the sum of three components: i) steric changes arising from density field variations; ii) changes in ocean bottom pressure (OBP) resulting from mass redistribution within the Earth system; and iii) atmospheric pressure variations, which are usually approximated by the IB effect. Clearly, the naïve strategy of directly comparing steric heights with SSHAs will lead to unsatisfactory results if the OBP and/or the IB components are important relative to the steric one. Hence, ideally one should remove those two components prior to comparing SSHAs with ARGO-derived steric heights. In practice only the contribution of wind forcing to OBP and the effect of atmospheric pressure can be estimated with confidence, usually by a barotropic model. Here, estimates of these two contributions as provided by DAC are subtracted from the altimetric SSHAs prior to comparing with steric heights. It is important to recall that by applying DAC we are removing only a portion of the OBP component and thus the SSHAs so corrected will not represent only steric changes but also OBP variations due to factors other than direct wind forcing. Nevertheless, we</w:t>
      </w:r>
      <w:r w:rsidRPr="004A702A">
        <w:rPr>
          <w:rFonts w:ascii="Times New Roman" w:hAnsi="Times New Roman"/>
          <w:sz w:val="24"/>
          <w:szCs w:val="24"/>
          <w:lang w:val="en-US"/>
        </w:rPr>
        <w:t xml:space="preserve"> expect </w:t>
      </w:r>
      <w:r>
        <w:rPr>
          <w:rFonts w:ascii="Times New Roman" w:hAnsi="Times New Roman"/>
          <w:sz w:val="24"/>
          <w:szCs w:val="24"/>
          <w:lang w:val="en-US"/>
        </w:rPr>
        <w:t>such OBP changes</w:t>
      </w:r>
      <w:r w:rsidRPr="004A702A">
        <w:rPr>
          <w:rFonts w:ascii="Times New Roman" w:hAnsi="Times New Roman"/>
          <w:sz w:val="24"/>
          <w:szCs w:val="24"/>
          <w:lang w:val="en-US"/>
        </w:rPr>
        <w:t xml:space="preserve"> to be small in most regions, with the exception of the Southern Ocean (Quinn and Ponte, 2012)</w:t>
      </w:r>
      <w:r>
        <w:rPr>
          <w:rFonts w:ascii="Times New Roman" w:hAnsi="Times New Roman"/>
          <w:sz w:val="24"/>
          <w:szCs w:val="24"/>
          <w:lang w:val="en-US"/>
        </w:rPr>
        <w:t xml:space="preserve"> and over major ocean currents.</w:t>
      </w:r>
    </w:p>
    <w:p w14:paraId="3114A821" w14:textId="77777777" w:rsidR="00830425" w:rsidRDefault="00830425" w:rsidP="00A42484">
      <w:pPr>
        <w:widowControl w:val="0"/>
        <w:autoSpaceDE w:val="0"/>
        <w:autoSpaceDN w:val="0"/>
        <w:adjustRightInd w:val="0"/>
        <w:spacing w:after="240" w:line="480" w:lineRule="auto"/>
        <w:rPr>
          <w:rFonts w:ascii="Times New Roman" w:hAnsi="Times New Roman"/>
          <w:sz w:val="24"/>
          <w:szCs w:val="24"/>
          <w:lang w:val="en-US"/>
        </w:rPr>
      </w:pPr>
      <w:r>
        <w:rPr>
          <w:rFonts w:ascii="Times New Roman" w:hAnsi="Times New Roman"/>
          <w:sz w:val="24"/>
          <w:szCs w:val="24"/>
          <w:lang w:val="en-US"/>
        </w:rPr>
        <w:t>The steric height anomalie</w:t>
      </w:r>
      <w:r w:rsidRPr="00992473">
        <w:rPr>
          <w:rFonts w:ascii="Times New Roman" w:hAnsi="Times New Roman"/>
          <w:sz w:val="24"/>
          <w:szCs w:val="24"/>
          <w:lang w:val="en-US"/>
        </w:rPr>
        <w:t>s</w:t>
      </w:r>
      <w:r>
        <w:rPr>
          <w:rFonts w:ascii="Times New Roman" w:hAnsi="Times New Roman"/>
          <w:sz w:val="24"/>
          <w:szCs w:val="24"/>
          <w:lang w:val="en-US"/>
        </w:rPr>
        <w:t xml:space="preserve"> are computed for each profile by vertically integrating the Argo-derived density anomalies</w:t>
      </w:r>
      <w:r w:rsidRPr="009F34FE">
        <w:rPr>
          <w:rFonts w:ascii="Times New Roman" w:hAnsi="Times New Roman"/>
          <w:sz w:val="24"/>
          <w:szCs w:val="24"/>
          <w:lang w:val="en-US"/>
        </w:rPr>
        <w:fldChar w:fldCharType="begin"/>
      </w:r>
      <w:r w:rsidRPr="009F34FE">
        <w:rPr>
          <w:rFonts w:ascii="Times New Roman" w:hAnsi="Times New Roman"/>
          <w:sz w:val="24"/>
          <w:szCs w:val="24"/>
          <w:lang w:val="en-US"/>
        </w:rPr>
        <w:instrText xml:space="preserve"> QUOTE </w:instrText>
      </w:r>
      <w:r w:rsidR="00AB5329">
        <w:pict w14:anchorId="7E2C6BAC">
          <v:shape id="_x0000_i1026" type="#_x0000_t75" style="width:13.5pt;height:14.25pt" equationxml="&lt;?xml version=&quot;1.0&quot; encoding=&quot;UTF-8&quot; standalone=&quot;yes&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mso-application progid=&quot;Word.Document&quot;?&gt;&#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30&quot;/&gt;&lt;w:doNotEmbedSystemFonts/&gt;&lt;w:defaultTabStop w:val=&quot;708&quot;/&gt;&lt;w:hyphenationZone w:val=&quot;425&quot;/&gt;&lt;w:punctuationKerning/&gt;&lt;w:characterSpacingControl w:val=&quot;DontCompress&quot;/&gt;&lt;w:optimizeForBrowser/&gt;&lt;w:relyOnVML/&gt;&lt;w:allowPNG/&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A23D9D&quot;/&gt;&lt;wsp:rsid wsp:val=&quot;0000007F&quot;/&gt;&lt;wsp:rsid wsp:val=&quot;00000BFE&quot;/&gt;&lt;wsp:rsid wsp:val=&quot;00001387&quot;/&gt;&lt;wsp:rsid wsp:val=&quot;0000153A&quot;/&gt;&lt;wsp:rsid wsp:val=&quot;000020DE&quot;/&gt;&lt;wsp:rsid wsp:val=&quot;00003095&quot;/&gt;&lt;wsp:rsid wsp:val=&quot;00003880&quot;/&gt;&lt;wsp:rsid wsp:val=&quot;00003BFC&quot;/&gt;&lt;wsp:rsid wsp:val=&quot;000043F5&quot;/&gt;&lt;wsp:rsid wsp:val=&quot;000048A8&quot;/&gt;&lt;wsp:rsid wsp:val=&quot;00004EE2&quot;/&gt;&lt;wsp:rsid wsp:val=&quot;000054E3&quot;/&gt;&lt;wsp:rsid wsp:val=&quot;00005FF1&quot;/&gt;&lt;wsp:rsid wsp:val=&quot;00006376&quot;/&gt;&lt;wsp:rsid wsp:val=&quot;00006D3D&quot;/&gt;&lt;wsp:rsid wsp:val=&quot;000078A4&quot;/&gt;&lt;wsp:rsid wsp:val=&quot;0001087C&quot;/&gt;&lt;wsp:rsid wsp:val=&quot;00010C55&quot;/&gt;&lt;wsp:rsid wsp:val=&quot;00010CB5&quot;/&gt;&lt;wsp:rsid wsp:val=&quot;00011699&quot;/&gt;&lt;wsp:rsid wsp:val=&quot;000116F8&quot;/&gt;&lt;wsp:rsid wsp:val=&quot;000122D6&quot;/&gt;&lt;wsp:rsid wsp:val=&quot;00012508&quot;/&gt;&lt;wsp:rsid wsp:val=&quot;00012A07&quot;/&gt;&lt;wsp:rsid wsp:val=&quot;00012BDB&quot;/&gt;&lt;wsp:rsid wsp:val=&quot;00013AFE&quot;/&gt;&lt;wsp:rsid wsp:val=&quot;00014291&quot;/&gt;&lt;wsp:rsid wsp:val=&quot;00014D7C&quot;/&gt;&lt;wsp:rsid wsp:val=&quot;0001520C&quot;/&gt;&lt;wsp:rsid wsp:val=&quot;00015809&quot;/&gt;&lt;wsp:rsid wsp:val=&quot;00015EF9&quot;/&gt;&lt;wsp:rsid wsp:val=&quot;000163AA&quot;/&gt;&lt;wsp:rsid wsp:val=&quot;00016632&quot;/&gt;&lt;wsp:rsid wsp:val=&quot;0001699A&quot;/&gt;&lt;wsp:rsid wsp:val=&quot;00017F68&quot;/&gt;&lt;wsp:rsid wsp:val=&quot;000202D1&quot;/&gt;&lt;wsp:rsid wsp:val=&quot;00020574&quot;/&gt;&lt;wsp:rsid wsp:val=&quot;00020AAD&quot;/&gt;&lt;wsp:rsid wsp:val=&quot;000210CE&quot;/&gt;&lt;wsp:rsid wsp:val=&quot;000212EF&quot;/&gt;&lt;wsp:rsid wsp:val=&quot;000214BA&quot;/&gt;&lt;wsp:rsid wsp:val=&quot;00022B82&quot;/&gt;&lt;wsp:rsid wsp:val=&quot;00023587&quot;/&gt;&lt;wsp:rsid wsp:val=&quot;00023926&quot;/&gt;&lt;wsp:rsid wsp:val=&quot;00023C99&quot;/&gt;&lt;wsp:rsid wsp:val=&quot;00023D4A&quot;/&gt;&lt;wsp:rsid wsp:val=&quot;00024204&quot;/&gt;&lt;wsp:rsid wsp:val=&quot;000245DD&quot;/&gt;&lt;wsp:rsid wsp:val=&quot;00024722&quot;/&gt;&lt;wsp:rsid wsp:val=&quot;00025AB6&quot;/&gt;&lt;wsp:rsid wsp:val=&quot;0002634E&quot;/&gt;&lt;wsp:rsid wsp:val=&quot;00026D70&quot;/&gt;&lt;wsp:rsid wsp:val=&quot;00026DEB&quot;/&gt;&lt;wsp:rsid wsp:val=&quot;00026F31&quot;/&gt;&lt;wsp:rsid wsp:val=&quot;000278EC&quot;/&gt;&lt;wsp:rsid wsp:val=&quot;0003082D&quot;/&gt;&lt;wsp:rsid wsp:val=&quot;00030A44&quot;/&gt;&lt;wsp:rsid wsp:val=&quot;00030F42&quot;/&gt;&lt;wsp:rsid wsp:val=&quot;00031715&quot;/&gt;&lt;wsp:rsid wsp:val=&quot;000317D8&quot;/&gt;&lt;wsp:rsid wsp:val=&quot;00031F51&quot;/&gt;&lt;wsp:rsid wsp:val=&quot;0003222F&quot;/&gt;&lt;wsp:rsid wsp:val=&quot;0003228D&quot;/&gt;&lt;wsp:rsid wsp:val=&quot;00032553&quot;/&gt;&lt;wsp:rsid wsp:val=&quot;00034695&quot;/&gt;&lt;wsp:rsid wsp:val=&quot;00034A10&quot;/&gt;&lt;wsp:rsid wsp:val=&quot;00034A58&quot;/&gt;&lt;wsp:rsid wsp:val=&quot;000364D1&quot;/&gt;&lt;wsp:rsid wsp:val=&quot;00037A81&quot;/&gt;&lt;wsp:rsid wsp:val=&quot;0004039F&quot;/&gt;&lt;wsp:rsid wsp:val=&quot;0004137F&quot;/&gt;&lt;wsp:rsid wsp:val=&quot;00042240&quot;/&gt;&lt;wsp:rsid wsp:val=&quot;000429C1&quot;/&gt;&lt;wsp:rsid wsp:val=&quot;00043B1B&quot;/&gt;&lt;wsp:rsid wsp:val=&quot;0004420B&quot;/&gt;&lt;wsp:rsid wsp:val=&quot;000466DB&quot;/&gt;&lt;wsp:rsid wsp:val=&quot;00046EE4&quot;/&gt;&lt;wsp:rsid wsp:val=&quot;00047107&quot;/&gt;&lt;wsp:rsid wsp:val=&quot;00050A3E&quot;/&gt;&lt;wsp:rsid wsp:val=&quot;00050F3D&quot;/&gt;&lt;wsp:rsid wsp:val=&quot;00051141&quot;/&gt;&lt;wsp:rsid wsp:val=&quot;000511F6&quot;/&gt;&lt;wsp:rsid wsp:val=&quot;000512FC&quot;/&gt;&lt;wsp:rsid wsp:val=&quot;00051B4B&quot;/&gt;&lt;wsp:rsid wsp:val=&quot;00051CD1&quot;/&gt;&lt;wsp:rsid wsp:val=&quot;00051EA2&quot;/&gt;&lt;wsp:rsid wsp:val=&quot;000525BB&quot;/&gt;&lt;wsp:rsid wsp:val=&quot;00053160&quot;/&gt;&lt;wsp:rsid wsp:val=&quot;00055FCC&quot;/&gt;&lt;wsp:rsid wsp:val=&quot;00056E00&quot;/&gt;&lt;wsp:rsid wsp:val=&quot;0005754B&quot;/&gt;&lt;wsp:rsid wsp:val=&quot;000577F3&quot;/&gt;&lt;wsp:rsid wsp:val=&quot;000602EF&quot;/&gt;&lt;wsp:rsid wsp:val=&quot;000608A5&quot;/&gt;&lt;wsp:rsid wsp:val=&quot;000608E5&quot;/&gt;&lt;wsp:rsid wsp:val=&quot;00061AE7&quot;/&gt;&lt;wsp:rsid wsp:val=&quot;00061B31&quot;/&gt;&lt;wsp:rsid wsp:val=&quot;00061DDC&quot;/&gt;&lt;wsp:rsid wsp:val=&quot;000630E0&quot;/&gt;&lt;wsp:rsid wsp:val=&quot;00063295&quot;/&gt;&lt;wsp:rsid wsp:val=&quot;0006366F&quot;/&gt;&lt;wsp:rsid wsp:val=&quot;0006390C&quot;/&gt;&lt;wsp:rsid wsp:val=&quot;00063A5C&quot;/&gt;&lt;wsp:rsid wsp:val=&quot;00063ABE&quot;/&gt;&lt;wsp:rsid wsp:val=&quot;0006435A&quot;/&gt;&lt;wsp:rsid wsp:val=&quot;00064C6F&quot;/&gt;&lt;wsp:rsid wsp:val=&quot;00065CCA&quot;/&gt;&lt;wsp:rsid wsp:val=&quot;000660D4&quot;/&gt;&lt;wsp:rsid wsp:val=&quot;00066143&quot;/&gt;&lt;wsp:rsid wsp:val=&quot;000669DA&quot;/&gt;&lt;wsp:rsid wsp:val=&quot;00066F8C&quot;/&gt;&lt;wsp:rsid wsp:val=&quot;000671BC&quot;/&gt;&lt;wsp:rsid wsp:val=&quot;00067608&quot;/&gt;&lt;wsp:rsid wsp:val=&quot;00067862&quot;/&gt;&lt;wsp:rsid wsp:val=&quot;00072188&quot;/&gt;&lt;wsp:rsid wsp:val=&quot;00072721&quot;/&gt;&lt;wsp:rsid wsp:val=&quot;00072CE0&quot;/&gt;&lt;wsp:rsid wsp:val=&quot;00073296&quot;/&gt;&lt;wsp:rsid wsp:val=&quot;000737C2&quot;/&gt;&lt;wsp:rsid wsp:val=&quot;00074059&quot;/&gt;&lt;wsp:rsid wsp:val=&quot;00074962&quot;/&gt;&lt;wsp:rsid wsp:val=&quot;00076695&quot;/&gt;&lt;wsp:rsid wsp:val=&quot;00076DA7&quot;/&gt;&lt;wsp:rsid wsp:val=&quot;00077E79&quot;/&gt;&lt;wsp:rsid wsp:val=&quot;00080052&quot;/&gt;&lt;wsp:rsid wsp:val=&quot;000801C1&quot;/&gt;&lt;wsp:rsid wsp:val=&quot;0008045F&quot;/&gt;&lt;wsp:rsid wsp:val=&quot;00080857&quot;/&gt;&lt;wsp:rsid wsp:val=&quot;000808BF&quot;/&gt;&lt;wsp:rsid wsp:val=&quot;00082890&quot;/&gt;&lt;wsp:rsid wsp:val=&quot;0008352C&quot;/&gt;&lt;wsp:rsid wsp:val=&quot;0008358B&quot;/&gt;&lt;wsp:rsid wsp:val=&quot;000843ED&quot;/&gt;&lt;wsp:rsid wsp:val=&quot;00085566&quot;/&gt;&lt;wsp:rsid wsp:val=&quot;00085F99&quot;/&gt;&lt;wsp:rsid wsp:val=&quot;00086DAC&quot;/&gt;&lt;wsp:rsid wsp:val=&quot;000901F3&quot;/&gt;&lt;wsp:rsid wsp:val=&quot;00090A01&quot;/&gt;&lt;wsp:rsid wsp:val=&quot;00090FB5&quot;/&gt;&lt;wsp:rsid wsp:val=&quot;0009175E&quot;/&gt;&lt;wsp:rsid wsp:val=&quot;0009190A&quot;/&gt;&lt;wsp:rsid wsp:val=&quot;00091969&quot;/&gt;&lt;wsp:rsid wsp:val=&quot;00091CD4&quot;/&gt;&lt;wsp:rsid wsp:val=&quot;00092059&quot;/&gt;&lt;wsp:rsid wsp:val=&quot;000927B8&quot;/&gt;&lt;wsp:rsid wsp:val=&quot;00092EBF&quot;/&gt;&lt;wsp:rsid wsp:val=&quot;00093E1F&quot;/&gt;&lt;wsp:rsid wsp:val=&quot;00094370&quot;/&gt;&lt;wsp:rsid wsp:val=&quot;000969B4&quot;/&gt;&lt;wsp:rsid wsp:val=&quot;00097885&quot;/&gt;&lt;wsp:rsid wsp:val=&quot;00097FCB&quot;/&gt;&lt;wsp:rsid wsp:val=&quot;000A0C0E&quot;/&gt;&lt;wsp:rsid wsp:val=&quot;000A0E54&quot;/&gt;&lt;wsp:rsid wsp:val=&quot;000A110D&quot;/&gt;&lt;wsp:rsid wsp:val=&quot;000A1372&quot;/&gt;&lt;wsp:rsid wsp:val=&quot;000A137F&quot;/&gt;&lt;wsp:rsid wsp:val=&quot;000A1EA4&quot;/&gt;&lt;wsp:rsid wsp:val=&quot;000A28E0&quot;/&gt;&lt;wsp:rsid wsp:val=&quot;000A37D2&quot;/&gt;&lt;wsp:rsid wsp:val=&quot;000A3ED5&quot;/&gt;&lt;wsp:rsid wsp:val=&quot;000A41DB&quot;/&gt;&lt;wsp:rsid wsp:val=&quot;000A45B0&quot;/&gt;&lt;wsp:rsid wsp:val=&quot;000A5232&quot;/&gt;&lt;wsp:rsid wsp:val=&quot;000A53BA&quot;/&gt;&lt;wsp:rsid wsp:val=&quot;000A5879&quot;/&gt;&lt;wsp:rsid wsp:val=&quot;000A6FFF&quot;/&gt;&lt;wsp:rsid wsp:val=&quot;000A731A&quot;/&gt;&lt;wsp:rsid wsp:val=&quot;000B03DA&quot;/&gt;&lt;wsp:rsid wsp:val=&quot;000B0BBF&quot;/&gt;&lt;wsp:rsid wsp:val=&quot;000B0F21&quot;/&gt;&lt;wsp:rsid wsp:val=&quot;000B11C8&quot;/&gt;&lt;wsp:rsid wsp:val=&quot;000B19BC&quot;/&gt;&lt;wsp:rsid wsp:val=&quot;000B2529&quot;/&gt;&lt;wsp:rsid wsp:val=&quot;000B2BCD&quot;/&gt;&lt;wsp:rsid wsp:val=&quot;000B320A&quot;/&gt;&lt;wsp:rsid wsp:val=&quot;000B33FD&quot;/&gt;&lt;wsp:rsid wsp:val=&quot;000B347A&quot;/&gt;&lt;wsp:rsid wsp:val=&quot;000B34DC&quot;/&gt;&lt;wsp:rsid wsp:val=&quot;000B414B&quot;/&gt;&lt;wsp:rsid wsp:val=&quot;000B425B&quot;/&gt;&lt;wsp:rsid wsp:val=&quot;000B4899&quot;/&gt;&lt;wsp:rsid wsp:val=&quot;000B4B40&quot;/&gt;&lt;wsp:rsid wsp:val=&quot;000B53FA&quot;/&gt;&lt;wsp:rsid wsp:val=&quot;000B6578&quot;/&gt;&lt;wsp:rsid wsp:val=&quot;000B6817&quot;/&gt;&lt;wsp:rsid wsp:val=&quot;000B7375&quot;/&gt;&lt;wsp:rsid wsp:val=&quot;000B79E8&quot;/&gt;&lt;wsp:rsid wsp:val=&quot;000B7B3D&quot;/&gt;&lt;wsp:rsid wsp:val=&quot;000B7EC3&quot;/&gt;&lt;wsp:rsid wsp:val=&quot;000C0552&quot;/&gt;&lt;wsp:rsid wsp:val=&quot;000C082E&quot;/&gt;&lt;wsp:rsid wsp:val=&quot;000C0ACC&quot;/&gt;&lt;wsp:rsid wsp:val=&quot;000C1CA2&quot;/&gt;&lt;wsp:rsid wsp:val=&quot;000C2904&quot;/&gt;&lt;wsp:rsid wsp:val=&quot;000C31E3&quot;/&gt;&lt;wsp:rsid wsp:val=&quot;000C3672&quot;/&gt;&lt;wsp:rsid wsp:val=&quot;000C42D5&quot;/&gt;&lt;wsp:rsid wsp:val=&quot;000C5A1A&quot;/&gt;&lt;wsp:rsid wsp:val=&quot;000C5B16&quot;/&gt;&lt;wsp:rsid wsp:val=&quot;000C5BD2&quot;/&gt;&lt;wsp:rsid wsp:val=&quot;000C5DD3&quot;/&gt;&lt;wsp:rsid wsp:val=&quot;000C7A3A&quot;/&gt;&lt;wsp:rsid wsp:val=&quot;000C7A8A&quot;/&gt;&lt;wsp:rsid wsp:val=&quot;000C7C6A&quot;/&gt;&lt;wsp:rsid wsp:val=&quot;000D01B8&quot;/&gt;&lt;wsp:rsid wsp:val=&quot;000D0C03&quot;/&gt;&lt;wsp:rsid wsp:val=&quot;000D1041&quot;/&gt;&lt;wsp:rsid wsp:val=&quot;000D142F&quot;/&gt;&lt;wsp:rsid wsp:val=&quot;000D1626&quot;/&gt;&lt;wsp:rsid wsp:val=&quot;000D272D&quot;/&gt;&lt;wsp:rsid wsp:val=&quot;000D2FA4&quot;/&gt;&lt;wsp:rsid wsp:val=&quot;000D314D&quot;/&gt;&lt;wsp:rsid wsp:val=&quot;000D3C61&quot;/&gt;&lt;wsp:rsid wsp:val=&quot;000D5E92&quot;/&gt;&lt;wsp:rsid wsp:val=&quot;000D6F00&quot;/&gt;&lt;wsp:rsid wsp:val=&quot;000D7179&quot;/&gt;&lt;wsp:rsid wsp:val=&quot;000D77D6&quot;/&gt;&lt;wsp:rsid wsp:val=&quot;000D7B14&quot;/&gt;&lt;wsp:rsid wsp:val=&quot;000E08C6&quot;/&gt;&lt;wsp:rsid wsp:val=&quot;000E0FD5&quot;/&gt;&lt;wsp:rsid wsp:val=&quot;000E12E2&quot;/&gt;&lt;wsp:rsid wsp:val=&quot;000E1E6B&quot;/&gt;&lt;wsp:rsid wsp:val=&quot;000E2773&quot;/&gt;&lt;wsp:rsid wsp:val=&quot;000E2902&quot;/&gt;&lt;wsp:rsid wsp:val=&quot;000E4953&quot;/&gt;&lt;wsp:rsid wsp:val=&quot;000E4E8D&quot;/&gt;&lt;wsp:rsid wsp:val=&quot;000E5801&quot;/&gt;&lt;wsp:rsid wsp:val=&quot;000E5C1A&quot;/&gt;&lt;wsp:rsid wsp:val=&quot;000E6327&quot;/&gt;&lt;wsp:rsid wsp:val=&quot;000E6370&quot;/&gt;&lt;wsp:rsid wsp:val=&quot;000E63D9&quot;/&gt;&lt;wsp:rsid wsp:val=&quot;000E6C63&quot;/&gt;&lt;wsp:rsid wsp:val=&quot;000E71D0&quot;/&gt;&lt;wsp:rsid wsp:val=&quot;000E72AF&quot;/&gt;&lt;wsp:rsid wsp:val=&quot;000F07DA&quot;/&gt;&lt;wsp:rsid wsp:val=&quot;000F2ADB&quot;/&gt;&lt;wsp:rsid wsp:val=&quot;000F371F&quot;/&gt;&lt;wsp:rsid wsp:val=&quot;000F3B59&quot;/&gt;&lt;wsp:rsid wsp:val=&quot;000F44B0&quot;/&gt;&lt;wsp:rsid wsp:val=&quot;000F45CC&quot;/&gt;&lt;wsp:rsid wsp:val=&quot;000F5B46&quot;/&gt;&lt;wsp:rsid wsp:val=&quot;000F6AB8&quot;/&gt;&lt;wsp:rsid wsp:val=&quot;000F7D19&quot;/&gt;&lt;wsp:rsid wsp:val=&quot;001001AD&quot;/&gt;&lt;wsp:rsid wsp:val=&quot;001003F1&quot;/&gt;&lt;wsp:rsid wsp:val=&quot;00100446&quot;/&gt;&lt;wsp:rsid wsp:val=&quot;0010051F&quot;/&gt;&lt;wsp:rsid wsp:val=&quot;00100EB5&quot;/&gt;&lt;wsp:rsid wsp:val=&quot;00102045&quot;/&gt;&lt;wsp:rsid wsp:val=&quot;0010236F&quot;/&gt;&lt;wsp:rsid wsp:val=&quot;001026D7&quot;/&gt;&lt;wsp:rsid wsp:val=&quot;001034D1&quot;/&gt;&lt;wsp:rsid wsp:val=&quot;00103C4F&quot;/&gt;&lt;wsp:rsid wsp:val=&quot;001049DF&quot;/&gt;&lt;wsp:rsid wsp:val=&quot;00104BD9&quot;/&gt;&lt;wsp:rsid wsp:val=&quot;001065DF&quot;/&gt;&lt;wsp:rsid wsp:val=&quot;0010676F&quot;/&gt;&lt;wsp:rsid wsp:val=&quot;0010681B&quot;/&gt;&lt;wsp:rsid wsp:val=&quot;00106DC6&quot;/&gt;&lt;wsp:rsid wsp:val=&quot;00106E26&quot;/&gt;&lt;wsp:rsid wsp:val=&quot;00107260&quot;/&gt;&lt;wsp:rsid wsp:val=&quot;00107FBC&quot;/&gt;&lt;wsp:rsid wsp:val=&quot;00107FE3&quot;/&gt;&lt;wsp:rsid wsp:val=&quot;001102B8&quot;/&gt;&lt;wsp:rsid wsp:val=&quot;00110485&quot;/&gt;&lt;wsp:rsid wsp:val=&quot;001108A6&quot;/&gt;&lt;wsp:rsid wsp:val=&quot;001112A5&quot;/&gt;&lt;wsp:rsid wsp:val=&quot;001129E9&quot;/&gt;&lt;wsp:rsid wsp:val=&quot;0011370C&quot;/&gt;&lt;wsp:rsid wsp:val=&quot;00113C61&quot;/&gt;&lt;wsp:rsid wsp:val=&quot;00113CD6&quot;/&gt;&lt;wsp:rsid wsp:val=&quot;00114139&quot;/&gt;&lt;wsp:rsid wsp:val=&quot;00114F20&quot;/&gt;&lt;wsp:rsid wsp:val=&quot;0011570A&quot;/&gt;&lt;wsp:rsid wsp:val=&quot;00116F8E&quot;/&gt;&lt;wsp:rsid wsp:val=&quot;00117311&quot;/&gt;&lt;wsp:rsid wsp:val=&quot;0012054F&quot;/&gt;&lt;wsp:rsid wsp:val=&quot;00120ECB&quot;/&gt;&lt;wsp:rsid wsp:val=&quot;00122559&quot;/&gt;&lt;wsp:rsid wsp:val=&quot;00122BFB&quot;/&gt;&lt;wsp:rsid wsp:val=&quot;00123D02&quot;/&gt;&lt;wsp:rsid wsp:val=&quot;0012412D&quot;/&gt;&lt;wsp:rsid wsp:val=&quot;00124399&quot;/&gt;&lt;wsp:rsid wsp:val=&quot;0012448C&quot;/&gt;&lt;wsp:rsid wsp:val=&quot;00124492&quot;/&gt;&lt;wsp:rsid wsp:val=&quot;00124638&quot;/&gt;&lt;wsp:rsid wsp:val=&quot;0012516F&quot;/&gt;&lt;wsp:rsid wsp:val=&quot;00125295&quot;/&gt;&lt;wsp:rsid wsp:val=&quot;001254EF&quot;/&gt;&lt;wsp:rsid wsp:val=&quot;00125A50&quot;/&gt;&lt;wsp:rsid wsp:val=&quot;00126727&quot;/&gt;&lt;wsp:rsid wsp:val=&quot;00126728&quot;/&gt;&lt;wsp:rsid wsp:val=&quot;00126DB6&quot;/&gt;&lt;wsp:rsid wsp:val=&quot;00127F4E&quot;/&gt;&lt;wsp:rsid wsp:val=&quot;0013026A&quot;/&gt;&lt;wsp:rsid wsp:val=&quot;001310BD&quot;/&gt;&lt;wsp:rsid wsp:val=&quot;00131AD9&quot;/&gt;&lt;wsp:rsid wsp:val=&quot;00132880&quot;/&gt;&lt;wsp:rsid wsp:val=&quot;00132BC7&quot;/&gt;&lt;wsp:rsid wsp:val=&quot;001330AE&quot;/&gt;&lt;wsp:rsid wsp:val=&quot;00133E30&quot;/&gt;&lt;wsp:rsid wsp:val=&quot;00134257&quot;/&gt;&lt;wsp:rsid wsp:val=&quot;001344F3&quot;/&gt;&lt;wsp:rsid wsp:val=&quot;00134D7E&quot;/&gt;&lt;wsp:rsid wsp:val=&quot;00134EF9&quot;/&gt;&lt;wsp:rsid wsp:val=&quot;001355EF&quot;/&gt;&lt;wsp:rsid wsp:val=&quot;00135708&quot;/&gt;&lt;wsp:rsid wsp:val=&quot;00135740&quot;/&gt;&lt;wsp:rsid wsp:val=&quot;00136DC3&quot;/&gt;&lt;wsp:rsid wsp:val=&quot;001370FF&quot;/&gt;&lt;wsp:rsid wsp:val=&quot;00137270&quot;/&gt;&lt;wsp:rsid wsp:val=&quot;0013753D&quot;/&gt;&lt;wsp:rsid wsp:val=&quot;00137CAA&quot;/&gt;&lt;wsp:rsid wsp:val=&quot;00137E9E&quot;/&gt;&lt;wsp:rsid wsp:val=&quot;00137F78&quot;/&gt;&lt;wsp:rsid wsp:val=&quot;00140273&quot;/&gt;&lt;wsp:rsid wsp:val=&quot;00140415&quot;/&gt;&lt;wsp:rsid wsp:val=&quot;001407DE&quot;/&gt;&lt;wsp:rsid wsp:val=&quot;00141B53&quot;/&gt;&lt;wsp:rsid wsp:val=&quot;0014328C&quot;/&gt;&lt;wsp:rsid wsp:val=&quot;00143426&quot;/&gt;&lt;wsp:rsid wsp:val=&quot;00143526&quot;/&gt;&lt;wsp:rsid wsp:val=&quot;00143AEB&quot;/&gt;&lt;wsp:rsid wsp:val=&quot;001449EA&quot;/&gt;&lt;wsp:rsid wsp:val=&quot;00144F32&quot;/&gt;&lt;wsp:rsid wsp:val=&quot;0014501B&quot;/&gt;&lt;wsp:rsid wsp:val=&quot;0014508B&quot;/&gt;&lt;wsp:rsid wsp:val=&quot;001461F5&quot;/&gt;&lt;wsp:rsid wsp:val=&quot;001466E7&quot;/&gt;&lt;wsp:rsid wsp:val=&quot;00146CD1&quot;/&gt;&lt;wsp:rsid wsp:val=&quot;00147922&quot;/&gt;&lt;wsp:rsid wsp:val=&quot;001479F7&quot;/&gt;&lt;wsp:rsid wsp:val=&quot;00147B66&quot;/&gt;&lt;wsp:rsid wsp:val=&quot;00150128&quot;/&gt;&lt;wsp:rsid wsp:val=&quot;0015099A&quot;/&gt;&lt;wsp:rsid wsp:val=&quot;0015269C&quot;/&gt;&lt;wsp:rsid wsp:val=&quot;00152797&quot;/&gt;&lt;wsp:rsid wsp:val=&quot;00152E91&quot;/&gt;&lt;wsp:rsid wsp:val=&quot;00152FCA&quot;/&gt;&lt;wsp:rsid wsp:val=&quot;00153215&quot;/&gt;&lt;wsp:rsid wsp:val=&quot;00153F74&quot;/&gt;&lt;wsp:rsid wsp:val=&quot;0015409C&quot;/&gt;&lt;wsp:rsid wsp:val=&quot;00154545&quot;/&gt;&lt;wsp:rsid wsp:val=&quot;001545E8&quot;/&gt;&lt;wsp:rsid wsp:val=&quot;001546E8&quot;/&gt;&lt;wsp:rsid wsp:val=&quot;00154BD6&quot;/&gt;&lt;wsp:rsid wsp:val=&quot;0015554E&quot;/&gt;&lt;wsp:rsid wsp:val=&quot;00155858&quot;/&gt;&lt;wsp:rsid wsp:val=&quot;00155A25&quot;/&gt;&lt;wsp:rsid wsp:val=&quot;001564A3&quot;/&gt;&lt;wsp:rsid wsp:val=&quot;00157BED&quot;/&gt;&lt;wsp:rsid wsp:val=&quot;00157CAD&quot;/&gt;&lt;wsp:rsid wsp:val=&quot;001609BD&quot;/&gt;&lt;wsp:rsid wsp:val=&quot;00161323&quot;/&gt;&lt;wsp:rsid wsp:val=&quot;001615AF&quot;/&gt;&lt;wsp:rsid wsp:val=&quot;001618CB&quot;/&gt;&lt;wsp:rsid wsp:val=&quot;00161FCA&quot;/&gt;&lt;wsp:rsid wsp:val=&quot;001620C6&quot;/&gt;&lt;wsp:rsid wsp:val=&quot;001622E6&quot;/&gt;&lt;wsp:rsid wsp:val=&quot;0016251F&quot;/&gt;&lt;wsp:rsid wsp:val=&quot;001626D9&quot;/&gt;&lt;wsp:rsid wsp:val=&quot;001629E6&quot;/&gt;&lt;wsp:rsid wsp:val=&quot;0016303B&quot;/&gt;&lt;wsp:rsid wsp:val=&quot;00163622&quot;/&gt;&lt;wsp:rsid wsp:val=&quot;001637AF&quot;/&gt;&lt;wsp:rsid wsp:val=&quot;00163ADE&quot;/&gt;&lt;wsp:rsid wsp:val=&quot;00164079&quot;/&gt;&lt;wsp:rsid wsp:val=&quot;00165896&quot;/&gt;&lt;wsp:rsid wsp:val=&quot;00166151&quot;/&gt;&lt;wsp:rsid wsp:val=&quot;00166204&quot;/&gt;&lt;wsp:rsid wsp:val=&quot;00166BAC&quot;/&gt;&lt;wsp:rsid wsp:val=&quot;00166FC8&quot;/&gt;&lt;wsp:rsid wsp:val=&quot;00167CB4&quot;/&gt;&lt;wsp:rsid wsp:val=&quot;00171F2C&quot;/&gt;&lt;wsp:rsid wsp:val=&quot;001720A6&quot;/&gt;&lt;wsp:rsid wsp:val=&quot;00172159&quot;/&gt;&lt;wsp:rsid wsp:val=&quot;00172B5D&quot;/&gt;&lt;wsp:rsid wsp:val=&quot;00173588&quot;/&gt;&lt;wsp:rsid wsp:val=&quot;001753F9&quot;/&gt;&lt;wsp:rsid wsp:val=&quot;00175DC5&quot;/&gt;&lt;wsp:rsid wsp:val=&quot;0017604B&quot;/&gt;&lt;wsp:rsid wsp:val=&quot;001766F1&quot;/&gt;&lt;wsp:rsid wsp:val=&quot;00176C9B&quot;/&gt;&lt;wsp:rsid wsp:val=&quot;00177582&quot;/&gt;&lt;wsp:rsid wsp:val=&quot;0018069B&quot;/&gt;&lt;wsp:rsid wsp:val=&quot;00180E0B&quot;/&gt;&lt;wsp:rsid wsp:val=&quot;00181B49&quot;/&gt;&lt;wsp:rsid wsp:val=&quot;00182143&quot;/&gt;&lt;wsp:rsid wsp:val=&quot;0018214C&quot;/&gt;&lt;wsp:rsid wsp:val=&quot;001847C1&quot;/&gt;&lt;wsp:rsid wsp:val=&quot;00184D9C&quot;/&gt;&lt;wsp:rsid wsp:val=&quot;00185720&quot;/&gt;&lt;wsp:rsid wsp:val=&quot;00185CCD&quot;/&gt;&lt;wsp:rsid wsp:val=&quot;00190E4B&quot;/&gt;&lt;wsp:rsid wsp:val=&quot;00191034&quot;/&gt;&lt;wsp:rsid wsp:val=&quot;00193699&quot;/&gt;&lt;wsp:rsid wsp:val=&quot;001940E5&quot;/&gt;&lt;wsp:rsid wsp:val=&quot;0019456F&quot;/&gt;&lt;wsp:rsid wsp:val=&quot;0019489F&quot;/&gt;&lt;wsp:rsid wsp:val=&quot;00194FBF&quot;/&gt;&lt;wsp:rsid wsp:val=&quot;001953BF&quot;/&gt;&lt;wsp:rsid wsp:val=&quot;00195F2B&quot;/&gt;&lt;wsp:rsid wsp:val=&quot;00196286&quot;/&gt;&lt;wsp:rsid wsp:val=&quot;0019635F&quot;/&gt;&lt;wsp:rsid wsp:val=&quot;00196471&quot;/&gt;&lt;wsp:rsid wsp:val=&quot;00196F04&quot;/&gt;&lt;wsp:rsid wsp:val=&quot;001975D6&quot;/&gt;&lt;wsp:rsid wsp:val=&quot;00197D2C&quot;/&gt;&lt;wsp:rsid wsp:val=&quot;001A02AD&quot;/&gt;&lt;wsp:rsid wsp:val=&quot;001A0F35&quot;/&gt;&lt;wsp:rsid wsp:val=&quot;001A1248&quot;/&gt;&lt;wsp:rsid wsp:val=&quot;001A1445&quot;/&gt;&lt;wsp:rsid wsp:val=&quot;001A180B&quot;/&gt;&lt;wsp:rsid wsp:val=&quot;001A1A02&quot;/&gt;&lt;wsp:rsid wsp:val=&quot;001A3221&quot;/&gt;&lt;wsp:rsid wsp:val=&quot;001A4099&quot;/&gt;&lt;wsp:rsid wsp:val=&quot;001A4955&quot;/&gt;&lt;wsp:rsid wsp:val=&quot;001A4AA0&quot;/&gt;&lt;wsp:rsid wsp:val=&quot;001A5531&quot;/&gt;&lt;wsp:rsid wsp:val=&quot;001A62EC&quot;/&gt;&lt;wsp:rsid wsp:val=&quot;001A72D8&quot;/&gt;&lt;wsp:rsid wsp:val=&quot;001A760F&quot;/&gt;&lt;wsp:rsid wsp:val=&quot;001B0DEE&quot;/&gt;&lt;wsp:rsid wsp:val=&quot;001B1192&quot;/&gt;&lt;wsp:rsid wsp:val=&quot;001B2A4B&quot;/&gt;&lt;wsp:rsid wsp:val=&quot;001B2B36&quot;/&gt;&lt;wsp:rsid wsp:val=&quot;001B313C&quot;/&gt;&lt;wsp:rsid wsp:val=&quot;001B35D1&quot;/&gt;&lt;wsp:rsid wsp:val=&quot;001B37DA&quot;/&gt;&lt;wsp:rsid wsp:val=&quot;001B3ADE&quot;/&gt;&lt;wsp:rsid wsp:val=&quot;001B3D20&quot;/&gt;&lt;wsp:rsid wsp:val=&quot;001B416A&quot;/&gt;&lt;wsp:rsid wsp:val=&quot;001B4D0C&quot;/&gt;&lt;wsp:rsid wsp:val=&quot;001B526E&quot;/&gt;&lt;wsp:rsid wsp:val=&quot;001B62FC&quot;/&gt;&lt;wsp:rsid wsp:val=&quot;001B631B&quot;/&gt;&lt;wsp:rsid wsp:val=&quot;001B7D84&quot;/&gt;&lt;wsp:rsid wsp:val=&quot;001C1FC0&quot;/&gt;&lt;wsp:rsid wsp:val=&quot;001C247E&quot;/&gt;&lt;wsp:rsid wsp:val=&quot;001C2713&quot;/&gt;&lt;wsp:rsid wsp:val=&quot;001C2819&quot;/&gt;&lt;wsp:rsid wsp:val=&quot;001C33AF&quot;/&gt;&lt;wsp:rsid wsp:val=&quot;001C399B&quot;/&gt;&lt;wsp:rsid wsp:val=&quot;001C39A2&quot;/&gt;&lt;wsp:rsid wsp:val=&quot;001C42B3&quot;/&gt;&lt;wsp:rsid wsp:val=&quot;001C431A&quot;/&gt;&lt;wsp:rsid wsp:val=&quot;001C4FEB&quot;/&gt;&lt;wsp:rsid wsp:val=&quot;001C55B1&quot;/&gt;&lt;wsp:rsid wsp:val=&quot;001C5EA9&quot;/&gt;&lt;wsp:rsid wsp:val=&quot;001C5EB1&quot;/&gt;&lt;wsp:rsid wsp:val=&quot;001C6195&quot;/&gt;&lt;wsp:rsid wsp:val=&quot;001C6527&quot;/&gt;&lt;wsp:rsid wsp:val=&quot;001C665E&quot;/&gt;&lt;wsp:rsid wsp:val=&quot;001C6660&quot;/&gt;&lt;wsp:rsid wsp:val=&quot;001C6DFB&quot;/&gt;&lt;wsp:rsid wsp:val=&quot;001C6F6E&quot;/&gt;&lt;wsp:rsid wsp:val=&quot;001C7D5C&quot;/&gt;&lt;wsp:rsid wsp:val=&quot;001D00AB&quot;/&gt;&lt;wsp:rsid wsp:val=&quot;001D031B&quot;/&gt;&lt;wsp:rsid wsp:val=&quot;001D0AA6&quot;/&gt;&lt;wsp:rsid wsp:val=&quot;001D0D3D&quot;/&gt;&lt;wsp:rsid wsp:val=&quot;001D1162&quot;/&gt;&lt;wsp:rsid wsp:val=&quot;001D1942&quot;/&gt;&lt;wsp:rsid wsp:val=&quot;001D19CA&quot;/&gt;&lt;wsp:rsid wsp:val=&quot;001D2554&quot;/&gt;&lt;wsp:rsid wsp:val=&quot;001D4421&quot;/&gt;&lt;wsp:rsid wsp:val=&quot;001D4D14&quot;/&gt;&lt;wsp:rsid wsp:val=&quot;001D5416&quot;/&gt;&lt;wsp:rsid wsp:val=&quot;001D675D&quot;/&gt;&lt;wsp:rsid wsp:val=&quot;001D7542&quot;/&gt;&lt;wsp:rsid wsp:val=&quot;001D7D57&quot;/&gt;&lt;wsp:rsid wsp:val=&quot;001E009D&quot;/&gt;&lt;wsp:rsid wsp:val=&quot;001E02B1&quot;/&gt;&lt;wsp:rsid wsp:val=&quot;001E0A19&quot;/&gt;&lt;wsp:rsid wsp:val=&quot;001E0C2C&quot;/&gt;&lt;wsp:rsid wsp:val=&quot;001E19B4&quot;/&gt;&lt;wsp:rsid wsp:val=&quot;001E1C71&quot;/&gt;&lt;wsp:rsid wsp:val=&quot;001E1E3D&quot;/&gt;&lt;wsp:rsid wsp:val=&quot;001E1EDF&quot;/&gt;&lt;wsp:rsid wsp:val=&quot;001E2178&quot;/&gt;&lt;wsp:rsid wsp:val=&quot;001E2E61&quot;/&gt;&lt;wsp:rsid wsp:val=&quot;001E30AC&quot;/&gt;&lt;wsp:rsid wsp:val=&quot;001E3609&quot;/&gt;&lt;wsp:rsid wsp:val=&quot;001E3C6E&quot;/&gt;&lt;wsp:rsid wsp:val=&quot;001E3FF9&quot;/&gt;&lt;wsp:rsid wsp:val=&quot;001E4135&quot;/&gt;&lt;wsp:rsid wsp:val=&quot;001E42D4&quot;/&gt;&lt;wsp:rsid wsp:val=&quot;001E4361&quot;/&gt;&lt;wsp:rsid wsp:val=&quot;001E6526&quot;/&gt;&lt;wsp:rsid wsp:val=&quot;001E7A92&quot;/&gt;&lt;wsp:rsid wsp:val=&quot;001E7FD6&quot;/&gt;&lt;wsp:rsid wsp:val=&quot;001F00CE&quot;/&gt;&lt;wsp:rsid wsp:val=&quot;001F0950&quot;/&gt;&lt;wsp:rsid wsp:val=&quot;001F09D4&quot;/&gt;&lt;wsp:rsid wsp:val=&quot;001F0B2A&quot;/&gt;&lt;wsp:rsid wsp:val=&quot;001F0F64&quot;/&gt;&lt;wsp:rsid wsp:val=&quot;001F145F&quot;/&gt;&lt;wsp:rsid wsp:val=&quot;001F1A97&quot;/&gt;&lt;wsp:rsid wsp:val=&quot;001F25EF&quot;/&gt;&lt;wsp:rsid wsp:val=&quot;001F2BD3&quot;/&gt;&lt;wsp:rsid wsp:val=&quot;001F2EB0&quot;/&gt;&lt;wsp:rsid wsp:val=&quot;001F3149&quot;/&gt;&lt;wsp:rsid wsp:val=&quot;001F3DE6&quot;/&gt;&lt;wsp:rsid wsp:val=&quot;001F44F0&quot;/&gt;&lt;wsp:rsid wsp:val=&quot;001F4BB6&quot;/&gt;&lt;wsp:rsid wsp:val=&quot;001F5027&quot;/&gt;&lt;wsp:rsid wsp:val=&quot;001F509F&quot;/&gt;&lt;wsp:rsid wsp:val=&quot;001F5327&quot;/&gt;&lt;wsp:rsid wsp:val=&quot;001F532B&quot;/&gt;&lt;wsp:rsid wsp:val=&quot;001F5D89&quot;/&gt;&lt;wsp:rsid wsp:val=&quot;001F6144&quot;/&gt;&lt;wsp:rsid wsp:val=&quot;001F6251&quot;/&gt;&lt;wsp:rsid wsp:val=&quot;001F642A&quot;/&gt;&lt;wsp:rsid wsp:val=&quot;001F6784&quot;/&gt;&lt;wsp:rsid wsp:val=&quot;001F6B93&quot;/&gt;&lt;wsp:rsid wsp:val=&quot;001F7221&quot;/&gt;&lt;wsp:rsid wsp:val=&quot;001F79B7&quot;/&gt;&lt;wsp:rsid wsp:val=&quot;001F7E29&quot;/&gt;&lt;wsp:rsid wsp:val=&quot;00200D08&quot;/&gt;&lt;wsp:rsid wsp:val=&quot;00200D2B&quot;/&gt;&lt;wsp:rsid wsp:val=&quot;002013F4&quot;/&gt;&lt;wsp:rsid wsp:val=&quot;00201F60&quot;/&gt;&lt;wsp:rsid wsp:val=&quot;0020273F&quot;/&gt;&lt;wsp:rsid wsp:val=&quot;002028AE&quot;/&gt;&lt;wsp:rsid wsp:val=&quot;00202A69&quot;/&gt;&lt;wsp:rsid wsp:val=&quot;00202D8D&quot;/&gt;&lt;wsp:rsid wsp:val=&quot;00203642&quot;/&gt;&lt;wsp:rsid wsp:val=&quot;00203C68&quot;/&gt;&lt;wsp:rsid wsp:val=&quot;00203EAB&quot;/&gt;&lt;wsp:rsid wsp:val=&quot;00205076&quot;/&gt;&lt;wsp:rsid wsp:val=&quot;0020532D&quot;/&gt;&lt;wsp:rsid wsp:val=&quot;00205CA8&quot;/&gt;&lt;wsp:rsid wsp:val=&quot;00205D07&quot;/&gt;&lt;wsp:rsid wsp:val=&quot;002061F5&quot;/&gt;&lt;wsp:rsid wsp:val=&quot;00206575&quot;/&gt;&lt;wsp:rsid wsp:val=&quot;002067DE&quot;/&gt;&lt;wsp:rsid wsp:val=&quot;00206D6D&quot;/&gt;&lt;wsp:rsid wsp:val=&quot;00210437&quot;/&gt;&lt;wsp:rsid wsp:val=&quot;0021052D&quot;/&gt;&lt;wsp:rsid wsp:val=&quot;00210C96&quot;/&gt;&lt;wsp:rsid wsp:val=&quot;00211461&quot;/&gt;&lt;wsp:rsid wsp:val=&quot;0021158B&quot;/&gt;&lt;wsp:rsid wsp:val=&quot;00211754&quot;/&gt;&lt;wsp:rsid wsp:val=&quot;00211795&quot;/&gt;&lt;wsp:rsid wsp:val=&quot;00211D0A&quot;/&gt;&lt;wsp:rsid wsp:val=&quot;002121FB&quot;/&gt;&lt;wsp:rsid wsp:val=&quot;00212F6D&quot;/&gt;&lt;wsp:rsid wsp:val=&quot;00212F7E&quot;/&gt;&lt;wsp:rsid wsp:val=&quot;00213691&quot;/&gt;&lt;wsp:rsid wsp:val=&quot;00214EB2&quot;/&gt;&lt;wsp:rsid wsp:val=&quot;00216007&quot;/&gt;&lt;wsp:rsid wsp:val=&quot;0021616C&quot;/&gt;&lt;wsp:rsid wsp:val=&quot;002175AC&quot;/&gt;&lt;wsp:rsid wsp:val=&quot;002175F4&quot;/&gt;&lt;wsp:rsid wsp:val=&quot;00220186&quot;/&gt;&lt;wsp:rsid wsp:val=&quot;00220365&quot;/&gt;&lt;wsp:rsid wsp:val=&quot;00220C1B&quot;/&gt;&lt;wsp:rsid wsp:val=&quot;00220D38&quot;/&gt;&lt;wsp:rsid wsp:val=&quot;00220FCC&quot;/&gt;&lt;wsp:rsid wsp:val=&quot;00220FEC&quot;/&gt;&lt;wsp:rsid wsp:val=&quot;00221927&quot;/&gt;&lt;wsp:rsid wsp:val=&quot;00221B2E&quot;/&gt;&lt;wsp:rsid wsp:val=&quot;00222DAB&quot;/&gt;&lt;wsp:rsid wsp:val=&quot;00223D3A&quot;/&gt;&lt;wsp:rsid wsp:val=&quot;00224C00&quot;/&gt;&lt;wsp:rsid wsp:val=&quot;00227A51&quot;/&gt;&lt;wsp:rsid wsp:val=&quot;00230668&quot;/&gt;&lt;wsp:rsid wsp:val=&quot;0023101E&quot;/&gt;&lt;wsp:rsid wsp:val=&quot;00231502&quot;/&gt;&lt;wsp:rsid wsp:val=&quot;00232184&quot;/&gt;&lt;wsp:rsid wsp:val=&quot;0023266D&quot;/&gt;&lt;wsp:rsid wsp:val=&quot;0023275E&quot;/&gt;&lt;wsp:rsid wsp:val=&quot;002333BF&quot;/&gt;&lt;wsp:rsid wsp:val=&quot;00233840&quot;/&gt;&lt;wsp:rsid wsp:val=&quot;0023404D&quot;/&gt;&lt;wsp:rsid wsp:val=&quot;002354C0&quot;/&gt;&lt;wsp:rsid wsp:val=&quot;00236A8C&quot;/&gt;&lt;wsp:rsid wsp:val=&quot;00237770&quot;/&gt;&lt;wsp:rsid wsp:val=&quot;002379F9&quot;/&gt;&lt;wsp:rsid wsp:val=&quot;00240223&quot;/&gt;&lt;wsp:rsid wsp:val=&quot;00240674&quot;/&gt;&lt;wsp:rsid wsp:val=&quot;00240D75&quot;/&gt;&lt;wsp:rsid wsp:val=&quot;00240F2D&quot;/&gt;&lt;wsp:rsid wsp:val=&quot;00242C1D&quot;/&gt;&lt;wsp:rsid wsp:val=&quot;00243C51&quot;/&gt;&lt;wsp:rsid wsp:val=&quot;00244094&quot;/&gt;&lt;wsp:rsid wsp:val=&quot;00244F25&quot;/&gt;&lt;wsp:rsid wsp:val=&quot;002451D9&quot;/&gt;&lt;wsp:rsid wsp:val=&quot;002466ED&quot;/&gt;&lt;wsp:rsid wsp:val=&quot;00246D97&quot;/&gt;&lt;wsp:rsid wsp:val=&quot;00247F63&quot;/&gt;&lt;wsp:rsid wsp:val=&quot;00250E8D&quot;/&gt;&lt;wsp:rsid wsp:val=&quot;00251608&quot;/&gt;&lt;wsp:rsid wsp:val=&quot;0025197B&quot;/&gt;&lt;wsp:rsid wsp:val=&quot;0025302E&quot;/&gt;&lt;wsp:rsid wsp:val=&quot;00254D1B&quot;/&gt;&lt;wsp:rsid wsp:val=&quot;00255A69&quot;/&gt;&lt;wsp:rsid wsp:val=&quot;00255F5A&quot;/&gt;&lt;wsp:rsid wsp:val=&quot;00256BA3&quot;/&gt;&lt;wsp:rsid wsp:val=&quot;0025708B&quot;/&gt;&lt;wsp:rsid wsp:val=&quot;0025795F&quot;/&gt;&lt;wsp:rsid wsp:val=&quot;0026026E&quot;/&gt;&lt;wsp:rsid wsp:val=&quot;00260A9D&quot;/&gt;&lt;wsp:rsid wsp:val=&quot;00261272&quot;/&gt;&lt;wsp:rsid wsp:val=&quot;002613BB&quot;/&gt;&lt;wsp:rsid wsp:val=&quot;00261F9A&quot;/&gt;&lt;wsp:rsid wsp:val=&quot;002621EA&quot;/&gt;&lt;wsp:rsid wsp:val=&quot;00262625&quot;/&gt;&lt;wsp:rsid wsp:val=&quot;00262962&quot;/&gt;&lt;wsp:rsid wsp:val=&quot;002650A8&quot;/&gt;&lt;wsp:rsid wsp:val=&quot;00265545&quot;/&gt;&lt;wsp:rsid wsp:val=&quot;00265C4D&quot;/&gt;&lt;wsp:rsid wsp:val=&quot;00265FB4&quot;/&gt;&lt;wsp:rsid wsp:val=&quot;00267D26&quot;/&gt;&lt;wsp:rsid wsp:val=&quot;002702A3&quot;/&gt;&lt;wsp:rsid wsp:val=&quot;002702B9&quot;/&gt;&lt;wsp:rsid wsp:val=&quot;00270B48&quot;/&gt;&lt;wsp:rsid wsp:val=&quot;00270E92&quot;/&gt;&lt;wsp:rsid wsp:val=&quot;002710AB&quot;/&gt;&lt;wsp:rsid wsp:val=&quot;002713B0&quot;/&gt;&lt;wsp:rsid wsp:val=&quot;002715BA&quot;/&gt;&lt;wsp:rsid wsp:val=&quot;00271DFA&quot;/&gt;&lt;wsp:rsid wsp:val=&quot;0027223C&quot;/&gt;&lt;wsp:rsid wsp:val=&quot;002723C4&quot;/&gt;&lt;wsp:rsid wsp:val=&quot;002726CC&quot;/&gt;&lt;wsp:rsid wsp:val=&quot;00272B5E&quot;/&gt;&lt;wsp:rsid wsp:val=&quot;00273485&quot;/&gt;&lt;wsp:rsid wsp:val=&quot;00273A61&quot;/&gt;&lt;wsp:rsid wsp:val=&quot;00274777&quot;/&gt;&lt;wsp:rsid wsp:val=&quot;00276692&quot;/&gt;&lt;wsp:rsid wsp:val=&quot;0027682A&quot;/&gt;&lt;wsp:rsid wsp:val=&quot;00276927&quot;/&gt;&lt;wsp:rsid wsp:val=&quot;00276B70&quot;/&gt;&lt;wsp:rsid wsp:val=&quot;002812DF&quot;/&gt;&lt;wsp:rsid wsp:val=&quot;00281324&quot;/&gt;&lt;wsp:rsid wsp:val=&quot;002814F9&quot;/&gt;&lt;wsp:rsid wsp:val=&quot;0028182D&quot;/&gt;&lt;wsp:rsid wsp:val=&quot;00281C4F&quot;/&gt;&lt;wsp:rsid wsp:val=&quot;00282D69&quot;/&gt;&lt;wsp:rsid wsp:val=&quot;0028301F&quot;/&gt;&lt;wsp:rsid wsp:val=&quot;0028310F&quot;/&gt;&lt;wsp:rsid wsp:val=&quot;00283A8A&quot;/&gt;&lt;wsp:rsid wsp:val=&quot;00283CF2&quot;/&gt;&lt;wsp:rsid wsp:val=&quot;00283E61&quot;/&gt;&lt;wsp:rsid wsp:val=&quot;0028406D&quot;/&gt;&lt;wsp:rsid wsp:val=&quot;00284469&quot;/&gt;&lt;wsp:rsid wsp:val=&quot;00284D19&quot;/&gt;&lt;wsp:rsid wsp:val=&quot;00284EE6&quot;/&gt;&lt;wsp:rsid wsp:val=&quot;00285A2D&quot;/&gt;&lt;wsp:rsid wsp:val=&quot;00286AAB&quot;/&gt;&lt;wsp:rsid wsp:val=&quot;002877AF&quot;/&gt;&lt;wsp:rsid wsp:val=&quot;00290146&quot;/&gt;&lt;wsp:rsid wsp:val=&quot;00290572&quot;/&gt;&lt;wsp:rsid wsp:val=&quot;00291018&quot;/&gt;&lt;wsp:rsid wsp:val=&quot;00291988&quot;/&gt;&lt;wsp:rsid wsp:val=&quot;002919C6&quot;/&gt;&lt;wsp:rsid wsp:val=&quot;00292690&quot;/&gt;&lt;wsp:rsid wsp:val=&quot;00293A36&quot;/&gt;&lt;wsp:rsid wsp:val=&quot;00293DD8&quot;/&gt;&lt;wsp:rsid wsp:val=&quot;00294581&quot;/&gt;&lt;wsp:rsid wsp:val=&quot;00294FCA&quot;/&gt;&lt;wsp:rsid wsp:val=&quot;00295066&quot;/&gt;&lt;wsp:rsid wsp:val=&quot;00295166&quot;/&gt;&lt;wsp:rsid wsp:val=&quot;00297150&quot;/&gt;&lt;wsp:rsid wsp:val=&quot;00297C5D&quot;/&gt;&lt;wsp:rsid wsp:val=&quot;00297E16&quot;/&gt;&lt;wsp:rsid wsp:val=&quot;002A0C8A&quot;/&gt;&lt;wsp:rsid wsp:val=&quot;002A2398&quot;/&gt;&lt;wsp:rsid wsp:val=&quot;002A26F2&quot;/&gt;&lt;wsp:rsid wsp:val=&quot;002A4E13&quot;/&gt;&lt;wsp:rsid wsp:val=&quot;002A5A39&quot;/&gt;&lt;wsp:rsid wsp:val=&quot;002A69CE&quot;/&gt;&lt;wsp:rsid wsp:val=&quot;002A6D4A&quot;/&gt;&lt;wsp:rsid wsp:val=&quot;002A7683&quot;/&gt;&lt;wsp:rsid wsp:val=&quot;002B007C&quot;/&gt;&lt;wsp:rsid wsp:val=&quot;002B15DF&quot;/&gt;&lt;wsp:rsid wsp:val=&quot;002B1B05&quot;/&gt;&lt;wsp:rsid wsp:val=&quot;002B4262&quot;/&gt;&lt;wsp:rsid wsp:val=&quot;002B4398&quot;/&gt;&lt;wsp:rsid wsp:val=&quot;002B47C3&quot;/&gt;&lt;wsp:rsid wsp:val=&quot;002B54D0&quot;/&gt;&lt;wsp:rsid wsp:val=&quot;002B54D4&quot;/&gt;&lt;wsp:rsid wsp:val=&quot;002B6022&quot;/&gt;&lt;wsp:rsid wsp:val=&quot;002B60E8&quot;/&gt;&lt;wsp:rsid wsp:val=&quot;002B69A4&quot;/&gt;&lt;wsp:rsid wsp:val=&quot;002B6B81&quot;/&gt;&lt;wsp:rsid wsp:val=&quot;002B6D4F&quot;/&gt;&lt;wsp:rsid wsp:val=&quot;002B70AD&quot;/&gt;&lt;wsp:rsid wsp:val=&quot;002B7631&quot;/&gt;&lt;wsp:rsid wsp:val=&quot;002B7E27&quot;/&gt;&lt;wsp:rsid wsp:val=&quot;002C006B&quot;/&gt;&lt;wsp:rsid wsp:val=&quot;002C053F&quot;/&gt;&lt;wsp:rsid wsp:val=&quot;002C06A5&quot;/&gt;&lt;wsp:rsid wsp:val=&quot;002C08F5&quot;/&gt;&lt;wsp:rsid wsp:val=&quot;002C28EF&quot;/&gt;&lt;wsp:rsid wsp:val=&quot;002C2E31&quot;/&gt;&lt;wsp:rsid wsp:val=&quot;002C2EA7&quot;/&gt;&lt;wsp:rsid wsp:val=&quot;002C3AE7&quot;/&gt;&lt;wsp:rsid wsp:val=&quot;002C3D2F&quot;/&gt;&lt;wsp:rsid wsp:val=&quot;002C40C5&quot;/&gt;&lt;wsp:rsid wsp:val=&quot;002C4E22&quot;/&gt;&lt;wsp:rsid wsp:val=&quot;002C50E4&quot;/&gt;&lt;wsp:rsid wsp:val=&quot;002C5466&quot;/&gt;&lt;wsp:rsid wsp:val=&quot;002C59A7&quot;/&gt;&lt;wsp:rsid wsp:val=&quot;002C5C88&quot;/&gt;&lt;wsp:rsid wsp:val=&quot;002C5EE7&quot;/&gt;&lt;wsp:rsid wsp:val=&quot;002C675F&quot;/&gt;&lt;wsp:rsid wsp:val=&quot;002C696E&quot;/&gt;&lt;wsp:rsid wsp:val=&quot;002C6D78&quot;/&gt;&lt;wsp:rsid wsp:val=&quot;002C6E72&quot;/&gt;&lt;wsp:rsid wsp:val=&quot;002C7AF9&quot;/&gt;&lt;wsp:rsid wsp:val=&quot;002D0D39&quot;/&gt;&lt;wsp:rsid wsp:val=&quot;002D1E29&quot;/&gt;&lt;wsp:rsid wsp:val=&quot;002D1FC3&quot;/&gt;&lt;wsp:rsid wsp:val=&quot;002D2C5E&quot;/&gt;&lt;wsp:rsid wsp:val=&quot;002D40BB&quot;/&gt;&lt;wsp:rsid wsp:val=&quot;002D42C7&quot;/&gt;&lt;wsp:rsid wsp:val=&quot;002D63F1&quot;/&gt;&lt;wsp:rsid wsp:val=&quot;002D7644&quot;/&gt;&lt;wsp:rsid wsp:val=&quot;002D7B46&quot;/&gt;&lt;wsp:rsid wsp:val=&quot;002D7BB2&quot;/&gt;&lt;wsp:rsid wsp:val=&quot;002D7CB3&quot;/&gt;&lt;wsp:rsid wsp:val=&quot;002D7E32&quot;/&gt;&lt;wsp:rsid wsp:val=&quot;002E0377&quot;/&gt;&lt;wsp:rsid wsp:val=&quot;002E03F3&quot;/&gt;&lt;wsp:rsid wsp:val=&quot;002E159D&quot;/&gt;&lt;wsp:rsid wsp:val=&quot;002E2588&quot;/&gt;&lt;wsp:rsid wsp:val=&quot;002E26CC&quot;/&gt;&lt;wsp:rsid wsp:val=&quot;002E2919&quot;/&gt;&lt;wsp:rsid wsp:val=&quot;002E2B9D&quot;/&gt;&lt;wsp:rsid wsp:val=&quot;002E3224&quot;/&gt;&lt;wsp:rsid wsp:val=&quot;002E3C8B&quot;/&gt;&lt;wsp:rsid wsp:val=&quot;002E4D3D&quot;/&gt;&lt;wsp:rsid wsp:val=&quot;002E653A&quot;/&gt;&lt;wsp:rsid wsp:val=&quot;002E6CC0&quot;/&gt;&lt;wsp:rsid wsp:val=&quot;002E6F26&quot;/&gt;&lt;wsp:rsid wsp:val=&quot;002E6F59&quot;/&gt;&lt;wsp:rsid wsp:val=&quot;002E7486&quot;/&gt;&lt;wsp:rsid wsp:val=&quot;002E78BA&quot;/&gt;&lt;wsp:rsid wsp:val=&quot;002E79C8&quot;/&gt;&lt;wsp:rsid wsp:val=&quot;002E7E84&quot;/&gt;&lt;wsp:rsid wsp:val=&quot;002F191E&quot;/&gt;&lt;wsp:rsid wsp:val=&quot;002F4158&quot;/&gt;&lt;wsp:rsid wsp:val=&quot;002F44A6&quot;/&gt;&lt;wsp:rsid wsp:val=&quot;002F465D&quot;/&gt;&lt;wsp:rsid wsp:val=&quot;002F6DE5&quot;/&gt;&lt;wsp:rsid wsp:val=&quot;002F700E&quot;/&gt;&lt;wsp:rsid wsp:val=&quot;00301337&quot;/&gt;&lt;wsp:rsid wsp:val=&quot;0030150F&quot;/&gt;&lt;wsp:rsid wsp:val=&quot;00301D1D&quot;/&gt;&lt;wsp:rsid wsp:val=&quot;00302240&quot;/&gt;&lt;wsp:rsid wsp:val=&quot;003026D7&quot;/&gt;&lt;wsp:rsid wsp:val=&quot;0030284D&quot;/&gt;&lt;wsp:rsid wsp:val=&quot;0030467C&quot;/&gt;&lt;wsp:rsid wsp:val=&quot;00304D8B&quot;/&gt;&lt;wsp:rsid wsp:val=&quot;0030713B&quot;/&gt;&lt;wsp:rsid wsp:val=&quot;0030722A&quot;/&gt;&lt;wsp:rsid wsp:val=&quot;0030771F&quot;/&gt;&lt;wsp:rsid wsp:val=&quot;0031262D&quot;/&gt;&lt;wsp:rsid wsp:val=&quot;0031283D&quot;/&gt;&lt;wsp:rsid wsp:val=&quot;00313963&quot;/&gt;&lt;wsp:rsid wsp:val=&quot;00314454&quot;/&gt;&lt;wsp:rsid wsp:val=&quot;003148E6&quot;/&gt;&lt;wsp:rsid wsp:val=&quot;00314F8B&quot;/&gt;&lt;wsp:rsid wsp:val=&quot;00316C85&quot;/&gt;&lt;wsp:rsid wsp:val=&quot;00317000&quot;/&gt;&lt;wsp:rsid wsp:val=&quot;0031702D&quot;/&gt;&lt;wsp:rsid wsp:val=&quot;003172C5&quot;/&gt;&lt;wsp:rsid wsp:val=&quot;0031793E&quot;/&gt;&lt;wsp:rsid wsp:val=&quot;0031797C&quot;/&gt;&lt;wsp:rsid wsp:val=&quot;00317E2B&quot;/&gt;&lt;wsp:rsid wsp:val=&quot;0032020B&quot;/&gt;&lt;wsp:rsid wsp:val=&quot;003207CA&quot;/&gt;&lt;wsp:rsid wsp:val=&quot;00321D14&quot;/&gt;&lt;wsp:rsid wsp:val=&quot;00322577&quot;/&gt;&lt;wsp:rsid wsp:val=&quot;003227D0&quot;/&gt;&lt;wsp:rsid wsp:val=&quot;00323D41&quot;/&gt;&lt;wsp:rsid wsp:val=&quot;00323E75&quot;/&gt;&lt;wsp:rsid wsp:val=&quot;003242CB&quot;/&gt;&lt;wsp:rsid wsp:val=&quot;00324B0E&quot;/&gt;&lt;wsp:rsid wsp:val=&quot;00324DE4&quot;/&gt;&lt;wsp:rsid wsp:val=&quot;00325F6E&quot;/&gt;&lt;wsp:rsid wsp:val=&quot;00330433&quot;/&gt;&lt;wsp:rsid wsp:val=&quot;003306D2&quot;/&gt;&lt;wsp:rsid wsp:val=&quot;00330B40&quot;/&gt;&lt;wsp:rsid wsp:val=&quot;00332350&quot;/&gt;&lt;wsp:rsid wsp:val=&quot;0033242D&quot;/&gt;&lt;wsp:rsid wsp:val=&quot;00332941&quot;/&gt;&lt;wsp:rsid wsp:val=&quot;00332D8B&quot;/&gt;&lt;wsp:rsid wsp:val=&quot;00332E9A&quot;/&gt;&lt;wsp:rsid wsp:val=&quot;00332F68&quot;/&gt;&lt;wsp:rsid wsp:val=&quot;0033457B&quot;/&gt;&lt;wsp:rsid wsp:val=&quot;003347AB&quot;/&gt;&lt;wsp:rsid wsp:val=&quot;003357A1&quot;/&gt;&lt;wsp:rsid wsp:val=&quot;00335A75&quot;/&gt;&lt;wsp:rsid wsp:val=&quot;0033611A&quot;/&gt;&lt;wsp:rsid wsp:val=&quot;003361AC&quot;/&gt;&lt;wsp:rsid wsp:val=&quot;00336572&quot;/&gt;&lt;wsp:rsid wsp:val=&quot;00336A99&quot;/&gt;&lt;wsp:rsid wsp:val=&quot;00336B48&quot;/&gt;&lt;wsp:rsid wsp:val=&quot;00336B5A&quot;/&gt;&lt;wsp:rsid wsp:val=&quot;003378F5&quot;/&gt;&lt;wsp:rsid wsp:val=&quot;003401D4&quot;/&gt;&lt;wsp:rsid wsp:val=&quot;003405D8&quot;/&gt;&lt;wsp:rsid wsp:val=&quot;00341A92&quot;/&gt;&lt;wsp:rsid wsp:val=&quot;00341C3B&quot;/&gt;&lt;wsp:rsid wsp:val=&quot;003425BF&quot;/&gt;&lt;wsp:rsid wsp:val=&quot;00342911&quot;/&gt;&lt;wsp:rsid wsp:val=&quot;00342C9A&quot;/&gt;&lt;wsp:rsid wsp:val=&quot;003430DD&quot;/&gt;&lt;wsp:rsid wsp:val=&quot;00343D4F&quot;/&gt;&lt;wsp:rsid wsp:val=&quot;0034463D&quot;/&gt;&lt;wsp:rsid wsp:val=&quot;00344880&quot;/&gt;&lt;wsp:rsid wsp:val=&quot;00344D29&quot;/&gt;&lt;wsp:rsid wsp:val=&quot;00345E48&quot;/&gt;&lt;wsp:rsid wsp:val=&quot;00346594&quot;/&gt;&lt;wsp:rsid wsp:val=&quot;003468BD&quot;/&gt;&lt;wsp:rsid wsp:val=&quot;003471C5&quot;/&gt;&lt;wsp:rsid wsp:val=&quot;00351721&quot;/&gt;&lt;wsp:rsid wsp:val=&quot;00352B34&quot;/&gt;&lt;wsp:rsid wsp:val=&quot;0035427A&quot;/&gt;&lt;wsp:rsid wsp:val=&quot;00354672&quot;/&gt;&lt;wsp:rsid wsp:val=&quot;003553EB&quot;/&gt;&lt;wsp:rsid wsp:val=&quot;00355CCD&quot;/&gt;&lt;wsp:rsid wsp:val=&quot;00355ECF&quot;/&gt;&lt;wsp:rsid wsp:val=&quot;00356789&quot;/&gt;&lt;wsp:rsid wsp:val=&quot;00356A53&quot;/&gt;&lt;wsp:rsid wsp:val=&quot;003603BD&quot;/&gt;&lt;wsp:rsid wsp:val=&quot;003603FF&quot;/&gt;&lt;wsp:rsid wsp:val=&quot;0036048B&quot;/&gt;&lt;wsp:rsid wsp:val=&quot;00361274&quot;/&gt;&lt;wsp:rsid wsp:val=&quot;003614B7&quot;/&gt;&lt;wsp:rsid wsp:val=&quot;003620F5&quot;/&gt;&lt;wsp:rsid wsp:val=&quot;003626D9&quot;/&gt;&lt;wsp:rsid wsp:val=&quot;00362FEF&quot;/&gt;&lt;wsp:rsid wsp:val=&quot;00363A07&quot;/&gt;&lt;wsp:rsid wsp:val=&quot;003650EF&quot;/&gt;&lt;wsp:rsid wsp:val=&quot;00365C04&quot;/&gt;&lt;wsp:rsid wsp:val=&quot;00365F28&quot;/&gt;&lt;wsp:rsid wsp:val=&quot;00366430&quot;/&gt;&lt;wsp:rsid wsp:val=&quot;00366F98&quot;/&gt;&lt;wsp:rsid wsp:val=&quot;00367A31&quot;/&gt;&lt;wsp:rsid wsp:val=&quot;00370122&quot;/&gt;&lt;wsp:rsid wsp:val=&quot;00370F24&quot;/&gt;&lt;wsp:rsid wsp:val=&quot;00371721&quot;/&gt;&lt;wsp:rsid wsp:val=&quot;00371742&quot;/&gt;&lt;wsp:rsid wsp:val=&quot;00371753&quot;/&gt;&lt;wsp:rsid wsp:val=&quot;00371CEF&quot;/&gt;&lt;wsp:rsid wsp:val=&quot;003720A0&quot;/&gt;&lt;wsp:rsid wsp:val=&quot;00372D7C&quot;/&gt;&lt;wsp:rsid wsp:val=&quot;00372E22&quot;/&gt;&lt;wsp:rsid wsp:val=&quot;00372E3B&quot;/&gt;&lt;wsp:rsid wsp:val=&quot;00372EBB&quot;/&gt;&lt;wsp:rsid wsp:val=&quot;003737EA&quot;/&gt;&lt;wsp:rsid wsp:val=&quot;00373C4E&quot;/&gt;&lt;wsp:rsid wsp:val=&quot;00373CCF&quot;/&gt;&lt;wsp:rsid wsp:val=&quot;0037476B&quot;/&gt;&lt;wsp:rsid wsp:val=&quot;00374C5A&quot;/&gt;&lt;wsp:rsid wsp:val=&quot;00375166&quot;/&gt;&lt;wsp:rsid wsp:val=&quot;0037625C&quot;/&gt;&lt;wsp:rsid wsp:val=&quot;00376AEE&quot;/&gt;&lt;wsp:rsid wsp:val=&quot;00377339&quot;/&gt;&lt;wsp:rsid wsp:val=&quot;00377824&quot;/&gt;&lt;wsp:rsid wsp:val=&quot;00380865&quot;/&gt;&lt;wsp:rsid wsp:val=&quot;0038138D&quot;/&gt;&lt;wsp:rsid wsp:val=&quot;003820FF&quot;/&gt;&lt;wsp:rsid wsp:val=&quot;003827AD&quot;/&gt;&lt;wsp:rsid wsp:val=&quot;00382A63&quot;/&gt;&lt;wsp:rsid wsp:val=&quot;00382BE2&quot;/&gt;&lt;wsp:rsid wsp:val=&quot;00382DFA&quot;/&gt;&lt;wsp:rsid wsp:val=&quot;003830AB&quot;/&gt;&lt;wsp:rsid wsp:val=&quot;00383C99&quot;/&gt;&lt;wsp:rsid wsp:val=&quot;00384720&quot;/&gt;&lt;wsp:rsid wsp:val=&quot;00384BB6&quot;/&gt;&lt;wsp:rsid wsp:val=&quot;00384BD2&quot;/&gt;&lt;wsp:rsid wsp:val=&quot;00385A65&quot;/&gt;&lt;wsp:rsid wsp:val=&quot;00385B01&quot;/&gt;&lt;wsp:rsid wsp:val=&quot;00385D1D&quot;/&gt;&lt;wsp:rsid wsp:val=&quot;00385F95&quot;/&gt;&lt;wsp:rsid wsp:val=&quot;003860E9&quot;/&gt;&lt;wsp:rsid wsp:val=&quot;00386E5B&quot;/&gt;&lt;wsp:rsid wsp:val=&quot;00387113&quot;/&gt;&lt;wsp:rsid wsp:val=&quot;0038738E&quot;/&gt;&lt;wsp:rsid wsp:val=&quot;00387985&quot;/&gt;&lt;wsp:rsid wsp:val=&quot;00390ABA&quot;/&gt;&lt;wsp:rsid wsp:val=&quot;003912EA&quot;/&gt;&lt;wsp:rsid wsp:val=&quot;00391559&quot;/&gt;&lt;wsp:rsid wsp:val=&quot;00391C9C&quot;/&gt;&lt;wsp:rsid wsp:val=&quot;003920EE&quot;/&gt;&lt;wsp:rsid wsp:val=&quot;003929D2&quot;/&gt;&lt;wsp:rsid wsp:val=&quot;00393AC6&quot;/&gt;&lt;wsp:rsid wsp:val=&quot;00394315&quot;/&gt;&lt;wsp:rsid wsp:val=&quot;003946B0&quot;/&gt;&lt;wsp:rsid wsp:val=&quot;003947F6&quot;/&gt;&lt;wsp:rsid wsp:val=&quot;0039501C&quot;/&gt;&lt;wsp:rsid wsp:val=&quot;003958B0&quot;/&gt;&lt;wsp:rsid wsp:val=&quot;00395FE4&quot;/&gt;&lt;wsp:rsid wsp:val=&quot;003961EB&quot;/&gt;&lt;wsp:rsid wsp:val=&quot;003969BE&quot;/&gt;&lt;wsp:rsid wsp:val=&quot;00396F73&quot;/&gt;&lt;wsp:rsid wsp:val=&quot;0039783A&quot;/&gt;&lt;wsp:rsid wsp:val=&quot;00397DF7&quot;/&gt;&lt;wsp:rsid wsp:val=&quot;00397FE2&quot;/&gt;&lt;wsp:rsid wsp:val=&quot;003A088A&quot;/&gt;&lt;wsp:rsid wsp:val=&quot;003A110E&quot;/&gt;&lt;wsp:rsid wsp:val=&quot;003A2C87&quot;/&gt;&lt;wsp:rsid wsp:val=&quot;003A2C99&quot;/&gt;&lt;wsp:rsid wsp:val=&quot;003A3D10&quot;/&gt;&lt;wsp:rsid wsp:val=&quot;003A3E86&quot;/&gt;&lt;wsp:rsid wsp:val=&quot;003A4056&quot;/&gt;&lt;wsp:rsid wsp:val=&quot;003A49B8&quot;/&gt;&lt;wsp:rsid wsp:val=&quot;003A56DE&quot;/&gt;&lt;wsp:rsid wsp:val=&quot;003A5927&quot;/&gt;&lt;wsp:rsid wsp:val=&quot;003A5F90&quot;/&gt;&lt;wsp:rsid wsp:val=&quot;003A63DC&quot;/&gt;&lt;wsp:rsid wsp:val=&quot;003A6693&quot;/&gt;&lt;wsp:rsid wsp:val=&quot;003A66BA&quot;/&gt;&lt;wsp:rsid wsp:val=&quot;003A6773&quot;/&gt;&lt;wsp:rsid wsp:val=&quot;003A7535&quot;/&gt;&lt;wsp:rsid wsp:val=&quot;003A7579&quot;/&gt;&lt;wsp:rsid wsp:val=&quot;003A7C47&quot;/&gt;&lt;wsp:rsid wsp:val=&quot;003B0A55&quot;/&gt;&lt;wsp:rsid wsp:val=&quot;003B2B64&quot;/&gt;&lt;wsp:rsid wsp:val=&quot;003B2D4E&quot;/&gt;&lt;wsp:rsid wsp:val=&quot;003B3FCA&quot;/&gt;&lt;wsp:rsid wsp:val=&quot;003B5424&quot;/&gt;&lt;wsp:rsid wsp:val=&quot;003B5BB8&quot;/&gt;&lt;wsp:rsid wsp:val=&quot;003B6087&quot;/&gt;&lt;wsp:rsid wsp:val=&quot;003B658A&quot;/&gt;&lt;wsp:rsid wsp:val=&quot;003B6C46&quot;/&gt;&lt;wsp:rsid wsp:val=&quot;003B6DB1&quot;/&gt;&lt;wsp:rsid wsp:val=&quot;003B6E49&quot;/&gt;&lt;wsp:rsid wsp:val=&quot;003B6E55&quot;/&gt;&lt;wsp:rsid wsp:val=&quot;003C088C&quot;/&gt;&lt;wsp:rsid wsp:val=&quot;003C12F0&quot;/&gt;&lt;wsp:rsid wsp:val=&quot;003C133C&quot;/&gt;&lt;wsp:rsid wsp:val=&quot;003C2C1B&quot;/&gt;&lt;wsp:rsid wsp:val=&quot;003C355B&quot;/&gt;&lt;wsp:rsid wsp:val=&quot;003C3C2F&quot;/&gt;&lt;wsp:rsid wsp:val=&quot;003C50D6&quot;/&gt;&lt;wsp:rsid wsp:val=&quot;003C65DD&quot;/&gt;&lt;wsp:rsid wsp:val=&quot;003C6B8F&quot;/&gt;&lt;wsp:rsid wsp:val=&quot;003C6C4F&quot;/&gt;&lt;wsp:rsid wsp:val=&quot;003C7434&quot;/&gt;&lt;wsp:rsid wsp:val=&quot;003C7484&quot;/&gt;&lt;wsp:rsid wsp:val=&quot;003D03D9&quot;/&gt;&lt;wsp:rsid wsp:val=&quot;003D064B&quot;/&gt;&lt;wsp:rsid wsp:val=&quot;003D0F63&quot;/&gt;&lt;wsp:rsid wsp:val=&quot;003D17A6&quot;/&gt;&lt;wsp:rsid wsp:val=&quot;003D2364&quot;/&gt;&lt;wsp:rsid wsp:val=&quot;003D273B&quot;/&gt;&lt;wsp:rsid wsp:val=&quot;003D3F39&quot;/&gt;&lt;wsp:rsid wsp:val=&quot;003D42AA&quot;/&gt;&lt;wsp:rsid wsp:val=&quot;003D4661&quot;/&gt;&lt;wsp:rsid wsp:val=&quot;003D4789&quot;/&gt;&lt;wsp:rsid wsp:val=&quot;003D4BC5&quot;/&gt;&lt;wsp:rsid wsp:val=&quot;003D4E79&quot;/&gt;&lt;wsp:rsid wsp:val=&quot;003D5A1C&quot;/&gt;&lt;wsp:rsid wsp:val=&quot;003D5D69&quot;/&gt;&lt;wsp:rsid wsp:val=&quot;003D5E53&quot;/&gt;&lt;wsp:rsid wsp:val=&quot;003D5FDB&quot;/&gt;&lt;wsp:rsid wsp:val=&quot;003D7DFF&quot;/&gt;&lt;wsp:rsid wsp:val=&quot;003E0AE2&quot;/&gt;&lt;wsp:rsid wsp:val=&quot;003E0D0B&quot;/&gt;&lt;wsp:rsid wsp:val=&quot;003E0E59&quot;/&gt;&lt;wsp:rsid wsp:val=&quot;003E14DC&quot;/&gt;&lt;wsp:rsid wsp:val=&quot;003E1676&quot;/&gt;&lt;wsp:rsid wsp:val=&quot;003E1894&quot;/&gt;&lt;wsp:rsid wsp:val=&quot;003E2AEA&quot;/&gt;&lt;wsp:rsid wsp:val=&quot;003E2C25&quot;/&gt;&lt;wsp:rsid wsp:val=&quot;003E3672&quot;/&gt;&lt;wsp:rsid wsp:val=&quot;003E4A3F&quot;/&gt;&lt;wsp:rsid wsp:val=&quot;003E4E84&quot;/&gt;&lt;wsp:rsid wsp:val=&quot;003E4F92&quot;/&gt;&lt;wsp:rsid wsp:val=&quot;003E7344&quot;/&gt;&lt;wsp:rsid wsp:val=&quot;003E7B64&quot;/&gt;&lt;wsp:rsid wsp:val=&quot;003E7F73&quot;/&gt;&lt;wsp:rsid wsp:val=&quot;003F26CE&quot;/&gt;&lt;wsp:rsid wsp:val=&quot;003F2D00&quot;/&gt;&lt;wsp:rsid wsp:val=&quot;003F2F9A&quot;/&gt;&lt;wsp:rsid wsp:val=&quot;003F342F&quot;/&gt;&lt;wsp:rsid wsp:val=&quot;003F3F09&quot;/&gt;&lt;wsp:rsid wsp:val=&quot;003F5230&quot;/&gt;&lt;wsp:rsid wsp:val=&quot;003F5B48&quot;/&gt;&lt;wsp:rsid wsp:val=&quot;003F6269&quot;/&gt;&lt;wsp:rsid wsp:val=&quot;003F78B6&quot;/&gt;&lt;wsp:rsid wsp:val=&quot;003F7F23&quot;/&gt;&lt;wsp:rsid wsp:val=&quot;00400287&quot;/&gt;&lt;wsp:rsid wsp:val=&quot;00400654&quot;/&gt;&lt;wsp:rsid wsp:val=&quot;004016B6&quot;/&gt;&lt;wsp:rsid wsp:val=&quot;0040179C&quot;/&gt;&lt;wsp:rsid wsp:val=&quot;004023BC&quot;/&gt;&lt;wsp:rsid wsp:val=&quot;00402884&quot;/&gt;&lt;wsp:rsid wsp:val=&quot;00402F28&quot;/&gt;&lt;wsp:rsid wsp:val=&quot;00403E64&quot;/&gt;&lt;wsp:rsid wsp:val=&quot;004041E3&quot;/&gt;&lt;wsp:rsid wsp:val=&quot;00404348&quot;/&gt;&lt;wsp:rsid wsp:val=&quot;00404D4A&quot;/&gt;&lt;wsp:rsid wsp:val=&quot;00404FF6&quot;/&gt;&lt;wsp:rsid wsp:val=&quot;00405048&quot;/&gt;&lt;wsp:rsid wsp:val=&quot;0040507A&quot;/&gt;&lt;wsp:rsid wsp:val=&quot;00405581&quot;/&gt;&lt;wsp:rsid wsp:val=&quot;00405D9F&quot;/&gt;&lt;wsp:rsid wsp:val=&quot;00406A57&quot;/&gt;&lt;wsp:rsid wsp:val=&quot;00406AD9&quot;/&gt;&lt;wsp:rsid wsp:val=&quot;00406B83&quot;/&gt;&lt;wsp:rsid wsp:val=&quot;00406E16&quot;/&gt;&lt;wsp:rsid wsp:val=&quot;00407E3F&quot;/&gt;&lt;wsp:rsid wsp:val=&quot;004106BD&quot;/&gt;&lt;wsp:rsid wsp:val=&quot;00410C89&quot;/&gt;&lt;wsp:rsid wsp:val=&quot;0041138D&quot;/&gt;&lt;wsp:rsid wsp:val=&quot;00411DE0&quot;/&gt;&lt;wsp:rsid wsp:val=&quot;00412A17&quot;/&gt;&lt;wsp:rsid wsp:val=&quot;00412F69&quot;/&gt;&lt;wsp:rsid wsp:val=&quot;00413304&quot;/&gt;&lt;wsp:rsid wsp:val=&quot;0041353A&quot;/&gt;&lt;wsp:rsid wsp:val=&quot;00413C1C&quot;/&gt;&lt;wsp:rsid wsp:val=&quot;00414E59&quot;/&gt;&lt;wsp:rsid wsp:val=&quot;00415028&quot;/&gt;&lt;wsp:rsid wsp:val=&quot;00415038&quot;/&gt;&lt;wsp:rsid wsp:val=&quot;00415398&quot;/&gt;&lt;wsp:rsid wsp:val=&quot;004158B7&quot;/&gt;&lt;wsp:rsid wsp:val=&quot;00415FA0&quot;/&gt;&lt;wsp:rsid wsp:val=&quot;00416361&quot;/&gt;&lt;wsp:rsid wsp:val=&quot;0041663C&quot;/&gt;&lt;wsp:rsid wsp:val=&quot;00416F6E&quot;/&gt;&lt;wsp:rsid wsp:val=&quot;00417792&quot;/&gt;&lt;wsp:rsid wsp:val=&quot;00420209&quot;/&gt;&lt;wsp:rsid wsp:val=&quot;004225C6&quot;/&gt;&lt;wsp:rsid wsp:val=&quot;00423498&quot;/&gt;&lt;wsp:rsid wsp:val=&quot;00424533&quot;/&gt;&lt;wsp:rsid wsp:val=&quot;00425E77&quot;/&gt;&lt;wsp:rsid wsp:val=&quot;00425FA9&quot;/&gt;&lt;wsp:rsid wsp:val=&quot;00426B13&quot;/&gt;&lt;wsp:rsid wsp:val=&quot;00427907&quot;/&gt;&lt;wsp:rsid wsp:val=&quot;00427913&quot;/&gt;&lt;wsp:rsid wsp:val=&quot;00430C46&quot;/&gt;&lt;wsp:rsid wsp:val=&quot;00430E54&quot;/&gt;&lt;wsp:rsid wsp:val=&quot;004317E9&quot;/&gt;&lt;wsp:rsid wsp:val=&quot;00431A0A&quot;/&gt;&lt;wsp:rsid wsp:val=&quot;00432A06&quot;/&gt;&lt;wsp:rsid wsp:val=&quot;00435E9D&quot;/&gt;&lt;wsp:rsid wsp:val=&quot;0043604B&quot;/&gt;&lt;wsp:rsid wsp:val=&quot;00436111&quot;/&gt;&lt;wsp:rsid wsp:val=&quot;00436877&quot;/&gt;&lt;wsp:rsid wsp:val=&quot;00437F3D&quot;/&gt;&lt;wsp:rsid wsp:val=&quot;00437F4E&quot;/&gt;&lt;wsp:rsid wsp:val=&quot;00440535&quot;/&gt;&lt;wsp:rsid wsp:val=&quot;00440993&quot;/&gt;&lt;wsp:rsid wsp:val=&quot;004429AC&quot;/&gt;&lt;wsp:rsid wsp:val=&quot;004434B9&quot;/&gt;&lt;wsp:rsid wsp:val=&quot;0044468D&quot;/&gt;&lt;wsp:rsid wsp:val=&quot;00444E2F&quot;/&gt;&lt;wsp:rsid wsp:val=&quot;00445DA1&quot;/&gt;&lt;wsp:rsid wsp:val=&quot;0045059B&quot;/&gt;&lt;wsp:rsid wsp:val=&quot;0045137C&quot;/&gt;&lt;wsp:rsid wsp:val=&quot;004519AD&quot;/&gt;&lt;wsp:rsid wsp:val=&quot;00453244&quot;/&gt;&lt;wsp:rsid wsp:val=&quot;0045343E&quot;/&gt;&lt;wsp:rsid wsp:val=&quot;00453877&quot;/&gt;&lt;wsp:rsid wsp:val=&quot;00453CD0&quot;/&gt;&lt;wsp:rsid wsp:val=&quot;00454053&quot;/&gt;&lt;wsp:rsid wsp:val=&quot;00454510&quot;/&gt;&lt;wsp:rsid wsp:val=&quot;00455072&quot;/&gt;&lt;wsp:rsid wsp:val=&quot;0045589A&quot;/&gt;&lt;wsp:rsid wsp:val=&quot;00455C59&quot;/&gt;&lt;wsp:rsid wsp:val=&quot;00456235&quot;/&gt;&lt;wsp:rsid wsp:val=&quot;00456BEB&quot;/&gt;&lt;wsp:rsid wsp:val=&quot;00457546&quot;/&gt;&lt;wsp:rsid wsp:val=&quot;0046060D&quot;/&gt;&lt;wsp:rsid wsp:val=&quot;00460A6C&quot;/&gt;&lt;wsp:rsid wsp:val=&quot;00460B39&quot;/&gt;&lt;wsp:rsid wsp:val=&quot;00460DA0&quot;/&gt;&lt;wsp:rsid wsp:val=&quot;00460DF3&quot;/&gt;&lt;wsp:rsid wsp:val=&quot;00460F1D&quot;/&gt;&lt;wsp:rsid wsp:val=&quot;0046100F&quot;/&gt;&lt;wsp:rsid wsp:val=&quot;00461A13&quot;/&gt;&lt;wsp:rsid wsp:val=&quot;004625A7&quot;/&gt;&lt;wsp:rsid wsp:val=&quot;00462624&quot;/&gt;&lt;wsp:rsid wsp:val=&quot;0046281A&quot;/&gt;&lt;wsp:rsid wsp:val=&quot;00462DB3&quot;/&gt;&lt;wsp:rsid wsp:val=&quot;00463AB7&quot;/&gt;&lt;wsp:rsid wsp:val=&quot;004649ED&quot;/&gt;&lt;wsp:rsid wsp:val=&quot;00466278&quot;/&gt;&lt;wsp:rsid wsp:val=&quot;004666BC&quot;/&gt;&lt;wsp:rsid wsp:val=&quot;0046689B&quot;/&gt;&lt;wsp:rsid wsp:val=&quot;004669D9&quot;/&gt;&lt;wsp:rsid wsp:val=&quot;00466A8C&quot;/&gt;&lt;wsp:rsid wsp:val=&quot;004672FD&quot;/&gt;&lt;wsp:rsid wsp:val=&quot;00470118&quot;/&gt;&lt;wsp:rsid wsp:val=&quot;004708E5&quot;/&gt;&lt;wsp:rsid wsp:val=&quot;00472032&quot;/&gt;&lt;wsp:rsid wsp:val=&quot;0047275B&quot;/&gt;&lt;wsp:rsid wsp:val=&quot;00472834&quot;/&gt;&lt;wsp:rsid wsp:val=&quot;00472E5D&quot;/&gt;&lt;wsp:rsid wsp:val=&quot;00473300&quot;/&gt;&lt;wsp:rsid wsp:val=&quot;00473878&quot;/&gt;&lt;wsp:rsid wsp:val=&quot;0047407B&quot;/&gt;&lt;wsp:rsid wsp:val=&quot;0047408A&quot;/&gt;&lt;wsp:rsid wsp:val=&quot;004748DA&quot;/&gt;&lt;wsp:rsid wsp:val=&quot;00474E69&quot;/&gt;&lt;wsp:rsid wsp:val=&quot;00475EA1&quot;/&gt;&lt;wsp:rsid wsp:val=&quot;004765F1&quot;/&gt;&lt;wsp:rsid wsp:val=&quot;00476649&quot;/&gt;&lt;wsp:rsid wsp:val=&quot;00477C9B&quot;/&gt;&lt;wsp:rsid wsp:val=&quot;004800B7&quot;/&gt;&lt;wsp:rsid wsp:val=&quot;00480EEA&quot;/&gt;&lt;wsp:rsid wsp:val=&quot;0048154B&quot;/&gt;&lt;wsp:rsid wsp:val=&quot;00483731&quot;/&gt;&lt;wsp:rsid wsp:val=&quot;00483E87&quot;/&gt;&lt;wsp:rsid wsp:val=&quot;004851A5&quot;/&gt;&lt;wsp:rsid wsp:val=&quot;00487346&quot;/&gt;&lt;wsp:rsid wsp:val=&quot;00487452&quot;/&gt;&lt;wsp:rsid wsp:val=&quot;00487C9E&quot;/&gt;&lt;wsp:rsid wsp:val=&quot;00487CB0&quot;/&gt;&lt;wsp:rsid wsp:val=&quot;00487E33&quot;/&gt;&lt;wsp:rsid wsp:val=&quot;004902B4&quot;/&gt;&lt;wsp:rsid wsp:val=&quot;00490732&quot;/&gt;&lt;wsp:rsid wsp:val=&quot;004907BC&quot;/&gt;&lt;wsp:rsid wsp:val=&quot;0049122F&quot;/&gt;&lt;wsp:rsid wsp:val=&quot;00491740&quot;/&gt;&lt;wsp:rsid wsp:val=&quot;00491E99&quot;/&gt;&lt;wsp:rsid wsp:val=&quot;00492407&quot;/&gt;&lt;wsp:rsid wsp:val=&quot;00492798&quot;/&gt;&lt;wsp:rsid wsp:val=&quot;00492E27&quot;/&gt;&lt;wsp:rsid wsp:val=&quot;00493155&quot;/&gt;&lt;wsp:rsid wsp:val=&quot;0049390E&quot;/&gt;&lt;wsp:rsid wsp:val=&quot;0049450C&quot;/&gt;&lt;wsp:rsid wsp:val=&quot;00494C7D&quot;/&gt;&lt;wsp:rsid wsp:val=&quot;00494E07&quot;/&gt;&lt;wsp:rsid wsp:val=&quot;00495421&quot;/&gt;&lt;wsp:rsid wsp:val=&quot;00495BC2&quot;/&gt;&lt;wsp:rsid wsp:val=&quot;0049657A&quot;/&gt;&lt;wsp:rsid wsp:val=&quot;00496822&quot;/&gt;&lt;wsp:rsid wsp:val=&quot;00496D48&quot;/&gt;&lt;wsp:rsid wsp:val=&quot;00496F85&quot;/&gt;&lt;wsp:rsid wsp:val=&quot;00497CA3&quot;/&gt;&lt;wsp:rsid wsp:val=&quot;004A1277&quot;/&gt;&lt;wsp:rsid wsp:val=&quot;004A1A65&quot;/&gt;&lt;wsp:rsid wsp:val=&quot;004A1B09&quot;/&gt;&lt;wsp:rsid wsp:val=&quot;004A1E0A&quot;/&gt;&lt;wsp:rsid wsp:val=&quot;004A2041&quot;/&gt;&lt;wsp:rsid wsp:val=&quot;004A2A7F&quot;/&gt;&lt;wsp:rsid wsp:val=&quot;004A3F33&quot;/&gt;&lt;wsp:rsid wsp:val=&quot;004A452B&quot;/&gt;&lt;wsp:rsid wsp:val=&quot;004A49D3&quot;/&gt;&lt;wsp:rsid wsp:val=&quot;004A4D4E&quot;/&gt;&lt;wsp:rsid wsp:val=&quot;004A511E&quot;/&gt;&lt;wsp:rsid wsp:val=&quot;004A53C9&quot;/&gt;&lt;wsp:rsid wsp:val=&quot;004A5D61&quot;/&gt;&lt;wsp:rsid wsp:val=&quot;004A7BA1&quot;/&gt;&lt;wsp:rsid wsp:val=&quot;004A7D91&quot;/&gt;&lt;wsp:rsid wsp:val=&quot;004A7E95&quot;/&gt;&lt;wsp:rsid wsp:val=&quot;004B0030&quot;/&gt;&lt;wsp:rsid wsp:val=&quot;004B0097&quot;/&gt;&lt;wsp:rsid wsp:val=&quot;004B0FCE&quot;/&gt;&lt;wsp:rsid wsp:val=&quot;004B126B&quot;/&gt;&lt;wsp:rsid wsp:val=&quot;004B1D27&quot;/&gt;&lt;wsp:rsid wsp:val=&quot;004B262F&quot;/&gt;&lt;wsp:rsid wsp:val=&quot;004B26FC&quot;/&gt;&lt;wsp:rsid wsp:val=&quot;004B3800&quot;/&gt;&lt;wsp:rsid wsp:val=&quot;004B3949&quot;/&gt;&lt;wsp:rsid wsp:val=&quot;004B3CCF&quot;/&gt;&lt;wsp:rsid wsp:val=&quot;004B4E7C&quot;/&gt;&lt;wsp:rsid wsp:val=&quot;004B4E8A&quot;/&gt;&lt;wsp:rsid wsp:val=&quot;004B6019&quot;/&gt;&lt;wsp:rsid wsp:val=&quot;004B6246&quot;/&gt;&lt;wsp:rsid wsp:val=&quot;004B648E&quot;/&gt;&lt;wsp:rsid wsp:val=&quot;004B6524&quot;/&gt;&lt;wsp:rsid wsp:val=&quot;004B7545&quot;/&gt;&lt;wsp:rsid wsp:val=&quot;004C041C&quot;/&gt;&lt;wsp:rsid wsp:val=&quot;004C0684&quot;/&gt;&lt;wsp:rsid wsp:val=&quot;004C0D0B&quot;/&gt;&lt;wsp:rsid wsp:val=&quot;004C0DB2&quot;/&gt;&lt;wsp:rsid wsp:val=&quot;004C1233&quot;/&gt;&lt;wsp:rsid wsp:val=&quot;004C1A13&quot;/&gt;&lt;wsp:rsid wsp:val=&quot;004C210A&quot;/&gt;&lt;wsp:rsid wsp:val=&quot;004C2252&quot;/&gt;&lt;wsp:rsid wsp:val=&quot;004C2368&quot;/&gt;&lt;wsp:rsid wsp:val=&quot;004C3A5B&quot;/&gt;&lt;wsp:rsid wsp:val=&quot;004C5332&quot;/&gt;&lt;wsp:rsid wsp:val=&quot;004C5470&quot;/&gt;&lt;wsp:rsid wsp:val=&quot;004C5D10&quot;/&gt;&lt;wsp:rsid wsp:val=&quot;004C6201&quot;/&gt;&lt;wsp:rsid wsp:val=&quot;004C74A5&quot;/&gt;&lt;wsp:rsid wsp:val=&quot;004D1489&quot;/&gt;&lt;wsp:rsid wsp:val=&quot;004D14E8&quot;/&gt;&lt;wsp:rsid wsp:val=&quot;004D17F3&quot;/&gt;&lt;wsp:rsid wsp:val=&quot;004D1BB9&quot;/&gt;&lt;wsp:rsid wsp:val=&quot;004D2304&quot;/&gt;&lt;wsp:rsid wsp:val=&quot;004D261B&quot;/&gt;&lt;wsp:rsid wsp:val=&quot;004D2F16&quot;/&gt;&lt;wsp:rsid wsp:val=&quot;004D3409&quot;/&gt;&lt;wsp:rsid wsp:val=&quot;004D36C7&quot;/&gt;&lt;wsp:rsid wsp:val=&quot;004D4401&quot;/&gt;&lt;wsp:rsid wsp:val=&quot;004D552C&quot;/&gt;&lt;wsp:rsid wsp:val=&quot;004D65C7&quot;/&gt;&lt;wsp:rsid wsp:val=&quot;004D698E&quot;/&gt;&lt;wsp:rsid wsp:val=&quot;004D6E27&quot;/&gt;&lt;wsp:rsid wsp:val=&quot;004D6F90&quot;/&gt;&lt;wsp:rsid wsp:val=&quot;004E00A9&quot;/&gt;&lt;wsp:rsid wsp:val=&quot;004E0354&quot;/&gt;&lt;wsp:rsid wsp:val=&quot;004E0657&quot;/&gt;&lt;wsp:rsid wsp:val=&quot;004E0D95&quot;/&gt;&lt;wsp:rsid wsp:val=&quot;004E13BA&quot;/&gt;&lt;wsp:rsid wsp:val=&quot;004E2C59&quot;/&gt;&lt;wsp:rsid wsp:val=&quot;004E33CA&quot;/&gt;&lt;wsp:rsid wsp:val=&quot;004E367C&quot;/&gt;&lt;wsp:rsid wsp:val=&quot;004E3D22&quot;/&gt;&lt;wsp:rsid wsp:val=&quot;004E4847&quot;/&gt;&lt;wsp:rsid wsp:val=&quot;004E4D3E&quot;/&gt;&lt;wsp:rsid wsp:val=&quot;004E4D55&quot;/&gt;&lt;wsp:rsid wsp:val=&quot;004E5074&quot;/&gt;&lt;wsp:rsid wsp:val=&quot;004E54EF&quot;/&gt;&lt;wsp:rsid wsp:val=&quot;004E5527&quot;/&gt;&lt;wsp:rsid wsp:val=&quot;004E5618&quot;/&gt;&lt;wsp:rsid wsp:val=&quot;004E6227&quot;/&gt;&lt;wsp:rsid wsp:val=&quot;004E672F&quot;/&gt;&lt;wsp:rsid wsp:val=&quot;004F0F3B&quot;/&gt;&lt;wsp:rsid wsp:val=&quot;004F2355&quot;/&gt;&lt;wsp:rsid wsp:val=&quot;004F2864&quot;/&gt;&lt;wsp:rsid wsp:val=&quot;004F2A6B&quot;/&gt;&lt;wsp:rsid wsp:val=&quot;004F33E2&quot;/&gt;&lt;wsp:rsid wsp:val=&quot;004F3F2D&quot;/&gt;&lt;wsp:rsid wsp:val=&quot;004F41DB&quot;/&gt;&lt;wsp:rsid wsp:val=&quot;004F54EE&quot;/&gt;&lt;wsp:rsid wsp:val=&quot;004F5878&quot;/&gt;&lt;wsp:rsid wsp:val=&quot;004F66B1&quot;/&gt;&lt;wsp:rsid wsp:val=&quot;004F7674&quot;/&gt;&lt;wsp:rsid wsp:val=&quot;00500201&quot;/&gt;&lt;wsp:rsid wsp:val=&quot;00500474&quot;/&gt;&lt;wsp:rsid wsp:val=&quot;005012D6&quot;/&gt;&lt;wsp:rsid wsp:val=&quot;005012FD&quot;/&gt;&lt;wsp:rsid wsp:val=&quot;005025FF&quot;/&gt;&lt;wsp:rsid wsp:val=&quot;00503A25&quot;/&gt;&lt;wsp:rsid wsp:val=&quot;00503EF5&quot;/&gt;&lt;wsp:rsid wsp:val=&quot;0050470E&quot;/&gt;&lt;wsp:rsid wsp:val=&quot;00504EE5&quot;/&gt;&lt;wsp:rsid wsp:val=&quot;005062F0&quot;/&gt;&lt;wsp:rsid wsp:val=&quot;0050637E&quot;/&gt;&lt;wsp:rsid wsp:val=&quot;0050781F&quot;/&gt;&lt;wsp:rsid wsp:val=&quot;00507A7F&quot;/&gt;&lt;wsp:rsid wsp:val=&quot;00507CF6&quot;/&gt;&lt;wsp:rsid wsp:val=&quot;00510768&quot;/&gt;&lt;wsp:rsid wsp:val=&quot;005107AB&quot;/&gt;&lt;wsp:rsid wsp:val=&quot;00510B43&quot;/&gt;&lt;wsp:rsid wsp:val=&quot;00511502&quot;/&gt;&lt;wsp:rsid wsp:val=&quot;005115EA&quot;/&gt;&lt;wsp:rsid wsp:val=&quot;00511A0A&quot;/&gt;&lt;wsp:rsid wsp:val=&quot;0051289C&quot;/&gt;&lt;wsp:rsid wsp:val=&quot;00513092&quot;/&gt;&lt;wsp:rsid wsp:val=&quot;00513C82&quot;/&gt;&lt;wsp:rsid wsp:val=&quot;005150B6&quot;/&gt;&lt;wsp:rsid wsp:val=&quot;00515C56&quot;/&gt;&lt;wsp:rsid wsp:val=&quot;00516E3A&quot;/&gt;&lt;wsp:rsid wsp:val=&quot;0051738D&quot;/&gt;&lt;wsp:rsid wsp:val=&quot;00517761&quot;/&gt;&lt;wsp:rsid wsp:val=&quot;00520FED&quot;/&gt;&lt;wsp:rsid wsp:val=&quot;0052161D&quot;/&gt;&lt;wsp:rsid wsp:val=&quot;00521744&quot;/&gt;&lt;wsp:rsid wsp:val=&quot;00522B22&quot;/&gt;&lt;wsp:rsid wsp:val=&quot;0052443D&quot;/&gt;&lt;wsp:rsid wsp:val=&quot;00524501&quot;/&gt;&lt;wsp:rsid wsp:val=&quot;0052486F&quot;/&gt;&lt;wsp:rsid wsp:val=&quot;00524A4C&quot;/&gt;&lt;wsp:rsid wsp:val=&quot;00524B6E&quot;/&gt;&lt;wsp:rsid wsp:val=&quot;005250C7&quot;/&gt;&lt;wsp:rsid wsp:val=&quot;00525584&quot;/&gt;&lt;wsp:rsid wsp:val=&quot;0052575A&quot;/&gt;&lt;wsp:rsid wsp:val=&quot;005257FE&quot;/&gt;&lt;wsp:rsid wsp:val=&quot;00525FEC&quot;/&gt;&lt;wsp:rsid wsp:val=&quot;0052659F&quot;/&gt;&lt;wsp:rsid wsp:val=&quot;00526FA8&quot;/&gt;&lt;wsp:rsid wsp:val=&quot;00527C6F&quot;/&gt;&lt;wsp:rsid wsp:val=&quot;0053004E&quot;/&gt;&lt;wsp:rsid wsp:val=&quot;00530AE9&quot;/&gt;&lt;wsp:rsid wsp:val=&quot;00530D6D&quot;/&gt;&lt;wsp:rsid wsp:val=&quot;005314B5&quot;/&gt;&lt;wsp:rsid wsp:val=&quot;0053180F&quot;/&gt;&lt;wsp:rsid wsp:val=&quot;00531CF9&quot;/&gt;&lt;wsp:rsid wsp:val=&quot;00531F80&quot;/&gt;&lt;wsp:rsid wsp:val=&quot;0053322F&quot;/&gt;&lt;wsp:rsid wsp:val=&quot;00533DCD&quot;/&gt;&lt;wsp:rsid wsp:val=&quot;00536139&quot;/&gt;&lt;wsp:rsid wsp:val=&quot;00536F16&quot;/&gt;&lt;wsp:rsid wsp:val=&quot;00537487&quot;/&gt;&lt;wsp:rsid wsp:val=&quot;0053766E&quot;/&gt;&lt;wsp:rsid wsp:val=&quot;005379A8&quot;/&gt;&lt;wsp:rsid wsp:val=&quot;00537BE6&quot;/&gt;&lt;wsp:rsid wsp:val=&quot;005409E5&quot;/&gt;&lt;wsp:rsid wsp:val=&quot;005426FA&quot;/&gt;&lt;wsp:rsid wsp:val=&quot;00542F1A&quot;/&gt;&lt;wsp:rsid wsp:val=&quot;005433A9&quot;/&gt;&lt;wsp:rsid wsp:val=&quot;0054380C&quot;/&gt;&lt;wsp:rsid wsp:val=&quot;005441E8&quot;/&gt;&lt;wsp:rsid wsp:val=&quot;00544F03&quot;/&gt;&lt;wsp:rsid wsp:val=&quot;0054512A&quot;/&gt;&lt;wsp:rsid wsp:val=&quot;00546E7E&quot;/&gt;&lt;wsp:rsid wsp:val=&quot;00547705&quot;/&gt;&lt;wsp:rsid wsp:val=&quot;005479EA&quot;/&gt;&lt;wsp:rsid wsp:val=&quot;00547D62&quot;/&gt;&lt;wsp:rsid wsp:val=&quot;00547E44&quot;/&gt;&lt;wsp:rsid wsp:val=&quot;00547F98&quot;/&gt;&lt;wsp:rsid wsp:val=&quot;00550801&quot;/&gt;&lt;wsp:rsid wsp:val=&quot;00551A1A&quot;/&gt;&lt;wsp:rsid wsp:val=&quot;00552406&quot;/&gt;&lt;wsp:rsid wsp:val=&quot;00552C68&quot;/&gt;&lt;wsp:rsid wsp:val=&quot;00553677&quot;/&gt;&lt;wsp:rsid wsp:val=&quot;00553683&quot;/&gt;&lt;wsp:rsid wsp:val=&quot;0055412C&quot;/&gt;&lt;wsp:rsid wsp:val=&quot;00554A81&quot;/&gt;&lt;wsp:rsid wsp:val=&quot;0055555A&quot;/&gt;&lt;wsp:rsid wsp:val=&quot;0055566C&quot;/&gt;&lt;wsp:rsid wsp:val=&quot;00555819&quot;/&gt;&lt;wsp:rsid wsp:val=&quot;00555EFC&quot;/&gt;&lt;wsp:rsid wsp:val=&quot;00556178&quot;/&gt;&lt;wsp:rsid wsp:val=&quot;0055691D&quot;/&gt;&lt;wsp:rsid wsp:val=&quot;00556F0F&quot;/&gt;&lt;wsp:rsid wsp:val=&quot;00556F1D&quot;/&gt;&lt;wsp:rsid wsp:val=&quot;00556FB1&quot;/&gt;&lt;wsp:rsid wsp:val=&quot;00560275&quot;/&gt;&lt;wsp:rsid wsp:val=&quot;00560D77&quot;/&gt;&lt;wsp:rsid wsp:val=&quot;00561610&quot;/&gt;&lt;wsp:rsid wsp:val=&quot;005638E4&quot;/&gt;&lt;wsp:rsid wsp:val=&quot;00563AB6&quot;/&gt;&lt;wsp:rsid wsp:val=&quot;005640C8&quot;/&gt;&lt;wsp:rsid wsp:val=&quot;005643A1&quot;/&gt;&lt;wsp:rsid wsp:val=&quot;005646E3&quot;/&gt;&lt;wsp:rsid wsp:val=&quot;00564EF1&quot;/&gt;&lt;wsp:rsid wsp:val=&quot;0056546F&quot;/&gt;&lt;wsp:rsid wsp:val=&quot;00565665&quot;/&gt;&lt;wsp:rsid wsp:val=&quot;005657BA&quot;/&gt;&lt;wsp:rsid wsp:val=&quot;0056601F&quot;/&gt;&lt;wsp:rsid wsp:val=&quot;00566C5F&quot;/&gt;&lt;wsp:rsid wsp:val=&quot;00566C6A&quot;/&gt;&lt;wsp:rsid wsp:val=&quot;00567B7C&quot;/&gt;&lt;wsp:rsid wsp:val=&quot;00570DA4&quot;/&gt;&lt;wsp:rsid wsp:val=&quot;00570F9E&quot;/&gt;&lt;wsp:rsid wsp:val=&quot;00571026&quot;/&gt;&lt;wsp:rsid wsp:val=&quot;0057170B&quot;/&gt;&lt;wsp:rsid wsp:val=&quot;00571E88&quot;/&gt;&lt;wsp:rsid wsp:val=&quot;00572DA4&quot;/&gt;&lt;wsp:rsid wsp:val=&quot;00572DFC&quot;/&gt;&lt;wsp:rsid wsp:val=&quot;00573ACE&quot;/&gt;&lt;wsp:rsid wsp:val=&quot;00573B21&quot;/&gt;&lt;wsp:rsid wsp:val=&quot;00574EFB&quot;/&gt;&lt;wsp:rsid wsp:val=&quot;00574F5C&quot;/&gt;&lt;wsp:rsid wsp:val=&quot;00575598&quot;/&gt;&lt;wsp:rsid wsp:val=&quot;005760D2&quot;/&gt;&lt;wsp:rsid wsp:val=&quot;00576BD6&quot;/&gt;&lt;wsp:rsid wsp:val=&quot;0057759B&quot;/&gt;&lt;wsp:rsid wsp:val=&quot;00577B9F&quot;/&gt;&lt;wsp:rsid wsp:val=&quot;00577F20&quot;/&gt;&lt;wsp:rsid wsp:val=&quot;0058098A&quot;/&gt;&lt;wsp:rsid wsp:val=&quot;00580CE9&quot;/&gt;&lt;wsp:rsid wsp:val=&quot;00581B26&quot;/&gt;&lt;wsp:rsid wsp:val=&quot;005829FC&quot;/&gt;&lt;wsp:rsid wsp:val=&quot;00582DA4&quot;/&gt;&lt;wsp:rsid wsp:val=&quot;005836B9&quot;/&gt;&lt;wsp:rsid wsp:val=&quot;005836C9&quot;/&gt;&lt;wsp:rsid wsp:val=&quot;005838EA&quot;/&gt;&lt;wsp:rsid wsp:val=&quot;00584410&quot;/&gt;&lt;wsp:rsid wsp:val=&quot;00584B09&quot;/&gt;&lt;wsp:rsid wsp:val=&quot;00584BF9&quot;/&gt;&lt;wsp:rsid wsp:val=&quot;00584E1B&quot;/&gt;&lt;wsp:rsid wsp:val=&quot;005851D8&quot;/&gt;&lt;wsp:rsid wsp:val=&quot;0058579F&quot;/&gt;&lt;wsp:rsid wsp:val=&quot;00585991&quot;/&gt;&lt;wsp:rsid wsp:val=&quot;00586B61&quot;/&gt;&lt;wsp:rsid wsp:val=&quot;00587DCF&quot;/&gt;&lt;wsp:rsid wsp:val=&quot;00590786&quot;/&gt;&lt;wsp:rsid wsp:val=&quot;00590E20&quot;/&gt;&lt;wsp:rsid wsp:val=&quot;00591C53&quot;/&gt;&lt;wsp:rsid wsp:val=&quot;00592A1F&quot;/&gt;&lt;wsp:rsid wsp:val=&quot;00593984&quot;/&gt;&lt;wsp:rsid wsp:val=&quot;00594570&quot;/&gt;&lt;wsp:rsid wsp:val=&quot;00594ACC&quot;/&gt;&lt;wsp:rsid wsp:val=&quot;0059574F&quot;/&gt;&lt;wsp:rsid wsp:val=&quot;00595B14&quot;/&gt;&lt;wsp:rsid wsp:val=&quot;00595FCD&quot;/&gt;&lt;wsp:rsid wsp:val=&quot;00596620&quot;/&gt;&lt;wsp:rsid wsp:val=&quot;0059731A&quot;/&gt;&lt;wsp:rsid wsp:val=&quot;00597E39&quot;/&gt;&lt;wsp:rsid wsp:val=&quot;005A027A&quot;/&gt;&lt;wsp:rsid wsp:val=&quot;005A1367&quot;/&gt;&lt;wsp:rsid wsp:val=&quot;005A179C&quot;/&gt;&lt;wsp:rsid wsp:val=&quot;005A1EE9&quot;/&gt;&lt;wsp:rsid wsp:val=&quot;005A273D&quot;/&gt;&lt;wsp:rsid wsp:val=&quot;005A2BCC&quot;/&gt;&lt;wsp:rsid wsp:val=&quot;005A391F&quot;/&gt;&lt;wsp:rsid wsp:val=&quot;005A3C9A&quot;/&gt;&lt;wsp:rsid wsp:val=&quot;005A41C6&quot;/&gt;&lt;wsp:rsid wsp:val=&quot;005A49CE&quot;/&gt;&lt;wsp:rsid wsp:val=&quot;005A4C83&quot;/&gt;&lt;wsp:rsid wsp:val=&quot;005A5066&quot;/&gt;&lt;wsp:rsid wsp:val=&quot;005A571D&quot;/&gt;&lt;wsp:rsid wsp:val=&quot;005A6506&quot;/&gt;&lt;wsp:rsid wsp:val=&quot;005A6723&quot;/&gt;&lt;wsp:rsid wsp:val=&quot;005A69D5&quot;/&gt;&lt;wsp:rsid wsp:val=&quot;005B04E1&quot;/&gt;&lt;wsp:rsid wsp:val=&quot;005B0B3C&quot;/&gt;&lt;wsp:rsid wsp:val=&quot;005B131F&quot;/&gt;&lt;wsp:rsid wsp:val=&quot;005B13C6&quot;/&gt;&lt;wsp:rsid wsp:val=&quot;005B141E&quot;/&gt;&lt;wsp:rsid wsp:val=&quot;005B1E01&quot;/&gt;&lt;wsp:rsid wsp:val=&quot;005B27B6&quot;/&gt;&lt;wsp:rsid wsp:val=&quot;005B2BD4&quot;/&gt;&lt;wsp:rsid wsp:val=&quot;005B325A&quot;/&gt;&lt;wsp:rsid wsp:val=&quot;005B357F&quot;/&gt;&lt;wsp:rsid wsp:val=&quot;005B36C0&quot;/&gt;&lt;wsp:rsid wsp:val=&quot;005B3E8D&quot;/&gt;&lt;wsp:rsid wsp:val=&quot;005B412D&quot;/&gt;&lt;wsp:rsid wsp:val=&quot;005B4383&quot;/&gt;&lt;wsp:rsid wsp:val=&quot;005B45BC&quot;/&gt;&lt;wsp:rsid wsp:val=&quot;005B4727&quot;/&gt;&lt;wsp:rsid wsp:val=&quot;005B48E9&quot;/&gt;&lt;wsp:rsid wsp:val=&quot;005B5872&quot;/&gt;&lt;wsp:rsid wsp:val=&quot;005B5C99&quot;/&gt;&lt;wsp:rsid wsp:val=&quot;005B63CD&quot;/&gt;&lt;wsp:rsid wsp:val=&quot;005B698C&quot;/&gt;&lt;wsp:rsid wsp:val=&quot;005B6E5E&quot;/&gt;&lt;wsp:rsid wsp:val=&quot;005C0192&quot;/&gt;&lt;wsp:rsid wsp:val=&quot;005C0252&quot;/&gt;&lt;wsp:rsid wsp:val=&quot;005C072A&quot;/&gt;&lt;wsp:rsid wsp:val=&quot;005C0B54&quot;/&gt;&lt;wsp:rsid wsp:val=&quot;005C3013&quot;/&gt;&lt;wsp:rsid wsp:val=&quot;005C3535&quot;/&gt;&lt;wsp:rsid wsp:val=&quot;005C4F62&quot;/&gt;&lt;wsp:rsid wsp:val=&quot;005C4FCC&quot;/&gt;&lt;wsp:rsid wsp:val=&quot;005C5196&quot;/&gt;&lt;wsp:rsid wsp:val=&quot;005C5D23&quot;/&gt;&lt;wsp:rsid wsp:val=&quot;005C6C36&quot;/&gt;&lt;wsp:rsid wsp:val=&quot;005C7055&quot;/&gt;&lt;wsp:rsid wsp:val=&quot;005D0E42&quot;/&gt;&lt;wsp:rsid wsp:val=&quot;005D1333&quot;/&gt;&lt;wsp:rsid wsp:val=&quot;005D15CA&quot;/&gt;&lt;wsp:rsid wsp:val=&quot;005D2C3F&quot;/&gt;&lt;wsp:rsid wsp:val=&quot;005D2E3D&quot;/&gt;&lt;wsp:rsid wsp:val=&quot;005D3494&quot;/&gt;&lt;wsp:rsid wsp:val=&quot;005D384B&quot;/&gt;&lt;wsp:rsid wsp:val=&quot;005D3ED1&quot;/&gt;&lt;wsp:rsid wsp:val=&quot;005D40FF&quot;/&gt;&lt;wsp:rsid wsp:val=&quot;005D47D0&quot;/&gt;&lt;wsp:rsid wsp:val=&quot;005D5074&quot;/&gt;&lt;wsp:rsid wsp:val=&quot;005D5507&quot;/&gt;&lt;wsp:rsid wsp:val=&quot;005D5F84&quot;/&gt;&lt;wsp:rsid wsp:val=&quot;005D6102&quot;/&gt;&lt;wsp:rsid wsp:val=&quot;005D6D76&quot;/&gt;&lt;wsp:rsid wsp:val=&quot;005D7074&quot;/&gt;&lt;wsp:rsid wsp:val=&quot;005D723F&quot;/&gt;&lt;wsp:rsid wsp:val=&quot;005D760B&quot;/&gt;&lt;wsp:rsid wsp:val=&quot;005D77A2&quot;/&gt;&lt;wsp:rsid wsp:val=&quot;005D7CF8&quot;/&gt;&lt;wsp:rsid wsp:val=&quot;005E0108&quot;/&gt;&lt;wsp:rsid wsp:val=&quot;005E05B0&quot;/&gt;&lt;wsp:rsid wsp:val=&quot;005E08BA&quot;/&gt;&lt;wsp:rsid wsp:val=&quot;005E13A4&quot;/&gt;&lt;wsp:rsid wsp:val=&quot;005E15A8&quot;/&gt;&lt;wsp:rsid wsp:val=&quot;005E16A8&quot;/&gt;&lt;wsp:rsid wsp:val=&quot;005E18A9&quot;/&gt;&lt;wsp:rsid wsp:val=&quot;005E1C97&quot;/&gt;&lt;wsp:rsid wsp:val=&quot;005E27B3&quot;/&gt;&lt;wsp:rsid wsp:val=&quot;005E27EB&quot;/&gt;&lt;wsp:rsid wsp:val=&quot;005E2EBE&quot;/&gt;&lt;wsp:rsid wsp:val=&quot;005E2F19&quot;/&gt;&lt;wsp:rsid wsp:val=&quot;005E3A1C&quot;/&gt;&lt;wsp:rsid wsp:val=&quot;005E5675&quot;/&gt;&lt;wsp:rsid wsp:val=&quot;005E584B&quot;/&gt;&lt;wsp:rsid wsp:val=&quot;005E5A3F&quot;/&gt;&lt;wsp:rsid wsp:val=&quot;005E6B62&quot;/&gt;&lt;wsp:rsid wsp:val=&quot;005E6EA7&quot;/&gt;&lt;wsp:rsid wsp:val=&quot;005E72A7&quot;/&gt;&lt;wsp:rsid wsp:val=&quot;005E7E8C&quot;/&gt;&lt;wsp:rsid wsp:val=&quot;005F0016&quot;/&gt;&lt;wsp:rsid wsp:val=&quot;005F02BA&quot;/&gt;&lt;wsp:rsid wsp:val=&quot;005F0C2C&quot;/&gt;&lt;wsp:rsid wsp:val=&quot;005F1118&quot;/&gt;&lt;wsp:rsid wsp:val=&quot;005F1AAF&quot;/&gt;&lt;wsp:rsid wsp:val=&quot;005F236B&quot;/&gt;&lt;wsp:rsid wsp:val=&quot;005F2619&quot;/&gt;&lt;wsp:rsid wsp:val=&quot;005F2E2B&quot;/&gt;&lt;wsp:rsid wsp:val=&quot;005F304E&quot;/&gt;&lt;wsp:rsid wsp:val=&quot;005F3FE2&quot;/&gt;&lt;wsp:rsid wsp:val=&quot;005F422C&quot;/&gt;&lt;wsp:rsid wsp:val=&quot;005F4361&quot;/&gt;&lt;wsp:rsid wsp:val=&quot;005F49D4&quot;/&gt;&lt;wsp:rsid wsp:val=&quot;005F4E0F&quot;/&gt;&lt;wsp:rsid wsp:val=&quot;006000EC&quot;/&gt;&lt;wsp:rsid wsp:val=&quot;00600953&quot;/&gt;&lt;wsp:rsid wsp:val=&quot;0060152A&quot;/&gt;&lt;wsp:rsid wsp:val=&quot;00601F2E&quot;/&gt;&lt;wsp:rsid wsp:val=&quot;0060244B&quot;/&gt;&lt;wsp:rsid wsp:val=&quot;00603DB4&quot;/&gt;&lt;wsp:rsid wsp:val=&quot;00604166&quot;/&gt;&lt;wsp:rsid wsp:val=&quot;006049C2&quot;/&gt;&lt;wsp:rsid wsp:val=&quot;0060521F&quot;/&gt;&lt;wsp:rsid wsp:val=&quot;00606BE1&quot;/&gt;&lt;wsp:rsid wsp:val=&quot;00606D79&quot;/&gt;&lt;wsp:rsid wsp:val=&quot;006071CF&quot;/&gt;&lt;wsp:rsid wsp:val=&quot;00607264&quot;/&gt;&lt;wsp:rsid wsp:val=&quot;00607BBD&quot;/&gt;&lt;wsp:rsid wsp:val=&quot;006101B6&quot;/&gt;&lt;wsp:rsid wsp:val=&quot;006103A4&quot;/&gt;&lt;wsp:rsid wsp:val=&quot;00611650&quot;/&gt;&lt;wsp:rsid wsp:val=&quot;00611E1B&quot;/&gt;&lt;wsp:rsid wsp:val=&quot;006123B7&quot;/&gt;&lt;wsp:rsid wsp:val=&quot;006126C6&quot;/&gt;&lt;wsp:rsid wsp:val=&quot;00615B7E&quot;/&gt;&lt;wsp:rsid wsp:val=&quot;00615D11&quot;/&gt;&lt;wsp:rsid wsp:val=&quot;0061606D&quot;/&gt;&lt;wsp:rsid wsp:val=&quot;00617560&quot;/&gt;&lt;wsp:rsid wsp:val=&quot;00617955&quot;/&gt;&lt;wsp:rsid wsp:val=&quot;00617BA2&quot;/&gt;&lt;wsp:rsid wsp:val=&quot;006205E6&quot;/&gt;&lt;wsp:rsid wsp:val=&quot;00620D6B&quot;/&gt;&lt;wsp:rsid wsp:val=&quot;006210C6&quot;/&gt;&lt;wsp:rsid wsp:val=&quot;0062242F&quot;/&gt;&lt;wsp:rsid wsp:val=&quot;00623769&quot;/&gt;&lt;wsp:rsid wsp:val=&quot;00624004&quot;/&gt;&lt;wsp:rsid wsp:val=&quot;00625365&quot;/&gt;&lt;wsp:rsid wsp:val=&quot;006256AE&quot;/&gt;&lt;wsp:rsid wsp:val=&quot;00625AB8&quot;/&gt;&lt;wsp:rsid wsp:val=&quot;00625BFC&quot;/&gt;&lt;wsp:rsid wsp:val=&quot;00625DB5&quot;/&gt;&lt;wsp:rsid wsp:val=&quot;006262B4&quot;/&gt;&lt;wsp:rsid wsp:val=&quot;0062652E&quot;/&gt;&lt;wsp:rsid wsp:val=&quot;006270FC&quot;/&gt;&lt;wsp:rsid wsp:val=&quot;006273BE&quot;/&gt;&lt;wsp:rsid wsp:val=&quot;006300D6&quot;/&gt;&lt;wsp:rsid wsp:val=&quot;006322D7&quot;/&gt;&lt;wsp:rsid wsp:val=&quot;00633F72&quot;/&gt;&lt;wsp:rsid wsp:val=&quot;0063400D&quot;/&gt;&lt;wsp:rsid wsp:val=&quot;00634113&quot;/&gt;&lt;wsp:rsid wsp:val=&quot;00634287&quot;/&gt;&lt;wsp:rsid wsp:val=&quot;00634C38&quot;/&gt;&lt;wsp:rsid wsp:val=&quot;00635776&quot;/&gt;&lt;wsp:rsid wsp:val=&quot;00641027&quot;/&gt;&lt;wsp:rsid wsp:val=&quot;006411C1&quot;/&gt;&lt;wsp:rsid wsp:val=&quot;006420B4&quot;/&gt;&lt;wsp:rsid wsp:val=&quot;006429A4&quot;/&gt;&lt;wsp:rsid wsp:val=&quot;006430C4&quot;/&gt;&lt;wsp:rsid wsp:val=&quot;006431FB&quot;/&gt;&lt;wsp:rsid wsp:val=&quot;006434BC&quot;/&gt;&lt;wsp:rsid wsp:val=&quot;00643833&quot;/&gt;&lt;wsp:rsid wsp:val=&quot;006445F4&quot;/&gt;&lt;wsp:rsid wsp:val=&quot;006446FA&quot;/&gt;&lt;wsp:rsid wsp:val=&quot;0064623E&quot;/&gt;&lt;wsp:rsid wsp:val=&quot;00646B79&quot;/&gt;&lt;wsp:rsid wsp:val=&quot;00647551&quot;/&gt;&lt;wsp:rsid wsp:val=&quot;00647EA6&quot;/&gt;&lt;wsp:rsid wsp:val=&quot;00647EA9&quot;/&gt;&lt;wsp:rsid wsp:val=&quot;0065017A&quot;/&gt;&lt;wsp:rsid wsp:val=&quot;00650B26&quot;/&gt;&lt;wsp:rsid wsp:val=&quot;00650EDC&quot;/&gt;&lt;wsp:rsid wsp:val=&quot;006512F0&quot;/&gt;&lt;wsp:rsid wsp:val=&quot;006515EA&quot;/&gt;&lt;wsp:rsid wsp:val=&quot;006516B0&quot;/&gt;&lt;wsp:rsid wsp:val=&quot;0065268B&quot;/&gt;&lt;wsp:rsid wsp:val=&quot;00652A9B&quot;/&gt;&lt;wsp:rsid wsp:val=&quot;00654993&quot;/&gt;&lt;wsp:rsid wsp:val=&quot;00654E02&quot;/&gt;&lt;wsp:rsid wsp:val=&quot;0065539E&quot;/&gt;&lt;wsp:rsid wsp:val=&quot;00655D69&quot;/&gt;&lt;wsp:rsid wsp:val=&quot;00656ACA&quot;/&gt;&lt;wsp:rsid wsp:val=&quot;00656D95&quot;/&gt;&lt;wsp:rsid wsp:val=&quot;00657A0C&quot;/&gt;&lt;wsp:rsid wsp:val=&quot;00660062&quot;/&gt;&lt;wsp:rsid wsp:val=&quot;006611DC&quot;/&gt;&lt;wsp:rsid wsp:val=&quot;00661C61&quot;/&gt;&lt;wsp:rsid wsp:val=&quot;00666492&quot;/&gt;&lt;wsp:rsid wsp:val=&quot;00666538&quot;/&gt;&lt;wsp:rsid wsp:val=&quot;006679F3&quot;/&gt;&lt;wsp:rsid wsp:val=&quot;00667B6E&quot;/&gt;&lt;wsp:rsid wsp:val=&quot;00667C1B&quot;/&gt;&lt;wsp:rsid wsp:val=&quot;006701E7&quot;/&gt;&lt;wsp:rsid wsp:val=&quot;00670244&quot;/&gt;&lt;wsp:rsid wsp:val=&quot;006708A8&quot;/&gt;&lt;wsp:rsid wsp:val=&quot;00671311&quot;/&gt;&lt;wsp:rsid wsp:val=&quot;00672258&quot;/&gt;&lt;wsp:rsid wsp:val=&quot;00672430&quot;/&gt;&lt;wsp:rsid wsp:val=&quot;0067282A&quot;/&gt;&lt;wsp:rsid wsp:val=&quot;00672B87&quot;/&gt;&lt;wsp:rsid wsp:val=&quot;00672C5D&quot;/&gt;&lt;wsp:rsid wsp:val=&quot;00672F6D&quot;/&gt;&lt;wsp:rsid wsp:val=&quot;00673672&quot;/&gt;&lt;wsp:rsid wsp:val=&quot;00673945&quot;/&gt;&lt;wsp:rsid wsp:val=&quot;00673AD4&quot;/&gt;&lt;wsp:rsid wsp:val=&quot;00673BAD&quot;/&gt;&lt;wsp:rsid wsp:val=&quot;006744F3&quot;/&gt;&lt;wsp:rsid wsp:val=&quot;00674835&quot;/&gt;&lt;wsp:rsid wsp:val=&quot;00675084&quot;/&gt;&lt;wsp:rsid wsp:val=&quot;00676ECF&quot;/&gt;&lt;wsp:rsid wsp:val=&quot;00677694&quot;/&gt;&lt;wsp:rsid wsp:val=&quot;0067786B&quot;/&gt;&lt;wsp:rsid wsp:val=&quot;00677B40&quot;/&gt;&lt;wsp:rsid wsp:val=&quot;00680000&quot;/&gt;&lt;wsp:rsid wsp:val=&quot;0068009A&quot;/&gt;&lt;wsp:rsid wsp:val=&quot;0068098B&quot;/&gt;&lt;wsp:rsid wsp:val=&quot;0068211F&quot;/&gt;&lt;wsp:rsid wsp:val=&quot;006824C3&quot;/&gt;&lt;wsp:rsid wsp:val=&quot;00682820&quot;/&gt;&lt;wsp:rsid wsp:val=&quot;0068330B&quot;/&gt;&lt;wsp:rsid wsp:val=&quot;006835C3&quot;/&gt;&lt;wsp:rsid wsp:val=&quot;006840CB&quot;/&gt;&lt;wsp:rsid wsp:val=&quot;0068439C&quot;/&gt;&lt;wsp:rsid wsp:val=&quot;00684CAB&quot;/&gt;&lt;wsp:rsid wsp:val=&quot;00684F70&quot;/&gt;&lt;wsp:rsid wsp:val=&quot;00685876&quot;/&gt;&lt;wsp:rsid wsp:val=&quot;00685BF8&quot;/&gt;&lt;wsp:rsid wsp:val=&quot;00686B06&quot;/&gt;&lt;wsp:rsid wsp:val=&quot;00687643&quot;/&gt;&lt;wsp:rsid wsp:val=&quot;006904DC&quot;/&gt;&lt;wsp:rsid wsp:val=&quot;00690669&quot;/&gt;&lt;wsp:rsid wsp:val=&quot;00690EF1&quot;/&gt;&lt;wsp:rsid wsp:val=&quot;0069111B&quot;/&gt;&lt;wsp:rsid wsp:val=&quot;00691851&quot;/&gt;&lt;wsp:rsid wsp:val=&quot;00691F3C&quot;/&gt;&lt;wsp:rsid wsp:val=&quot;006922CA&quot;/&gt;&lt;wsp:rsid wsp:val=&quot;00692674&quot;/&gt;&lt;wsp:rsid wsp:val=&quot;00692D79&quot;/&gt;&lt;wsp:rsid wsp:val=&quot;00693143&quot;/&gt;&lt;wsp:rsid wsp:val=&quot;006935EE&quot;/&gt;&lt;wsp:rsid wsp:val=&quot;00693D3B&quot;/&gt;&lt;wsp:rsid wsp:val=&quot;0069507B&quot;/&gt;&lt;wsp:rsid wsp:val=&quot;006966F4&quot;/&gt;&lt;wsp:rsid wsp:val=&quot;00696D0C&quot;/&gt;&lt;wsp:rsid wsp:val=&quot;00696F79&quot;/&gt;&lt;wsp:rsid wsp:val=&quot;0069784A&quot;/&gt;&lt;wsp:rsid wsp:val=&quot;00697C02&quot;/&gt;&lt;wsp:rsid wsp:val=&quot;006A0889&quot;/&gt;&lt;wsp:rsid wsp:val=&quot;006A0F55&quot;/&gt;&lt;wsp:rsid wsp:val=&quot;006A2770&quot;/&gt;&lt;wsp:rsid wsp:val=&quot;006A27FD&quot;/&gt;&lt;wsp:rsid wsp:val=&quot;006A2829&quot;/&gt;&lt;wsp:rsid wsp:val=&quot;006A3029&quot;/&gt;&lt;wsp:rsid wsp:val=&quot;006A3940&quot;/&gt;&lt;wsp:rsid wsp:val=&quot;006A39F7&quot;/&gt;&lt;wsp:rsid wsp:val=&quot;006A4417&quot;/&gt;&lt;wsp:rsid wsp:val=&quot;006A530B&quot;/&gt;&lt;wsp:rsid wsp:val=&quot;006A536A&quot;/&gt;&lt;wsp:rsid wsp:val=&quot;006A5742&quot;/&gt;&lt;wsp:rsid wsp:val=&quot;006A5A9A&quot;/&gt;&lt;wsp:rsid wsp:val=&quot;006A5AEC&quot;/&gt;&lt;wsp:rsid wsp:val=&quot;006A6D23&quot;/&gt;&lt;wsp:rsid wsp:val=&quot;006A77EB&quot;/&gt;&lt;wsp:rsid wsp:val=&quot;006A77ED&quot;/&gt;&lt;wsp:rsid wsp:val=&quot;006A7905&quot;/&gt;&lt;wsp:rsid wsp:val=&quot;006A7979&quot;/&gt;&lt;wsp:rsid wsp:val=&quot;006A7A57&quot;/&gt;&lt;wsp:rsid wsp:val=&quot;006B0666&quot;/&gt;&lt;wsp:rsid wsp:val=&quot;006B11AF&quot;/&gt;&lt;wsp:rsid wsp:val=&quot;006B17DD&quot;/&gt;&lt;wsp:rsid wsp:val=&quot;006B1813&quot;/&gt;&lt;wsp:rsid wsp:val=&quot;006B20E8&quot;/&gt;&lt;wsp:rsid wsp:val=&quot;006B4735&quot;/&gt;&lt;wsp:rsid wsp:val=&quot;006B53B0&quot;/&gt;&lt;wsp:rsid wsp:val=&quot;006B58A7&quot;/&gt;&lt;wsp:rsid wsp:val=&quot;006B5BBC&quot;/&gt;&lt;wsp:rsid wsp:val=&quot;006B6788&quot;/&gt;&lt;wsp:rsid wsp:val=&quot;006B7912&quot;/&gt;&lt;wsp:rsid wsp:val=&quot;006C05D1&quot;/&gt;&lt;wsp:rsid wsp:val=&quot;006C08DA&quot;/&gt;&lt;wsp:rsid wsp:val=&quot;006C1540&quot;/&gt;&lt;wsp:rsid wsp:val=&quot;006C2424&quot;/&gt;&lt;wsp:rsid wsp:val=&quot;006C24FE&quot;/&gt;&lt;wsp:rsid wsp:val=&quot;006C2F69&quot;/&gt;&lt;wsp:rsid wsp:val=&quot;006C3D13&quot;/&gt;&lt;wsp:rsid wsp:val=&quot;006C40AC&quot;/&gt;&lt;wsp:rsid wsp:val=&quot;006C4421&quot;/&gt;&lt;wsp:rsid wsp:val=&quot;006C4991&quot;/&gt;&lt;wsp:rsid wsp:val=&quot;006C4AD1&quot;/&gt;&lt;wsp:rsid wsp:val=&quot;006C4E96&quot;/&gt;&lt;wsp:rsid wsp:val=&quot;006C5217&quot;/&gt;&lt;wsp:rsid wsp:val=&quot;006C5696&quot;/&gt;&lt;wsp:rsid wsp:val=&quot;006C5D2E&quot;/&gt;&lt;wsp:rsid wsp:val=&quot;006C5E07&quot;/&gt;&lt;wsp:rsid wsp:val=&quot;006C6955&quot;/&gt;&lt;wsp:rsid wsp:val=&quot;006C6D68&quot;/&gt;&lt;wsp:rsid wsp:val=&quot;006C710E&quot;/&gt;&lt;wsp:rsid wsp:val=&quot;006D0207&quot;/&gt;&lt;wsp:rsid wsp:val=&quot;006D0F06&quot;/&gt;&lt;wsp:rsid wsp:val=&quot;006D13BE&quot;/&gt;&lt;wsp:rsid wsp:val=&quot;006D1580&quot;/&gt;&lt;wsp:rsid wsp:val=&quot;006D19C2&quot;/&gt;&lt;wsp:rsid wsp:val=&quot;006D1E0F&quot;/&gt;&lt;wsp:rsid wsp:val=&quot;006D362B&quot;/&gt;&lt;wsp:rsid wsp:val=&quot;006D3BB2&quot;/&gt;&lt;wsp:rsid wsp:val=&quot;006D682C&quot;/&gt;&lt;wsp:rsid wsp:val=&quot;006D702C&quot;/&gt;&lt;wsp:rsid wsp:val=&quot;006D7836&quot;/&gt;&lt;wsp:rsid wsp:val=&quot;006E02FD&quot;/&gt;&lt;wsp:rsid wsp:val=&quot;006E0B19&quot;/&gt;&lt;wsp:rsid wsp:val=&quot;006E1213&quot;/&gt;&lt;wsp:rsid wsp:val=&quot;006E12B6&quot;/&gt;&lt;wsp:rsid wsp:val=&quot;006E21A7&quot;/&gt;&lt;wsp:rsid wsp:val=&quot;006E2828&quot;/&gt;&lt;wsp:rsid wsp:val=&quot;006E2955&quot;/&gt;&lt;wsp:rsid wsp:val=&quot;006E2EA9&quot;/&gt;&lt;wsp:rsid wsp:val=&quot;006E362C&quot;/&gt;&lt;wsp:rsid wsp:val=&quot;006E40C9&quot;/&gt;&lt;wsp:rsid wsp:val=&quot;006E46E9&quot;/&gt;&lt;wsp:rsid wsp:val=&quot;006E506F&quot;/&gt;&lt;wsp:rsid wsp:val=&quot;006E5342&quot;/&gt;&lt;wsp:rsid wsp:val=&quot;006E5BA3&quot;/&gt;&lt;wsp:rsid wsp:val=&quot;006E648D&quot;/&gt;&lt;wsp:rsid wsp:val=&quot;006E791A&quot;/&gt;&lt;wsp:rsid wsp:val=&quot;006F0012&quot;/&gt;&lt;wsp:rsid wsp:val=&quot;006F1919&quot;/&gt;&lt;wsp:rsid wsp:val=&quot;006F1C79&quot;/&gt;&lt;wsp:rsid wsp:val=&quot;006F2BAB&quot;/&gt;&lt;wsp:rsid wsp:val=&quot;006F2BC5&quot;/&gt;&lt;wsp:rsid wsp:val=&quot;006F2E14&quot;/&gt;&lt;wsp:rsid wsp:val=&quot;006F3CEB&quot;/&gt;&lt;wsp:rsid wsp:val=&quot;006F4EF5&quot;/&gt;&lt;wsp:rsid wsp:val=&quot;006F600C&quot;/&gt;&lt;wsp:rsid wsp:val=&quot;006F7997&quot;/&gt;&lt;wsp:rsid wsp:val=&quot;0070043A&quot;/&gt;&lt;wsp:rsid wsp:val=&quot;007010AA&quot;/&gt;&lt;wsp:rsid wsp:val=&quot;0070202D&quot;/&gt;&lt;wsp:rsid wsp:val=&quot;00703622&quot;/&gt;&lt;wsp:rsid wsp:val=&quot;007042E1&quot;/&gt;&lt;wsp:rsid wsp:val=&quot;0070489F&quot;/&gt;&lt;wsp:rsid wsp:val=&quot;00704AB1&quot;/&gt;&lt;wsp:rsid wsp:val=&quot;00706905&quot;/&gt;&lt;wsp:rsid wsp:val=&quot;0070763A&quot;/&gt;&lt;wsp:rsid wsp:val=&quot;00707924&quot;/&gt;&lt;wsp:rsid wsp:val=&quot;00710B55&quot;/&gt;&lt;wsp:rsid wsp:val=&quot;00710B82&quot;/&gt;&lt;wsp:rsid wsp:val=&quot;00711134&quot;/&gt;&lt;wsp:rsid wsp:val=&quot;007115F6&quot;/&gt;&lt;wsp:rsid wsp:val=&quot;0071196D&quot;/&gt;&lt;wsp:rsid wsp:val=&quot;0071260B&quot;/&gt;&lt;wsp:rsid wsp:val=&quot;00712885&quot;/&gt;&lt;wsp:rsid wsp:val=&quot;00714340&quot;/&gt;&lt;wsp:rsid wsp:val=&quot;00715015&quot;/&gt;&lt;wsp:rsid wsp:val=&quot;00715123&quot;/&gt;&lt;wsp:rsid wsp:val=&quot;00716F10&quot;/&gt;&lt;wsp:rsid wsp:val=&quot;00717245&quot;/&gt;&lt;wsp:rsid wsp:val=&quot;007176F4&quot;/&gt;&lt;wsp:rsid wsp:val=&quot;0071794F&quot;/&gt;&lt;wsp:rsid wsp:val=&quot;00717D55&quot;/&gt;&lt;wsp:rsid wsp:val=&quot;00721719&quot;/&gt;&lt;wsp:rsid wsp:val=&quot;00721871&quot;/&gt;&lt;wsp:rsid wsp:val=&quot;00721961&quot;/&gt;&lt;wsp:rsid wsp:val=&quot;00721C7F&quot;/&gt;&lt;wsp:rsid wsp:val=&quot;00722AD1&quot;/&gt;&lt;wsp:rsid wsp:val=&quot;00722E41&quot;/&gt;&lt;wsp:rsid wsp:val=&quot;007237D2&quot;/&gt;&lt;wsp:rsid wsp:val=&quot;00724700&quot;/&gt;&lt;wsp:rsid wsp:val=&quot;00724C03&quot;/&gt;&lt;wsp:rsid wsp:val=&quot;00725E5B&quot;/&gt;&lt;wsp:rsid wsp:val=&quot;00726100&quot;/&gt;&lt;wsp:rsid wsp:val=&quot;007272AA&quot;/&gt;&lt;wsp:rsid wsp:val=&quot;007273A0&quot;/&gt;&lt;wsp:rsid wsp:val=&quot;00727538&quot;/&gt;&lt;wsp:rsid wsp:val=&quot;00727E9E&quot;/&gt;&lt;wsp:rsid wsp:val=&quot;00732437&quot;/&gt;&lt;wsp:rsid wsp:val=&quot;0073245A&quot;/&gt;&lt;wsp:rsid wsp:val=&quot;007324EF&quot;/&gt;&lt;wsp:rsid wsp:val=&quot;007333B0&quot;/&gt;&lt;wsp:rsid wsp:val=&quot;007333D6&quot;/&gt;&lt;wsp:rsid wsp:val=&quot;00733B1A&quot;/&gt;&lt;wsp:rsid wsp:val=&quot;0073417A&quot;/&gt;&lt;wsp:rsid wsp:val=&quot;0073440C&quot;/&gt;&lt;wsp:rsid wsp:val=&quot;00734DEF&quot;/&gt;&lt;wsp:rsid wsp:val=&quot;00734FC9&quot;/&gt;&lt;wsp:rsid wsp:val=&quot;007364E6&quot;/&gt;&lt;wsp:rsid wsp:val=&quot;0073693B&quot;/&gt;&lt;wsp:rsid wsp:val=&quot;00737396&quot;/&gt;&lt;wsp:rsid wsp:val=&quot;00737E2E&quot;/&gt;&lt;wsp:rsid wsp:val=&quot;00741FF3&quot;/&gt;&lt;wsp:rsid wsp:val=&quot;0074268B&quot;/&gt;&lt;wsp:rsid wsp:val=&quot;00743A97&quot;/&gt;&lt;wsp:rsid wsp:val=&quot;00743D6E&quot;/&gt;&lt;wsp:rsid wsp:val=&quot;0074501E&quot;/&gt;&lt;wsp:rsid wsp:val=&quot;00745E0A&quot;/&gt;&lt;wsp:rsid wsp:val=&quot;00745F66&quot;/&gt;&lt;wsp:rsid wsp:val=&quot;007464BB&quot;/&gt;&lt;wsp:rsid wsp:val=&quot;007465F0&quot;/&gt;&lt;wsp:rsid wsp:val=&quot;00746862&quot;/&gt;&lt;wsp:rsid wsp:val=&quot;007475E7&quot;/&gt;&lt;wsp:rsid wsp:val=&quot;00747747&quot;/&gt;&lt;wsp:rsid wsp:val=&quot;00747BE1&quot;/&gt;&lt;wsp:rsid wsp:val=&quot;00747F9F&quot;/&gt;&lt;wsp:rsid wsp:val=&quot;00750F4C&quot;/&gt;&lt;wsp:rsid wsp:val=&quot;007510A2&quot;/&gt;&lt;wsp:rsid wsp:val=&quot;00751451&quot;/&gt;&lt;wsp:rsid wsp:val=&quot;00751D22&quot;/&gt;&lt;wsp:rsid wsp:val=&quot;00751D28&quot;/&gt;&lt;wsp:rsid wsp:val=&quot;00751F6D&quot;/&gt;&lt;wsp:rsid wsp:val=&quot;007520FE&quot;/&gt;&lt;wsp:rsid wsp:val=&quot;007533A3&quot;/&gt;&lt;wsp:rsid wsp:val=&quot;00753B6A&quot;/&gt;&lt;wsp:rsid wsp:val=&quot;00754B67&quot;/&gt;&lt;wsp:rsid wsp:val=&quot;00755076&quot;/&gt;&lt;wsp:rsid wsp:val=&quot;00755348&quot;/&gt;&lt;wsp:rsid wsp:val=&quot;007558E2&quot;/&gt;&lt;wsp:rsid wsp:val=&quot;00756D42&quot;/&gt;&lt;wsp:rsid wsp:val=&quot;00757582&quot;/&gt;&lt;wsp:rsid wsp:val=&quot;0076011D&quot;/&gt;&lt;wsp:rsid wsp:val=&quot;007612F5&quot;/&gt;&lt;wsp:rsid wsp:val=&quot;007619FB&quot;/&gt;&lt;wsp:rsid wsp:val=&quot;00764802&quot;/&gt;&lt;wsp:rsid wsp:val=&quot;00764D2D&quot;/&gt;&lt;wsp:rsid wsp:val=&quot;007652D8&quot;/&gt;&lt;wsp:rsid wsp:val=&quot;0076590B&quot;/&gt;&lt;wsp:rsid wsp:val=&quot;00765D8C&quot;/&gt;&lt;wsp:rsid wsp:val=&quot;00767269&quot;/&gt;&lt;wsp:rsid wsp:val=&quot;00767805&quot;/&gt;&lt;wsp:rsid wsp:val=&quot;00767E96&quot;/&gt;&lt;wsp:rsid wsp:val=&quot;00771F53&quot;/&gt;&lt;wsp:rsid wsp:val=&quot;00772291&quot;/&gt;&lt;wsp:rsid wsp:val=&quot;007724B5&quot;/&gt;&lt;wsp:rsid wsp:val=&quot;007725D1&quot;/&gt;&lt;wsp:rsid wsp:val=&quot;00772720&quot;/&gt;&lt;wsp:rsid wsp:val=&quot;007730E2&quot;/&gt;&lt;wsp:rsid wsp:val=&quot;00773202&quot;/&gt;&lt;wsp:rsid wsp:val=&quot;00773D8A&quot;/&gt;&lt;wsp:rsid wsp:val=&quot;00774DC3&quot;/&gt;&lt;wsp:rsid wsp:val=&quot;007757AA&quot;/&gt;&lt;wsp:rsid wsp:val=&quot;007763F8&quot;/&gt;&lt;wsp:rsid wsp:val=&quot;0077655C&quot;/&gt;&lt;wsp:rsid wsp:val=&quot;00776A4A&quot;/&gt;&lt;wsp:rsid wsp:val=&quot;00776F55&quot;/&gt;&lt;wsp:rsid wsp:val=&quot;00777AB4&quot;/&gt;&lt;wsp:rsid wsp:val=&quot;00777B44&quot;/&gt;&lt;wsp:rsid wsp:val=&quot;00780300&quot;/&gt;&lt;wsp:rsid wsp:val=&quot;00780D3F&quot;/&gt;&lt;wsp:rsid wsp:val=&quot;0078134A&quot;/&gt;&lt;wsp:rsid wsp:val=&quot;0078230F&quot;/&gt;&lt;wsp:rsid wsp:val=&quot;00782376&quot;/&gt;&lt;wsp:rsid wsp:val=&quot;0078269E&quot;/&gt;&lt;wsp:rsid wsp:val=&quot;00782E4D&quot;/&gt;&lt;wsp:rsid wsp:val=&quot;00782FF9&quot;/&gt;&lt;wsp:rsid wsp:val=&quot;00783649&quot;/&gt;&lt;wsp:rsid wsp:val=&quot;00783CB7&quot;/&gt;&lt;wsp:rsid wsp:val=&quot;00783F2D&quot;/&gt;&lt;wsp:rsid wsp:val=&quot;00784063&quot;/&gt;&lt;wsp:rsid wsp:val=&quot;00784493&quot;/&gt;&lt;wsp:rsid wsp:val=&quot;00784F6F&quot;/&gt;&lt;wsp:rsid wsp:val=&quot;007850F9&quot;/&gt;&lt;wsp:rsid wsp:val=&quot;0078552D&quot;/&gt;&lt;wsp:rsid wsp:val=&quot;00786A62&quot;/&gt;&lt;wsp:rsid wsp:val=&quot;0078722D&quot;/&gt;&lt;wsp:rsid wsp:val=&quot;0078756D&quot;/&gt;&lt;wsp:rsid wsp:val=&quot;007878B4&quot;/&gt;&lt;wsp:rsid wsp:val=&quot;00787CF2&quot;/&gt;&lt;wsp:rsid wsp:val=&quot;00790888&quot;/&gt;&lt;wsp:rsid wsp:val=&quot;00791F42&quot;/&gt;&lt;wsp:rsid wsp:val=&quot;0079228B&quot;/&gt;&lt;wsp:rsid wsp:val=&quot;00793DD1&quot;/&gt;&lt;wsp:rsid wsp:val=&quot;00794A9B&quot;/&gt;&lt;wsp:rsid wsp:val=&quot;00794D1D&quot;/&gt;&lt;wsp:rsid wsp:val=&quot;0079542E&quot;/&gt;&lt;wsp:rsid wsp:val=&quot;00795497&quot;/&gt;&lt;wsp:rsid wsp:val=&quot;0079557A&quot;/&gt;&lt;wsp:rsid wsp:val=&quot;00795F68&quot;/&gt;&lt;wsp:rsid wsp:val=&quot;007961D6&quot;/&gt;&lt;wsp:rsid wsp:val=&quot;007964F3&quot;/&gt;&lt;wsp:rsid wsp:val=&quot;00796F5C&quot;/&gt;&lt;wsp:rsid wsp:val=&quot;00797B5D&quot;/&gt;&lt;wsp:rsid wsp:val=&quot;00797C96&quot;/&gt;&lt;wsp:rsid wsp:val=&quot;007A018D&quot;/&gt;&lt;wsp:rsid wsp:val=&quot;007A0620&quot;/&gt;&lt;wsp:rsid wsp:val=&quot;007A0B03&quot;/&gt;&lt;wsp:rsid wsp:val=&quot;007A185C&quot;/&gt;&lt;wsp:rsid wsp:val=&quot;007A3506&quot;/&gt;&lt;wsp:rsid wsp:val=&quot;007A3E47&quot;/&gt;&lt;wsp:rsid wsp:val=&quot;007A414E&quot;/&gt;&lt;wsp:rsid wsp:val=&quot;007A468D&quot;/&gt;&lt;wsp:rsid wsp:val=&quot;007A56A9&quot;/&gt;&lt;wsp:rsid wsp:val=&quot;007A5D65&quot;/&gt;&lt;wsp:rsid wsp:val=&quot;007A731B&quot;/&gt;&lt;wsp:rsid wsp:val=&quot;007B00EC&quot;/&gt;&lt;wsp:rsid wsp:val=&quot;007B0B97&quot;/&gt;&lt;wsp:rsid wsp:val=&quot;007B1274&quot;/&gt;&lt;wsp:rsid wsp:val=&quot;007B2398&quot;/&gt;&lt;wsp:rsid wsp:val=&quot;007B3818&quot;/&gt;&lt;wsp:rsid wsp:val=&quot;007B385F&quot;/&gt;&lt;wsp:rsid wsp:val=&quot;007B4EF0&quot;/&gt;&lt;wsp:rsid wsp:val=&quot;007B54A6&quot;/&gt;&lt;wsp:rsid wsp:val=&quot;007B6846&quot;/&gt;&lt;wsp:rsid wsp:val=&quot;007B69D1&quot;/&gt;&lt;wsp:rsid wsp:val=&quot;007B6C54&quot;/&gt;&lt;wsp:rsid wsp:val=&quot;007B6F1C&quot;/&gt;&lt;wsp:rsid wsp:val=&quot;007B7B0F&quot;/&gt;&lt;wsp:rsid wsp:val=&quot;007B7BA0&quot;/&gt;&lt;wsp:rsid wsp:val=&quot;007C0530&quot;/&gt;&lt;wsp:rsid wsp:val=&quot;007C147F&quot;/&gt;&lt;wsp:rsid wsp:val=&quot;007C19A9&quot;/&gt;&lt;wsp:rsid wsp:val=&quot;007C2442&quot;/&gt;&lt;wsp:rsid wsp:val=&quot;007C2A8D&quot;/&gt;&lt;wsp:rsid wsp:val=&quot;007C2E12&quot;/&gt;&lt;wsp:rsid wsp:val=&quot;007C30D9&quot;/&gt;&lt;wsp:rsid wsp:val=&quot;007C3382&quot;/&gt;&lt;wsp:rsid wsp:val=&quot;007C33AD&quot;/&gt;&lt;wsp:rsid wsp:val=&quot;007C3520&quot;/&gt;&lt;wsp:rsid wsp:val=&quot;007C3A51&quot;/&gt;&lt;wsp:rsid wsp:val=&quot;007C4138&quot;/&gt;&lt;wsp:rsid wsp:val=&quot;007C4EAE&quot;/&gt;&lt;wsp:rsid wsp:val=&quot;007C5500&quot;/&gt;&lt;wsp:rsid wsp:val=&quot;007C65AB&quot;/&gt;&lt;wsp:rsid wsp:val=&quot;007D0047&quot;/&gt;&lt;wsp:rsid wsp:val=&quot;007D075B&quot;/&gt;&lt;wsp:rsid wsp:val=&quot;007D0C3E&quot;/&gt;&lt;wsp:rsid wsp:val=&quot;007D1EE7&quot;/&gt;&lt;wsp:rsid wsp:val=&quot;007D1F37&quot;/&gt;&lt;wsp:rsid wsp:val=&quot;007D26A5&quot;/&gt;&lt;wsp:rsid wsp:val=&quot;007D2B99&quot;/&gt;&lt;wsp:rsid wsp:val=&quot;007D2E5F&quot;/&gt;&lt;wsp:rsid wsp:val=&quot;007D3980&quot;/&gt;&lt;wsp:rsid wsp:val=&quot;007D53DB&quot;/&gt;&lt;wsp:rsid wsp:val=&quot;007D5783&quot;/&gt;&lt;wsp:rsid wsp:val=&quot;007D5F2E&quot;/&gt;&lt;wsp:rsid wsp:val=&quot;007D6B77&quot;/&gt;&lt;wsp:rsid wsp:val=&quot;007D6C71&quot;/&gt;&lt;wsp:rsid wsp:val=&quot;007D70A3&quot;/&gt;&lt;wsp:rsid wsp:val=&quot;007D7F70&quot;/&gt;&lt;wsp:rsid wsp:val=&quot;007E010B&quot;/&gt;&lt;wsp:rsid wsp:val=&quot;007E011E&quot;/&gt;&lt;wsp:rsid wsp:val=&quot;007E056D&quot;/&gt;&lt;wsp:rsid wsp:val=&quot;007E1409&quot;/&gt;&lt;wsp:rsid wsp:val=&quot;007E1C79&quot;/&gt;&lt;wsp:rsid wsp:val=&quot;007E213F&quot;/&gt;&lt;wsp:rsid wsp:val=&quot;007E2574&quot;/&gt;&lt;wsp:rsid wsp:val=&quot;007E2804&quot;/&gt;&lt;wsp:rsid wsp:val=&quot;007E2F91&quot;/&gt;&lt;wsp:rsid wsp:val=&quot;007E2FD9&quot;/&gt;&lt;wsp:rsid wsp:val=&quot;007E3099&quot;/&gt;&lt;wsp:rsid wsp:val=&quot;007E373E&quot;/&gt;&lt;wsp:rsid wsp:val=&quot;007E3F19&quot;/&gt;&lt;wsp:rsid wsp:val=&quot;007E58C9&quot;/&gt;&lt;wsp:rsid wsp:val=&quot;007E5989&quot;/&gt;&lt;wsp:rsid wsp:val=&quot;007E59BF&quot;/&gt;&lt;wsp:rsid wsp:val=&quot;007E5FB6&quot;/&gt;&lt;wsp:rsid wsp:val=&quot;007E6299&quot;/&gt;&lt;wsp:rsid wsp:val=&quot;007E6485&quot;/&gt;&lt;wsp:rsid wsp:val=&quot;007E6970&quot;/&gt;&lt;wsp:rsid wsp:val=&quot;007E6FDF&quot;/&gt;&lt;wsp:rsid wsp:val=&quot;007E7078&quot;/&gt;&lt;wsp:rsid wsp:val=&quot;007F063C&quot;/&gt;&lt;wsp:rsid wsp:val=&quot;007F101D&quot;/&gt;&lt;wsp:rsid wsp:val=&quot;007F105C&quot;/&gt;&lt;wsp:rsid wsp:val=&quot;007F1B15&quot;/&gt;&lt;wsp:rsid wsp:val=&quot;007F22DF&quot;/&gt;&lt;wsp:rsid wsp:val=&quot;007F5268&quot;/&gt;&lt;wsp:rsid wsp:val=&quot;007F577A&quot;/&gt;&lt;wsp:rsid wsp:val=&quot;007F598E&quot;/&gt;&lt;wsp:rsid wsp:val=&quot;007F5E2B&quot;/&gt;&lt;wsp:rsid wsp:val=&quot;007F62B5&quot;/&gt;&lt;wsp:rsid wsp:val=&quot;007F6E12&quot;/&gt;&lt;wsp:rsid wsp:val=&quot;007F6FF6&quot;/&gt;&lt;wsp:rsid wsp:val=&quot;007F729C&quot;/&gt;&lt;wsp:rsid wsp:val=&quot;007F788F&quot;/&gt;&lt;wsp:rsid wsp:val=&quot;00800BAE&quot;/&gt;&lt;wsp:rsid wsp:val=&quot;008012DE&quot;/&gt;&lt;wsp:rsid wsp:val=&quot;008013DC&quot;/&gt;&lt;wsp:rsid wsp:val=&quot;00801E60&quot;/&gt;&lt;wsp:rsid wsp:val=&quot;008021E4&quot;/&gt;&lt;wsp:rsid wsp:val=&quot;0080225F&quot;/&gt;&lt;wsp:rsid wsp:val=&quot;0080275C&quot;/&gt;&lt;wsp:rsid wsp:val=&quot;00802FC5&quot;/&gt;&lt;wsp:rsid wsp:val=&quot;008031D9&quot;/&gt;&lt;wsp:rsid wsp:val=&quot;00803A8F&quot;/&gt;&lt;wsp:rsid wsp:val=&quot;008048E4&quot;/&gt;&lt;wsp:rsid wsp:val=&quot;00805401&quot;/&gt;&lt;wsp:rsid wsp:val=&quot;008057C2&quot;/&gt;&lt;wsp:rsid wsp:val=&quot;00805F68&quot;/&gt;&lt;wsp:rsid wsp:val=&quot;00806EE2&quot;/&gt;&lt;wsp:rsid wsp:val=&quot;0081021C&quot;/&gt;&lt;wsp:rsid wsp:val=&quot;00810B22&quot;/&gt;&lt;wsp:rsid wsp:val=&quot;00810B96&quot;/&gt;&lt;wsp:rsid wsp:val=&quot;00811054&quot;/&gt;&lt;wsp:rsid wsp:val=&quot;00811391&quot;/&gt;&lt;wsp:rsid wsp:val=&quot;00811961&quot;/&gt;&lt;wsp:rsid wsp:val=&quot;00811F91&quot;/&gt;&lt;wsp:rsid wsp:val=&quot;00811F9D&quot;/&gt;&lt;wsp:rsid wsp:val=&quot;008121D4&quot;/&gt;&lt;wsp:rsid wsp:val=&quot;008139CE&quot;/&gt;&lt;wsp:rsid wsp:val=&quot;00813BF5&quot;/&gt;&lt;wsp:rsid wsp:val=&quot;00813F54&quot;/&gt;&lt;wsp:rsid wsp:val=&quot;0081450A&quot;/&gt;&lt;wsp:rsid wsp:val=&quot;00814679&quot;/&gt;&lt;wsp:rsid wsp:val=&quot;00814E4E&quot;/&gt;&lt;wsp:rsid wsp:val=&quot;008159EB&quot;/&gt;&lt;wsp:rsid wsp:val=&quot;00815FBF&quot;/&gt;&lt;wsp:rsid wsp:val=&quot;00816910&quot;/&gt;&lt;wsp:rsid wsp:val=&quot;00816ADC&quot;/&gt;&lt;wsp:rsid wsp:val=&quot;00816D04&quot;/&gt;&lt;wsp:rsid wsp:val=&quot;00816D2F&quot;/&gt;&lt;wsp:rsid wsp:val=&quot;00816FDD&quot;/&gt;&lt;wsp:rsid wsp:val=&quot;008171A5&quot;/&gt;&lt;wsp:rsid wsp:val=&quot;008174D2&quot;/&gt;&lt;wsp:rsid wsp:val=&quot;00817DF9&quot;/&gt;&lt;wsp:rsid wsp:val=&quot;008207DF&quot;/&gt;&lt;wsp:rsid wsp:val=&quot;00822DA9&quot;/&gt;&lt;wsp:rsid wsp:val=&quot;00822FCD&quot;/&gt;&lt;wsp:rsid wsp:val=&quot;008236EA&quot;/&gt;&lt;wsp:rsid wsp:val=&quot;008241E8&quot;/&gt;&lt;wsp:rsid wsp:val=&quot;0082533F&quot;/&gt;&lt;wsp:rsid wsp:val=&quot;0082659C&quot;/&gt;&lt;wsp:rsid wsp:val=&quot;00827010&quot;/&gt;&lt;wsp:rsid wsp:val=&quot;00830379&quot;/&gt;&lt;wsp:rsid wsp:val=&quot;0083092E&quot;/&gt;&lt;wsp:rsid wsp:val=&quot;00831C3C&quot;/&gt;&lt;wsp:rsid wsp:val=&quot;00832311&quot;/&gt;&lt;wsp:rsid wsp:val=&quot;008325AE&quot;/&gt;&lt;wsp:rsid wsp:val=&quot;008329D4&quot;/&gt;&lt;wsp:rsid wsp:val=&quot;008332B2&quot;/&gt;&lt;wsp:rsid wsp:val=&quot;00833DA5&quot;/&gt;&lt;wsp:rsid wsp:val=&quot;008343A1&quot;/&gt;&lt;wsp:rsid wsp:val=&quot;008344A1&quot;/&gt;&lt;wsp:rsid wsp:val=&quot;008355D8&quot;/&gt;&lt;wsp:rsid wsp:val=&quot;00835CF0&quot;/&gt;&lt;wsp:rsid wsp:val=&quot;00836AFF&quot;/&gt;&lt;wsp:rsid wsp:val=&quot;00836E5B&quot;/&gt;&lt;wsp:rsid wsp:val=&quot;00837236&quot;/&gt;&lt;wsp:rsid wsp:val=&quot;00840102&quot;/&gt;&lt;wsp:rsid wsp:val=&quot;00840EEB&quot;/&gt;&lt;wsp:rsid wsp:val=&quot;0084118E&quot;/&gt;&lt;wsp:rsid wsp:val=&quot;008411F4&quot;/&gt;&lt;wsp:rsid wsp:val=&quot;008415A4&quot;/&gt;&lt;wsp:rsid wsp:val=&quot;0084183B&quot;/&gt;&lt;wsp:rsid wsp:val=&quot;008425D9&quot;/&gt;&lt;wsp:rsid wsp:val=&quot;00843570&quot;/&gt;&lt;wsp:rsid wsp:val=&quot;008439FE&quot;/&gt;&lt;wsp:rsid wsp:val=&quot;00843CC2&quot;/&gt;&lt;wsp:rsid wsp:val=&quot;008441F5&quot;/&gt;&lt;wsp:rsid wsp:val=&quot;00844A9C&quot;/&gt;&lt;wsp:rsid wsp:val=&quot;0084502C&quot;/&gt;&lt;wsp:rsid wsp:val=&quot;00846830&quot;/&gt;&lt;wsp:rsid wsp:val=&quot;00846927&quot;/&gt;&lt;wsp:rsid wsp:val=&quot;008471FE&quot;/&gt;&lt;wsp:rsid wsp:val=&quot;00850032&quot;/&gt;&lt;wsp:rsid wsp:val=&quot;008513A2&quot;/&gt;&lt;wsp:rsid wsp:val=&quot;008513F7&quot;/&gt;&lt;wsp:rsid wsp:val=&quot;00851B82&quot;/&gt;&lt;wsp:rsid wsp:val=&quot;00852061&quot;/&gt;&lt;wsp:rsid wsp:val=&quot;0085250B&quot;/&gt;&lt;wsp:rsid wsp:val=&quot;00852CE8&quot;/&gt;&lt;wsp:rsid wsp:val=&quot;00852DF5&quot;/&gt;&lt;wsp:rsid wsp:val=&quot;0085305F&quot;/&gt;&lt;wsp:rsid wsp:val=&quot;008532EB&quot;/&gt;&lt;wsp:rsid wsp:val=&quot;00853A40&quot;/&gt;&lt;wsp:rsid wsp:val=&quot;00854849&quot;/&gt;&lt;wsp:rsid wsp:val=&quot;008549BF&quot;/&gt;&lt;wsp:rsid wsp:val=&quot;00854C1F&quot;/&gt;&lt;wsp:rsid wsp:val=&quot;008553C2&quot;/&gt;&lt;wsp:rsid wsp:val=&quot;00855A4D&quot;/&gt;&lt;wsp:rsid wsp:val=&quot;00855B63&quot;/&gt;&lt;wsp:rsid wsp:val=&quot;00855DB3&quot;/&gt;&lt;wsp:rsid wsp:val=&quot;008564E3&quot;/&gt;&lt;wsp:rsid wsp:val=&quot;008565B1&quot;/&gt;&lt;wsp:rsid wsp:val=&quot;00856C26&quot;/&gt;&lt;wsp:rsid wsp:val=&quot;00856ED3&quot;/&gt;&lt;wsp:rsid wsp:val=&quot;008579EF&quot;/&gt;&lt;wsp:rsid wsp:val=&quot;00860096&quot;/&gt;&lt;wsp:rsid wsp:val=&quot;008601E7&quot;/&gt;&lt;wsp:rsid wsp:val=&quot;0086282D&quot;/&gt;&lt;wsp:rsid wsp:val=&quot;00863375&quot;/&gt;&lt;wsp:rsid wsp:val=&quot;0086449D&quot;/&gt;&lt;wsp:rsid wsp:val=&quot;00864EDB&quot;/&gt;&lt;wsp:rsid wsp:val=&quot;00865268&quot;/&gt;&lt;wsp:rsid wsp:val=&quot;008655E9&quot;/&gt;&lt;wsp:rsid wsp:val=&quot;00865CAD&quot;/&gt;&lt;wsp:rsid wsp:val=&quot;00866E26&quot;/&gt;&lt;wsp:rsid wsp:val=&quot;00867886&quot;/&gt;&lt;wsp:rsid wsp:val=&quot;0087034E&quot;/&gt;&lt;wsp:rsid wsp:val=&quot;008718B9&quot;/&gt;&lt;wsp:rsid wsp:val=&quot;008722C7&quot;/&gt;&lt;wsp:rsid wsp:val=&quot;00872838&quot;/&gt;&lt;wsp:rsid wsp:val=&quot;00873F1B&quot;/&gt;&lt;wsp:rsid wsp:val=&quot;008745FD&quot;/&gt;&lt;wsp:rsid wsp:val=&quot;008752DB&quot;/&gt;&lt;wsp:rsid wsp:val=&quot;00876049&quot;/&gt;&lt;wsp:rsid wsp:val=&quot;00876C31&quot;/&gt;&lt;wsp:rsid wsp:val=&quot;00876D1A&quot;/&gt;&lt;wsp:rsid wsp:val=&quot;00877CCC&quot;/&gt;&lt;wsp:rsid wsp:val=&quot;00877D79&quot;/&gt;&lt;wsp:rsid wsp:val=&quot;008807D9&quot;/&gt;&lt;wsp:rsid wsp:val=&quot;0088186B&quot;/&gt;&lt;wsp:rsid wsp:val=&quot;00881C1A&quot;/&gt;&lt;wsp:rsid wsp:val=&quot;00881C3C&quot;/&gt;&lt;wsp:rsid wsp:val=&quot;00882102&quot;/&gt;&lt;wsp:rsid wsp:val=&quot;00882D84&quot;/&gt;&lt;wsp:rsid wsp:val=&quot;00882EB1&quot;/&gt;&lt;wsp:rsid wsp:val=&quot;00883A9B&quot;/&gt;&lt;wsp:rsid wsp:val=&quot;00884887&quot;/&gt;&lt;wsp:rsid wsp:val=&quot;00885D1D&quot;/&gt;&lt;wsp:rsid wsp:val=&quot;0089080A&quot;/&gt;&lt;wsp:rsid wsp:val=&quot;00891718&quot;/&gt;&lt;wsp:rsid wsp:val=&quot;0089265F&quot;/&gt;&lt;wsp:rsid wsp:val=&quot;00892819&quot;/&gt;&lt;wsp:rsid wsp:val=&quot;00893326&quot;/&gt;&lt;wsp:rsid wsp:val=&quot;0089353A&quot;/&gt;&lt;wsp:rsid wsp:val=&quot;008935E1&quot;/&gt;&lt;wsp:rsid wsp:val=&quot;00893A96&quot;/&gt;&lt;wsp:rsid wsp:val=&quot;0089525E&quot;/&gt;&lt;wsp:rsid wsp:val=&quot;00895A8E&quot;/&gt;&lt;wsp:rsid wsp:val=&quot;00895DA2&quot;/&gt;&lt;wsp:rsid wsp:val=&quot;00896900&quot;/&gt;&lt;wsp:rsid wsp:val=&quot;0089722A&quot;/&gt;&lt;wsp:rsid wsp:val=&quot;00897D4D&quot;/&gt;&lt;wsp:rsid wsp:val=&quot;00897DC0&quot;/&gt;&lt;wsp:rsid wsp:val=&quot;008A038E&quot;/&gt;&lt;wsp:rsid wsp:val=&quot;008A03BF&quot;/&gt;&lt;wsp:rsid wsp:val=&quot;008A1217&quot;/&gt;&lt;wsp:rsid wsp:val=&quot;008A1B89&quot;/&gt;&lt;wsp:rsid wsp:val=&quot;008A20D7&quot;/&gt;&lt;wsp:rsid wsp:val=&quot;008A2A81&quot;/&gt;&lt;wsp:rsid wsp:val=&quot;008A36DC&quot;/&gt;&lt;wsp:rsid wsp:val=&quot;008A3D6B&quot;/&gt;&lt;wsp:rsid wsp:val=&quot;008A3EFD&quot;/&gt;&lt;wsp:rsid wsp:val=&quot;008A410A&quot;/&gt;&lt;wsp:rsid wsp:val=&quot;008A520E&quot;/&gt;&lt;wsp:rsid wsp:val=&quot;008A5E23&quot;/&gt;&lt;wsp:rsid wsp:val=&quot;008A616B&quot;/&gt;&lt;wsp:rsid wsp:val=&quot;008A69A4&quot;/&gt;&lt;wsp:rsid wsp:val=&quot;008A7888&quot;/&gt;&lt;wsp:rsid wsp:val=&quot;008A7E1A&quot;/&gt;&lt;wsp:rsid wsp:val=&quot;008B030F&quot;/&gt;&lt;wsp:rsid wsp:val=&quot;008B033C&quot;/&gt;&lt;wsp:rsid wsp:val=&quot;008B05DD&quot;/&gt;&lt;wsp:rsid wsp:val=&quot;008B09D4&quot;/&gt;&lt;wsp:rsid wsp:val=&quot;008B2550&quot;/&gt;&lt;wsp:rsid wsp:val=&quot;008B25EC&quot;/&gt;&lt;wsp:rsid wsp:val=&quot;008B2930&quot;/&gt;&lt;wsp:rsid wsp:val=&quot;008B2C59&quot;/&gt;&lt;wsp:rsid wsp:val=&quot;008B2CA1&quot;/&gt;&lt;wsp:rsid wsp:val=&quot;008B3485&quot;/&gt;&lt;wsp:rsid wsp:val=&quot;008B38F2&quot;/&gt;&lt;wsp:rsid wsp:val=&quot;008B3FD5&quot;/&gt;&lt;wsp:rsid wsp:val=&quot;008B4F61&quot;/&gt;&lt;wsp:rsid wsp:val=&quot;008B5475&quot;/&gt;&lt;wsp:rsid wsp:val=&quot;008B5BBB&quot;/&gt;&lt;wsp:rsid wsp:val=&quot;008B5D44&quot;/&gt;&lt;wsp:rsid wsp:val=&quot;008B5E29&quot;/&gt;&lt;wsp:rsid wsp:val=&quot;008B6308&quot;/&gt;&lt;wsp:rsid wsp:val=&quot;008B690C&quot;/&gt;&lt;wsp:rsid wsp:val=&quot;008B6ADE&quot;/&gt;&lt;wsp:rsid wsp:val=&quot;008B6FC1&quot;/&gt;&lt;wsp:rsid wsp:val=&quot;008B6FD6&quot;/&gt;&lt;wsp:rsid wsp:val=&quot;008B725C&quot;/&gt;&lt;wsp:rsid wsp:val=&quot;008B7444&quot;/&gt;&lt;wsp:rsid wsp:val=&quot;008B747D&quot;/&gt;&lt;wsp:rsid wsp:val=&quot;008B7ADF&quot;/&gt;&lt;wsp:rsid wsp:val=&quot;008C0029&quot;/&gt;&lt;wsp:rsid wsp:val=&quot;008C0430&quot;/&gt;&lt;wsp:rsid wsp:val=&quot;008C0462&quot;/&gt;&lt;wsp:rsid wsp:val=&quot;008C056B&quot;/&gt;&lt;wsp:rsid wsp:val=&quot;008C0BCB&quot;/&gt;&lt;wsp:rsid wsp:val=&quot;008C0C29&quot;/&gt;&lt;wsp:rsid wsp:val=&quot;008C0D55&quot;/&gt;&lt;wsp:rsid wsp:val=&quot;008C0FDF&quot;/&gt;&lt;wsp:rsid wsp:val=&quot;008C1028&quot;/&gt;&lt;wsp:rsid wsp:val=&quot;008C17E1&quot;/&gt;&lt;wsp:rsid wsp:val=&quot;008C1962&quot;/&gt;&lt;wsp:rsid wsp:val=&quot;008C294D&quot;/&gt;&lt;wsp:rsid wsp:val=&quot;008C2B96&quot;/&gt;&lt;wsp:rsid wsp:val=&quot;008C3167&quot;/&gt;&lt;wsp:rsid wsp:val=&quot;008C31C9&quot;/&gt;&lt;wsp:rsid wsp:val=&quot;008C3C90&quot;/&gt;&lt;wsp:rsid wsp:val=&quot;008C3D36&quot;/&gt;&lt;wsp:rsid wsp:val=&quot;008C577C&quot;/&gt;&lt;wsp:rsid wsp:val=&quot;008C6D7A&quot;/&gt;&lt;wsp:rsid wsp:val=&quot;008C6E17&quot;/&gt;&lt;wsp:rsid wsp:val=&quot;008C6ED0&quot;/&gt;&lt;wsp:rsid wsp:val=&quot;008C72D8&quot;/&gt;&lt;wsp:rsid wsp:val=&quot;008C73B8&quot;/&gt;&lt;wsp:rsid wsp:val=&quot;008C7D52&quot;/&gt;&lt;wsp:rsid wsp:val=&quot;008D06EC&quot;/&gt;&lt;wsp:rsid wsp:val=&quot;008D0840&quot;/&gt;&lt;wsp:rsid wsp:val=&quot;008D1051&quot;/&gt;&lt;wsp:rsid wsp:val=&quot;008D3C61&quot;/&gt;&lt;wsp:rsid wsp:val=&quot;008D3D97&quot;/&gt;&lt;wsp:rsid wsp:val=&quot;008D4184&quot;/&gt;&lt;wsp:rsid wsp:val=&quot;008D5B59&quot;/&gt;&lt;wsp:rsid wsp:val=&quot;008D60A1&quot;/&gt;&lt;wsp:rsid wsp:val=&quot;008D620B&quot;/&gt;&lt;wsp:rsid wsp:val=&quot;008D6C40&quot;/&gt;&lt;wsp:rsid wsp:val=&quot;008D7001&quot;/&gt;&lt;wsp:rsid wsp:val=&quot;008D7C0D&quot;/&gt;&lt;wsp:rsid wsp:val=&quot;008D7C89&quot;/&gt;&lt;wsp:rsid wsp:val=&quot;008E053A&quot;/&gt;&lt;wsp:rsid wsp:val=&quot;008E0BFB&quot;/&gt;&lt;wsp:rsid wsp:val=&quot;008E0F5C&quot;/&gt;&lt;wsp:rsid wsp:val=&quot;008E1671&quot;/&gt;&lt;wsp:rsid wsp:val=&quot;008E2179&quot;/&gt;&lt;wsp:rsid wsp:val=&quot;008E3067&quot;/&gt;&lt;wsp:rsid wsp:val=&quot;008E330B&quot;/&gt;&lt;wsp:rsid wsp:val=&quot;008E394E&quot;/&gt;&lt;wsp:rsid wsp:val=&quot;008E55D5&quot;/&gt;&lt;wsp:rsid wsp:val=&quot;008E596F&quot;/&gt;&lt;wsp:rsid wsp:val=&quot;008E5D2D&quot;/&gt;&lt;wsp:rsid wsp:val=&quot;008E5E39&quot;/&gt;&lt;wsp:rsid wsp:val=&quot;008E627E&quot;/&gt;&lt;wsp:rsid wsp:val=&quot;008E6C3E&quot;/&gt;&lt;wsp:rsid wsp:val=&quot;008E735B&quot;/&gt;&lt;wsp:rsid wsp:val=&quot;008E74B3&quot;/&gt;&lt;wsp:rsid wsp:val=&quot;008E7D67&quot;/&gt;&lt;wsp:rsid wsp:val=&quot;008F00B6&quot;/&gt;&lt;wsp:rsid wsp:val=&quot;008F0395&quot;/&gt;&lt;wsp:rsid wsp:val=&quot;008F0A36&quot;/&gt;&lt;wsp:rsid wsp:val=&quot;008F0D9C&quot;/&gt;&lt;wsp:rsid wsp:val=&quot;008F188C&quot;/&gt;&lt;wsp:rsid wsp:val=&quot;008F1CE8&quot;/&gt;&lt;wsp:rsid wsp:val=&quot;008F1EC7&quot;/&gt;&lt;wsp:rsid wsp:val=&quot;008F2185&quot;/&gt;&lt;wsp:rsid wsp:val=&quot;008F25C9&quot;/&gt;&lt;wsp:rsid wsp:val=&quot;008F2D43&quot;/&gt;&lt;wsp:rsid wsp:val=&quot;008F3635&quot;/&gt;&lt;wsp:rsid wsp:val=&quot;008F3ED1&quot;/&gt;&lt;wsp:rsid wsp:val=&quot;008F449A&quot;/&gt;&lt;wsp:rsid wsp:val=&quot;008F4FB4&quot;/&gt;&lt;wsp:rsid wsp:val=&quot;008F5B0F&quot;/&gt;&lt;wsp:rsid wsp:val=&quot;008F6265&quot;/&gt;&lt;wsp:rsid wsp:val=&quot;008F6570&quot;/&gt;&lt;wsp:rsid wsp:val=&quot;008F6698&quot;/&gt;&lt;wsp:rsid wsp:val=&quot;008F7104&quot;/&gt;&lt;wsp:rsid wsp:val=&quot;008F7FC2&quot;/&gt;&lt;wsp:rsid wsp:val=&quot;0090090C&quot;/&gt;&lt;wsp:rsid wsp:val=&quot;0090162C&quot;/&gt;&lt;wsp:rsid wsp:val=&quot;00901689&quot;/&gt;&lt;wsp:rsid wsp:val=&quot;00901F31&quot;/&gt;&lt;wsp:rsid wsp:val=&quot;009024C3&quot;/&gt;&lt;wsp:rsid wsp:val=&quot;009028AC&quot;/&gt;&lt;wsp:rsid wsp:val=&quot;00902B1F&quot;/&gt;&lt;wsp:rsid wsp:val=&quot;00902BC5&quot;/&gt;&lt;wsp:rsid wsp:val=&quot;0090316B&quot;/&gt;&lt;wsp:rsid wsp:val=&quot;0090324B&quot;/&gt;&lt;wsp:rsid wsp:val=&quot;00904DDA&quot;/&gt;&lt;wsp:rsid wsp:val=&quot;00904E2A&quot;/&gt;&lt;wsp:rsid wsp:val=&quot;0090565B&quot;/&gt;&lt;wsp:rsid wsp:val=&quot;00905F7F&quot;/&gt;&lt;wsp:rsid wsp:val=&quot;009061E6&quot;/&gt;&lt;wsp:rsid wsp:val=&quot;009061F0&quot;/&gt;&lt;wsp:rsid wsp:val=&quot;00906542&quot;/&gt;&lt;wsp:rsid wsp:val=&quot;009067B4&quot;/&gt;&lt;wsp:rsid wsp:val=&quot;00906B8F&quot;/&gt;&lt;wsp:rsid wsp:val=&quot;00906F7A&quot;/&gt;&lt;wsp:rsid wsp:val=&quot;009072C0&quot;/&gt;&lt;wsp:rsid wsp:val=&quot;009118E6&quot;/&gt;&lt;wsp:rsid wsp:val=&quot;00911E7C&quot;/&gt;&lt;wsp:rsid wsp:val=&quot;009128E3&quot;/&gt;&lt;wsp:rsid wsp:val=&quot;00912D16&quot;/&gt;&lt;wsp:rsid wsp:val=&quot;00912D20&quot;/&gt;&lt;wsp:rsid wsp:val=&quot;009142CD&quot;/&gt;&lt;wsp:rsid wsp:val=&quot;00915817&quot;/&gt;&lt;wsp:rsid wsp:val=&quot;00915ECB&quot;/&gt;&lt;wsp:rsid wsp:val=&quot;00916A65&quot;/&gt;&lt;wsp:rsid wsp:val=&quot;0091797C&quot;/&gt;&lt;wsp:rsid wsp:val=&quot;00917DCD&quot;/&gt;&lt;wsp:rsid wsp:val=&quot;00917DF8&quot;/&gt;&lt;wsp:rsid wsp:val=&quot;0092043C&quot;/&gt;&lt;wsp:rsid wsp:val=&quot;009204C6&quot;/&gt;&lt;wsp:rsid wsp:val=&quot;009206E1&quot;/&gt;&lt;wsp:rsid wsp:val=&quot;009209FB&quot;/&gt;&lt;wsp:rsid wsp:val=&quot;0092124D&quot;/&gt;&lt;wsp:rsid wsp:val=&quot;00921B04&quot;/&gt;&lt;wsp:rsid wsp:val=&quot;00921CD4&quot;/&gt;&lt;wsp:rsid wsp:val=&quot;00921CDE&quot;/&gt;&lt;wsp:rsid wsp:val=&quot;00922226&quot;/&gt;&lt;wsp:rsid wsp:val=&quot;00922AC6&quot;/&gt;&lt;wsp:rsid wsp:val=&quot;00922CFE&quot;/&gt;&lt;wsp:rsid wsp:val=&quot;00922E2B&quot;/&gt;&lt;wsp:rsid wsp:val=&quot;00922FEB&quot;/&gt;&lt;wsp:rsid wsp:val=&quot;00923134&quot;/&gt;&lt;wsp:rsid wsp:val=&quot;00923FA0&quot;/&gt;&lt;wsp:rsid wsp:val=&quot;0092406A&quot;/&gt;&lt;wsp:rsid wsp:val=&quot;0092469F&quot;/&gt;&lt;wsp:rsid wsp:val=&quot;009248D4&quot;/&gt;&lt;wsp:rsid wsp:val=&quot;00924943&quot;/&gt;&lt;wsp:rsid wsp:val=&quot;00925626&quot;/&gt;&lt;wsp:rsid wsp:val=&quot;00925ED5&quot;/&gt;&lt;wsp:rsid wsp:val=&quot;00925FEF&quot;/&gt;&lt;wsp:rsid wsp:val=&quot;009269AA&quot;/&gt;&lt;wsp:rsid wsp:val=&quot;00927376&quot;/&gt;&lt;wsp:rsid wsp:val=&quot;00930365&quot;/&gt;&lt;wsp:rsid wsp:val=&quot;009306DA&quot;/&gt;&lt;wsp:rsid wsp:val=&quot;0093249A&quot;/&gt;&lt;wsp:rsid wsp:val=&quot;009324EB&quot;/&gt;&lt;wsp:rsid wsp:val=&quot;00932D55&quot;/&gt;&lt;wsp:rsid wsp:val=&quot;00933354&quot;/&gt;&lt;wsp:rsid wsp:val=&quot;00933A37&quot;/&gt;&lt;wsp:rsid wsp:val=&quot;00933DF5&quot;/&gt;&lt;wsp:rsid wsp:val=&quot;00934A33&quot;/&gt;&lt;wsp:rsid wsp:val=&quot;00934AEF&quot;/&gt;&lt;wsp:rsid wsp:val=&quot;009361C4&quot;/&gt;&lt;wsp:rsid wsp:val=&quot;00936B52&quot;/&gt;&lt;wsp:rsid wsp:val=&quot;00936EFB&quot;/&gt;&lt;wsp:rsid wsp:val=&quot;009370B9&quot;/&gt;&lt;wsp:rsid wsp:val=&quot;00937E9C&quot;/&gt;&lt;wsp:rsid wsp:val=&quot;00940131&quot;/&gt;&lt;wsp:rsid wsp:val=&quot;009402EA&quot;/&gt;&lt;wsp:rsid wsp:val=&quot;009406C2&quot;/&gt;&lt;wsp:rsid wsp:val=&quot;00940844&quot;/&gt;&lt;wsp:rsid wsp:val=&quot;009419B2&quot;/&gt;&lt;wsp:rsid wsp:val=&quot;00941C43&quot;/&gt;&lt;wsp:rsid wsp:val=&quot;009423A4&quot;/&gt;&lt;wsp:rsid wsp:val=&quot;009434B3&quot;/&gt;&lt;wsp:rsid wsp:val=&quot;00944425&quot;/&gt;&lt;wsp:rsid wsp:val=&quot;009445ED&quot;/&gt;&lt;wsp:rsid wsp:val=&quot;00944C3A&quot;/&gt;&lt;wsp:rsid wsp:val=&quot;00944C81&quot;/&gt;&lt;wsp:rsid wsp:val=&quot;00945860&quot;/&gt;&lt;wsp:rsid wsp:val=&quot;00945D21&quot;/&gt;&lt;wsp:rsid wsp:val=&quot;00946732&quot;/&gt;&lt;wsp:rsid wsp:val=&quot;00946932&quot;/&gt;&lt;wsp:rsid wsp:val=&quot;00946FAB&quot;/&gt;&lt;wsp:rsid wsp:val=&quot;009476D2&quot;/&gt;&lt;wsp:rsid wsp:val=&quot;00950949&quot;/&gt;&lt;wsp:rsid wsp:val=&quot;009513DE&quot;/&gt;&lt;wsp:rsid wsp:val=&quot;009514F9&quot;/&gt;&lt;wsp:rsid wsp:val=&quot;00952E79&quot;/&gt;&lt;wsp:rsid wsp:val=&quot;0095326B&quot;/&gt;&lt;wsp:rsid wsp:val=&quot;00953C29&quot;/&gt;&lt;wsp:rsid wsp:val=&quot;0095419E&quot;/&gt;&lt;wsp:rsid wsp:val=&quot;00954600&quot;/&gt;&lt;wsp:rsid wsp:val=&quot;00954884&quot;/&gt;&lt;wsp:rsid wsp:val=&quot;00954C05&quot;/&gt;&lt;wsp:rsid wsp:val=&quot;00955158&quot;/&gt;&lt;wsp:rsid wsp:val=&quot;00955656&quot;/&gt;&lt;wsp:rsid wsp:val=&quot;009558A6&quot;/&gt;&lt;wsp:rsid wsp:val=&quot;0095662E&quot;/&gt;&lt;wsp:rsid wsp:val=&quot;009567FE&quot;/&gt;&lt;wsp:rsid wsp:val=&quot;00957A88&quot;/&gt;&lt;wsp:rsid wsp:val=&quot;009605FD&quot;/&gt;&lt;wsp:rsid wsp:val=&quot;00960BE6&quot;/&gt;&lt;wsp:rsid wsp:val=&quot;00961152&quot;/&gt;&lt;wsp:rsid wsp:val=&quot;009617D6&quot;/&gt;&lt;wsp:rsid wsp:val=&quot;00961BF9&quot;/&gt;&lt;wsp:rsid wsp:val=&quot;009630FB&quot;/&gt;&lt;wsp:rsid wsp:val=&quot;00963369&quot;/&gt;&lt;wsp:rsid wsp:val=&quot;0096353A&quot;/&gt;&lt;wsp:rsid wsp:val=&quot;00963723&quot;/&gt;&lt;wsp:rsid wsp:val=&quot;00963D9B&quot;/&gt;&lt;wsp:rsid wsp:val=&quot;00964041&quot;/&gt;&lt;wsp:rsid wsp:val=&quot;00965104&quot;/&gt;&lt;wsp:rsid wsp:val=&quot;00965C6D&quot;/&gt;&lt;wsp:rsid wsp:val=&quot;00965D10&quot;/&gt;&lt;wsp:rsid wsp:val=&quot;00965F9B&quot;/&gt;&lt;wsp:rsid wsp:val=&quot;00966D84&quot;/&gt;&lt;wsp:rsid wsp:val=&quot;009676CA&quot;/&gt;&lt;wsp:rsid wsp:val=&quot;00967DED&quot;/&gt;&lt;wsp:rsid wsp:val=&quot;00970B74&quot;/&gt;&lt;wsp:rsid wsp:val=&quot;009716DE&quot;/&gt;&lt;wsp:rsid wsp:val=&quot;00971B16&quot;/&gt;&lt;wsp:rsid wsp:val=&quot;00972479&quot;/&gt;&lt;wsp:rsid wsp:val=&quot;009724DC&quot;/&gt;&lt;wsp:rsid wsp:val=&quot;00972660&quot;/&gt;&lt;wsp:rsid wsp:val=&quot;00972837&quot;/&gt;&lt;wsp:rsid wsp:val=&quot;00972F96&quot;/&gt;&lt;wsp:rsid wsp:val=&quot;009737F3&quot;/&gt;&lt;wsp:rsid wsp:val=&quot;009739D0&quot;/&gt;&lt;wsp:rsid wsp:val=&quot;00974957&quot;/&gt;&lt;wsp:rsid wsp:val=&quot;00974C1D&quot;/&gt;&lt;wsp:rsid wsp:val=&quot;009759D5&quot;/&gt;&lt;wsp:rsid wsp:val=&quot;0097619F&quot;/&gt;&lt;wsp:rsid wsp:val=&quot;0097708D&quot;/&gt;&lt;wsp:rsid wsp:val=&quot;0097721C&quot;/&gt;&lt;wsp:rsid wsp:val=&quot;00981674&quot;/&gt;&lt;wsp:rsid wsp:val=&quot;009821AA&quot;/&gt;&lt;wsp:rsid wsp:val=&quot;00982B82&quot;/&gt;&lt;wsp:rsid wsp:val=&quot;00982EEB&quot;/&gt;&lt;wsp:rsid wsp:val=&quot;00982F87&quot;/&gt;&lt;wsp:rsid wsp:val=&quot;00983DA6&quot;/&gt;&lt;wsp:rsid wsp:val=&quot;00984444&quot;/&gt;&lt;wsp:rsid wsp:val=&quot;009853E5&quot;/&gt;&lt;wsp:rsid wsp:val=&quot;0098658B&quot;/&gt;&lt;wsp:rsid wsp:val=&quot;00986F02&quot;/&gt;&lt;wsp:rsid wsp:val=&quot;0098792B&quot;/&gt;&lt;wsp:rsid wsp:val=&quot;00990007&quot;/&gt;&lt;wsp:rsid wsp:val=&quot;00990983&quot;/&gt;&lt;wsp:rsid wsp:val=&quot;009916AB&quot;/&gt;&lt;wsp:rsid wsp:val=&quot;00992473&quot;/&gt;&lt;wsp:rsid wsp:val=&quot;00992578&quot;/&gt;&lt;wsp:rsid wsp:val=&quot;00992AC0&quot;/&gt;&lt;wsp:rsid wsp:val=&quot;0099474F&quot;/&gt;&lt;wsp:rsid wsp:val=&quot;009947CF&quot;/&gt;&lt;wsp:rsid wsp:val=&quot;00995C00&quot;/&gt;&lt;wsp:rsid wsp:val=&quot;00995C3E&quot;/&gt;&lt;wsp:rsid wsp:val=&quot;00996484&quot;/&gt;&lt;wsp:rsid wsp:val=&quot;0099675E&quot;/&gt;&lt;wsp:rsid wsp:val=&quot;009A0E9B&quot;/&gt;&lt;wsp:rsid wsp:val=&quot;009A0FFD&quot;/&gt;&lt;wsp:rsid wsp:val=&quot;009A107C&quot;/&gt;&lt;wsp:rsid wsp:val=&quot;009A2818&quot;/&gt;&lt;wsp:rsid wsp:val=&quot;009A28D4&quot;/&gt;&lt;wsp:rsid wsp:val=&quot;009A2921&quot;/&gt;&lt;wsp:rsid wsp:val=&quot;009A2FC2&quot;/&gt;&lt;wsp:rsid wsp:val=&quot;009A3201&quot;/&gt;&lt;wsp:rsid wsp:val=&quot;009A3BAC&quot;/&gt;&lt;wsp:rsid wsp:val=&quot;009A3C3E&quot;/&gt;&lt;wsp:rsid wsp:val=&quot;009A3EF9&quot;/&gt;&lt;wsp:rsid wsp:val=&quot;009A4717&quot;/&gt;&lt;wsp:rsid wsp:val=&quot;009A495E&quot;/&gt;&lt;wsp:rsid wsp:val=&quot;009A6CC7&quot;/&gt;&lt;wsp:rsid wsp:val=&quot;009A7FBD&quot;/&gt;&lt;wsp:rsid wsp:val=&quot;009B055F&quot;/&gt;&lt;wsp:rsid wsp:val=&quot;009B1528&quot;/&gt;&lt;wsp:rsid wsp:val=&quot;009B1673&quot;/&gt;&lt;wsp:rsid wsp:val=&quot;009B2083&quot;/&gt;&lt;wsp:rsid wsp:val=&quot;009B25BA&quot;/&gt;&lt;wsp:rsid wsp:val=&quot;009B26D1&quot;/&gt;&lt;wsp:rsid wsp:val=&quot;009B26EF&quot;/&gt;&lt;wsp:rsid wsp:val=&quot;009B2A43&quot;/&gt;&lt;wsp:rsid wsp:val=&quot;009B2B8F&quot;/&gt;&lt;wsp:rsid wsp:val=&quot;009B2E5C&quot;/&gt;&lt;wsp:rsid wsp:val=&quot;009B35BB&quot;/&gt;&lt;wsp:rsid wsp:val=&quot;009B3DB3&quot;/&gt;&lt;wsp:rsid wsp:val=&quot;009B47D2&quot;/&gt;&lt;wsp:rsid wsp:val=&quot;009B4C69&quot;/&gt;&lt;wsp:rsid wsp:val=&quot;009B4F37&quot;/&gt;&lt;wsp:rsid wsp:val=&quot;009B4F66&quot;/&gt;&lt;wsp:rsid wsp:val=&quot;009B5643&quot;/&gt;&lt;wsp:rsid wsp:val=&quot;009B5697&quot;/&gt;&lt;wsp:rsid wsp:val=&quot;009B6100&quot;/&gt;&lt;wsp:rsid wsp:val=&quot;009B7ACF&quot;/&gt;&lt;wsp:rsid wsp:val=&quot;009B7CCA&quot;/&gt;&lt;wsp:rsid wsp:val=&quot;009C0C80&quot;/&gt;&lt;wsp:rsid wsp:val=&quot;009C18A3&quot;/&gt;&lt;wsp:rsid wsp:val=&quot;009C1B04&quot;/&gt;&lt;wsp:rsid wsp:val=&quot;009C212A&quot;/&gt;&lt;wsp:rsid wsp:val=&quot;009C2814&quot;/&gt;&lt;wsp:rsid wsp:val=&quot;009C2E75&quot;/&gt;&lt;wsp:rsid wsp:val=&quot;009C531D&quot;/&gt;&lt;wsp:rsid wsp:val=&quot;009C7E04&quot;/&gt;&lt;wsp:rsid wsp:val=&quot;009D1F85&quot;/&gt;&lt;wsp:rsid wsp:val=&quot;009D1FC9&quot;/&gt;&lt;wsp:rsid wsp:val=&quot;009D2354&quot;/&gt;&lt;wsp:rsid wsp:val=&quot;009D2427&quot;/&gt;&lt;wsp:rsid wsp:val=&quot;009D37D1&quot;/&gt;&lt;wsp:rsid wsp:val=&quot;009D47F7&quot;/&gt;&lt;wsp:rsid wsp:val=&quot;009D4F89&quot;/&gt;&lt;wsp:rsid wsp:val=&quot;009D586A&quot;/&gt;&lt;wsp:rsid wsp:val=&quot;009D5F7A&quot;/&gt;&lt;wsp:rsid wsp:val=&quot;009D616C&quot;/&gt;&lt;wsp:rsid wsp:val=&quot;009D681C&quot;/&gt;&lt;wsp:rsid wsp:val=&quot;009D712E&quot;/&gt;&lt;wsp:rsid wsp:val=&quot;009D72A5&quot;/&gt;&lt;wsp:rsid wsp:val=&quot;009D7C9C&quot;/&gt;&lt;wsp:rsid wsp:val=&quot;009E249E&quot;/&gt;&lt;wsp:rsid wsp:val=&quot;009E24FD&quot;/&gt;&lt;wsp:rsid wsp:val=&quot;009E445E&quot;/&gt;&lt;wsp:rsid wsp:val=&quot;009E47CA&quot;/&gt;&lt;wsp:rsid wsp:val=&quot;009E4945&quot;/&gt;&lt;wsp:rsid wsp:val=&quot;009E4EE5&quot;/&gt;&lt;wsp:rsid wsp:val=&quot;009E6E53&quot;/&gt;&lt;wsp:rsid wsp:val=&quot;009E787A&quot;/&gt;&lt;wsp:rsid wsp:val=&quot;009E7A79&quot;/&gt;&lt;wsp:rsid wsp:val=&quot;009E7D67&quot;/&gt;&lt;wsp:rsid wsp:val=&quot;009F04A4&quot;/&gt;&lt;wsp:rsid wsp:val=&quot;009F1ED6&quot;/&gt;&lt;wsp:rsid wsp:val=&quot;009F2A77&quot;/&gt;&lt;wsp:rsid wsp:val=&quot;009F2AA4&quot;/&gt;&lt;wsp:rsid wsp:val=&quot;009F311A&quot;/&gt;&lt;wsp:rsid wsp:val=&quot;009F34FE&quot;/&gt;&lt;wsp:rsid wsp:val=&quot;009F3533&quot;/&gt;&lt;wsp:rsid wsp:val=&quot;009F3AB8&quot;/&gt;&lt;wsp:rsid wsp:val=&quot;009F3CCB&quot;/&gt;&lt;wsp:rsid wsp:val=&quot;009F3D17&quot;/&gt;&lt;wsp:rsid wsp:val=&quot;009F46CB&quot;/&gt;&lt;wsp:rsid wsp:val=&quot;009F4CB2&quot;/&gt;&lt;wsp:rsid wsp:val=&quot;009F54DC&quot;/&gt;&lt;wsp:rsid wsp:val=&quot;009F55DC&quot;/&gt;&lt;wsp:rsid wsp:val=&quot;009F588A&quot;/&gt;&lt;wsp:rsid wsp:val=&quot;009F7B41&quot;/&gt;&lt;wsp:rsid wsp:val=&quot;009F7BF5&quot;/&gt;&lt;wsp:rsid wsp:val=&quot;00A00E04&quot;/&gt;&lt;wsp:rsid wsp:val=&quot;00A01409&quot;/&gt;&lt;wsp:rsid wsp:val=&quot;00A03DA2&quot;/&gt;&lt;wsp:rsid wsp:val=&quot;00A04380&quot;/&gt;&lt;wsp:rsid wsp:val=&quot;00A04AEB&quot;/&gt;&lt;wsp:rsid wsp:val=&quot;00A04AEF&quot;/&gt;&lt;wsp:rsid wsp:val=&quot;00A0524F&quot;/&gt;&lt;wsp:rsid wsp:val=&quot;00A0715F&quot;/&gt;&lt;wsp:rsid wsp:val=&quot;00A0730E&quot;/&gt;&lt;wsp:rsid wsp:val=&quot;00A0761E&quot;/&gt;&lt;wsp:rsid wsp:val=&quot;00A07D23&quot;/&gt;&lt;wsp:rsid wsp:val=&quot;00A1022F&quot;/&gt;&lt;wsp:rsid wsp:val=&quot;00A10489&quot;/&gt;&lt;wsp:rsid wsp:val=&quot;00A104A2&quot;/&gt;&lt;wsp:rsid wsp:val=&quot;00A109CD&quot;/&gt;&lt;wsp:rsid wsp:val=&quot;00A109EE&quot;/&gt;&lt;wsp:rsid wsp:val=&quot;00A10C87&quot;/&gt;&lt;wsp:rsid wsp:val=&quot;00A10F0D&quot;/&gt;&lt;wsp:rsid wsp:val=&quot;00A115B2&quot;/&gt;&lt;wsp:rsid wsp:val=&quot;00A115BC&quot;/&gt;&lt;wsp:rsid wsp:val=&quot;00A11B88&quot;/&gt;&lt;wsp:rsid wsp:val=&quot;00A11E3A&quot;/&gt;&lt;wsp:rsid wsp:val=&quot;00A1277E&quot;/&gt;&lt;wsp:rsid wsp:val=&quot;00A13C9C&quot;/&gt;&lt;wsp:rsid wsp:val=&quot;00A140A4&quot;/&gt;&lt;wsp:rsid wsp:val=&quot;00A14A9B&quot;/&gt;&lt;wsp:rsid wsp:val=&quot;00A14B8C&quot;/&gt;&lt;wsp:rsid wsp:val=&quot;00A1515D&quot;/&gt;&lt;wsp:rsid wsp:val=&quot;00A1577C&quot;/&gt;&lt;wsp:rsid wsp:val=&quot;00A15C4E&quot;/&gt;&lt;wsp:rsid wsp:val=&quot;00A15D85&quot;/&gt;&lt;wsp:rsid wsp:val=&quot;00A15E4C&quot;/&gt;&lt;wsp:rsid wsp:val=&quot;00A17554&quot;/&gt;&lt;wsp:rsid wsp:val=&quot;00A17C19&quot;/&gt;&lt;wsp:rsid wsp:val=&quot;00A20EFC&quot;/&gt;&lt;wsp:rsid wsp:val=&quot;00A21879&quot;/&gt;&lt;wsp:rsid wsp:val=&quot;00A22558&quot;/&gt;&lt;wsp:rsid wsp:val=&quot;00A225C1&quot;/&gt;&lt;wsp:rsid wsp:val=&quot;00A235AC&quot;/&gt;&lt;wsp:rsid wsp:val=&quot;00A23D9D&quot;/&gt;&lt;wsp:rsid wsp:val=&quot;00A23FA7&quot;/&gt;&lt;wsp:rsid wsp:val=&quot;00A24443&quot;/&gt;&lt;wsp:rsid wsp:val=&quot;00A245E6&quot;/&gt;&lt;wsp:rsid wsp:val=&quot;00A24F12&quot;/&gt;&lt;wsp:rsid wsp:val=&quot;00A24FA5&quot;/&gt;&lt;wsp:rsid wsp:val=&quot;00A2546A&quot;/&gt;&lt;wsp:rsid wsp:val=&quot;00A25C74&quot;/&gt;&lt;wsp:rsid wsp:val=&quot;00A26D8E&quot;/&gt;&lt;wsp:rsid wsp:val=&quot;00A26E28&quot;/&gt;&lt;wsp:rsid wsp:val=&quot;00A26F7A&quot;/&gt;&lt;wsp:rsid wsp:val=&quot;00A27100&quot;/&gt;&lt;wsp:rsid wsp:val=&quot;00A279DA&quot;/&gt;&lt;wsp:rsid wsp:val=&quot;00A30733&quot;/&gt;&lt;wsp:rsid wsp:val=&quot;00A309A6&quot;/&gt;&lt;wsp:rsid wsp:val=&quot;00A30D0E&quot;/&gt;&lt;wsp:rsid wsp:val=&quot;00A31219&quot;/&gt;&lt;wsp:rsid wsp:val=&quot;00A31590&quot;/&gt;&lt;wsp:rsid wsp:val=&quot;00A32826&quot;/&gt;&lt;wsp:rsid wsp:val=&quot;00A32C2D&quot;/&gt;&lt;wsp:rsid wsp:val=&quot;00A331E9&quot;/&gt;&lt;wsp:rsid wsp:val=&quot;00A3356B&quot;/&gt;&lt;wsp:rsid wsp:val=&quot;00A33636&quot;/&gt;&lt;wsp:rsid wsp:val=&quot;00A33B7C&quot;/&gt;&lt;wsp:rsid wsp:val=&quot;00A33CD8&quot;/&gt;&lt;wsp:rsid wsp:val=&quot;00A33D36&quot;/&gt;&lt;wsp:rsid wsp:val=&quot;00A34B30&quot;/&gt;&lt;wsp:rsid wsp:val=&quot;00A352B1&quot;/&gt;&lt;wsp:rsid wsp:val=&quot;00A35F7E&quot;/&gt;&lt;wsp:rsid wsp:val=&quot;00A3657E&quot;/&gt;&lt;wsp:rsid wsp:val=&quot;00A36FF2&quot;/&gt;&lt;wsp:rsid wsp:val=&quot;00A370C3&quot;/&gt;&lt;wsp:rsid wsp:val=&quot;00A37784&quot;/&gt;&lt;wsp:rsid wsp:val=&quot;00A37EAB&quot;/&gt;&lt;wsp:rsid wsp:val=&quot;00A4017A&quot;/&gt;&lt;wsp:rsid wsp:val=&quot;00A401A3&quot;/&gt;&lt;wsp:rsid wsp:val=&quot;00A40C0F&quot;/&gt;&lt;wsp:rsid wsp:val=&quot;00A410A6&quot;/&gt;&lt;wsp:rsid wsp:val=&quot;00A41BA4&quot;/&gt;&lt;wsp:rsid wsp:val=&quot;00A42484&quot;/&gt;&lt;wsp:rsid wsp:val=&quot;00A42695&quot;/&gt;&lt;wsp:rsid wsp:val=&quot;00A42C91&quot;/&gt;&lt;wsp:rsid wsp:val=&quot;00A42D77&quot;/&gt;&lt;wsp:rsid wsp:val=&quot;00A42E56&quot;/&gt;&lt;wsp:rsid wsp:val=&quot;00A4362C&quot;/&gt;&lt;wsp:rsid wsp:val=&quot;00A43949&quot;/&gt;&lt;wsp:rsid wsp:val=&quot;00A4486F&quot;/&gt;&lt;wsp:rsid wsp:val=&quot;00A44D36&quot;/&gt;&lt;wsp:rsid wsp:val=&quot;00A44DDB&quot;/&gt;&lt;wsp:rsid wsp:val=&quot;00A44E03&quot;/&gt;&lt;wsp:rsid wsp:val=&quot;00A4607A&quot;/&gt;&lt;wsp:rsid wsp:val=&quot;00A460F5&quot;/&gt;&lt;wsp:rsid wsp:val=&quot;00A465F4&quot;/&gt;&lt;wsp:rsid wsp:val=&quot;00A4715E&quot;/&gt;&lt;wsp:rsid wsp:val=&quot;00A471DA&quot;/&gt;&lt;wsp:rsid wsp:val=&quot;00A5152D&quot;/&gt;&lt;wsp:rsid wsp:val=&quot;00A5181C&quot;/&gt;&lt;wsp:rsid wsp:val=&quot;00A51A19&quot;/&gt;&lt;wsp:rsid wsp:val=&quot;00A51A72&quot;/&gt;&lt;wsp:rsid wsp:val=&quot;00A535CF&quot;/&gt;&lt;wsp:rsid wsp:val=&quot;00A5584C&quot;/&gt;&lt;wsp:rsid wsp:val=&quot;00A55B83&quot;/&gt;&lt;wsp:rsid wsp:val=&quot;00A55C6F&quot;/&gt;&lt;wsp:rsid wsp:val=&quot;00A55D91&quot;/&gt;&lt;wsp:rsid wsp:val=&quot;00A5612B&quot;/&gt;&lt;wsp:rsid wsp:val=&quot;00A562E9&quot;/&gt;&lt;wsp:rsid wsp:val=&quot;00A57133&quot;/&gt;&lt;wsp:rsid wsp:val=&quot;00A57AD5&quot;/&gt;&lt;wsp:rsid wsp:val=&quot;00A57B58&quot;/&gt;&lt;wsp:rsid wsp:val=&quot;00A57B81&quot;/&gt;&lt;wsp:rsid wsp:val=&quot;00A60482&quot;/&gt;&lt;wsp:rsid wsp:val=&quot;00A612BD&quot;/&gt;&lt;wsp:rsid wsp:val=&quot;00A620EA&quot;/&gt;&lt;wsp:rsid wsp:val=&quot;00A622E7&quot;/&gt;&lt;wsp:rsid wsp:val=&quot;00A62442&quot;/&gt;&lt;wsp:rsid wsp:val=&quot;00A62445&quot;/&gt;&lt;wsp:rsid wsp:val=&quot;00A62A05&quot;/&gt;&lt;wsp:rsid wsp:val=&quot;00A62E87&quot;/&gt;&lt;wsp:rsid wsp:val=&quot;00A62FEB&quot;/&gt;&lt;wsp:rsid wsp:val=&quot;00A63138&quot;/&gt;&lt;wsp:rsid wsp:val=&quot;00A6351F&quot;/&gt;&lt;wsp:rsid wsp:val=&quot;00A64F2D&quot;/&gt;&lt;wsp:rsid wsp:val=&quot;00A65A9B&quot;/&gt;&lt;wsp:rsid wsp:val=&quot;00A65C61&quot;/&gt;&lt;wsp:rsid wsp:val=&quot;00A66524&quot;/&gt;&lt;wsp:rsid wsp:val=&quot;00A678A5&quot;/&gt;&lt;wsp:rsid wsp:val=&quot;00A70109&quot;/&gt;&lt;wsp:rsid wsp:val=&quot;00A71F91&quot;/&gt;&lt;wsp:rsid wsp:val=&quot;00A7368C&quot;/&gt;&lt;wsp:rsid wsp:val=&quot;00A73783&quot;/&gt;&lt;wsp:rsid wsp:val=&quot;00A739B3&quot;/&gt;&lt;wsp:rsid wsp:val=&quot;00A73B69&quot;/&gt;&lt;wsp:rsid wsp:val=&quot;00A73EA0&quot;/&gt;&lt;wsp:rsid wsp:val=&quot;00A741EE&quot;/&gt;&lt;wsp:rsid wsp:val=&quot;00A742C4&quot;/&gt;&lt;wsp:rsid wsp:val=&quot;00A74532&quot;/&gt;&lt;wsp:rsid wsp:val=&quot;00A75D37&quot;/&gt;&lt;wsp:rsid wsp:val=&quot;00A760A8&quot;/&gt;&lt;wsp:rsid wsp:val=&quot;00A77993&quot;/&gt;&lt;wsp:rsid wsp:val=&quot;00A804DF&quot;/&gt;&lt;wsp:rsid wsp:val=&quot;00A81273&quot;/&gt;&lt;wsp:rsid wsp:val=&quot;00A818A5&quot;/&gt;&lt;wsp:rsid wsp:val=&quot;00A819D6&quot;/&gt;&lt;wsp:rsid wsp:val=&quot;00A81B7E&quot;/&gt;&lt;wsp:rsid wsp:val=&quot;00A82A71&quot;/&gt;&lt;wsp:rsid wsp:val=&quot;00A82CE5&quot;/&gt;&lt;wsp:rsid wsp:val=&quot;00A8373F&quot;/&gt;&lt;wsp:rsid wsp:val=&quot;00A84DC6&quot;/&gt;&lt;wsp:rsid wsp:val=&quot;00A854A5&quot;/&gt;&lt;wsp:rsid wsp:val=&quot;00A85831&quot;/&gt;&lt;wsp:rsid wsp:val=&quot;00A85B05&quot;/&gt;&lt;wsp:rsid wsp:val=&quot;00A864D7&quot;/&gt;&lt;wsp:rsid wsp:val=&quot;00A8658E&quot;/&gt;&lt;wsp:rsid wsp:val=&quot;00A90DDF&quot;/&gt;&lt;wsp:rsid wsp:val=&quot;00A9278A&quot;/&gt;&lt;wsp:rsid wsp:val=&quot;00A94BE0&quot;/&gt;&lt;wsp:rsid wsp:val=&quot;00A9510E&quot;/&gt;&lt;wsp:rsid wsp:val=&quot;00A95C3E&quot;/&gt;&lt;wsp:rsid wsp:val=&quot;00A96125&quot;/&gt;&lt;wsp:rsid wsp:val=&quot;00A96196&quot;/&gt;&lt;wsp:rsid wsp:val=&quot;00A97C5F&quot;/&gt;&lt;wsp:rsid wsp:val=&quot;00AA0384&quot;/&gt;&lt;wsp:rsid wsp:val=&quot;00AA08EF&quot;/&gt;&lt;wsp:rsid wsp:val=&quot;00AA1F11&quot;/&gt;&lt;wsp:rsid wsp:val=&quot;00AA2252&quot;/&gt;&lt;wsp:rsid wsp:val=&quot;00AA2C91&quot;/&gt;&lt;wsp:rsid wsp:val=&quot;00AA2CCA&quot;/&gt;&lt;wsp:rsid wsp:val=&quot;00AA349D&quot;/&gt;&lt;wsp:rsid wsp:val=&quot;00AA3A81&quot;/&gt;&lt;wsp:rsid wsp:val=&quot;00AA3AF3&quot;/&gt;&lt;wsp:rsid wsp:val=&quot;00AA5096&quot;/&gt;&lt;wsp:rsid wsp:val=&quot;00AA55FF&quot;/&gt;&lt;wsp:rsid wsp:val=&quot;00AA60C6&quot;/&gt;&lt;wsp:rsid wsp:val=&quot;00AA63A3&quot;/&gt;&lt;wsp:rsid wsp:val=&quot;00AA6A2C&quot;/&gt;&lt;wsp:rsid wsp:val=&quot;00AA6C3E&quot;/&gt;&lt;wsp:rsid wsp:val=&quot;00AA71A4&quot;/&gt;&lt;wsp:rsid wsp:val=&quot;00AA73BA&quot;/&gt;&lt;wsp:rsid wsp:val=&quot;00AA7596&quot;/&gt;&lt;wsp:rsid wsp:val=&quot;00AA7B52&quot;/&gt;&lt;wsp:rsid wsp:val=&quot;00AA7BE8&quot;/&gt;&lt;wsp:rsid wsp:val=&quot;00AA7F10&quot;/&gt;&lt;wsp:rsid wsp:val=&quot;00AB0009&quot;/&gt;&lt;wsp:rsid wsp:val=&quot;00AB19C6&quot;/&gt;&lt;wsp:rsid wsp:val=&quot;00AB1A92&quot;/&gt;&lt;wsp:rsid wsp:val=&quot;00AB36BA&quot;/&gt;&lt;wsp:rsid wsp:val=&quot;00AB3890&quot;/&gt;&lt;wsp:rsid wsp:val=&quot;00AB3F9B&quot;/&gt;&lt;wsp:rsid wsp:val=&quot;00AB445C&quot;/&gt;&lt;wsp:rsid wsp:val=&quot;00AB469A&quot;/&gt;&lt;wsp:rsid wsp:val=&quot;00AB5794&quot;/&gt;&lt;wsp:rsid wsp:val=&quot;00AB6627&quot;/&gt;&lt;wsp:rsid wsp:val=&quot;00AB67F1&quot;/&gt;&lt;wsp:rsid wsp:val=&quot;00AB6ADB&quot;/&gt;&lt;wsp:rsid wsp:val=&quot;00AB6B1D&quot;/&gt;&lt;wsp:rsid wsp:val=&quot;00AB6E6E&quot;/&gt;&lt;wsp:rsid wsp:val=&quot;00AB7B4F&quot;/&gt;&lt;wsp:rsid wsp:val=&quot;00AC013F&quot;/&gt;&lt;wsp:rsid wsp:val=&quot;00AC0B74&quot;/&gt;&lt;wsp:rsid wsp:val=&quot;00AC10E7&quot;/&gt;&lt;wsp:rsid wsp:val=&quot;00AC14D0&quot;/&gt;&lt;wsp:rsid wsp:val=&quot;00AC1F74&quot;/&gt;&lt;wsp:rsid wsp:val=&quot;00AC29A1&quot;/&gt;&lt;wsp:rsid wsp:val=&quot;00AC2A59&quot;/&gt;&lt;wsp:rsid wsp:val=&quot;00AC363C&quot;/&gt;&lt;wsp:rsid wsp:val=&quot;00AC4A4B&quot;/&gt;&lt;wsp:rsid wsp:val=&quot;00AC53A9&quot;/&gt;&lt;wsp:rsid wsp:val=&quot;00AC6407&quot;/&gt;&lt;wsp:rsid wsp:val=&quot;00AC78B9&quot;/&gt;&lt;wsp:rsid wsp:val=&quot;00AD1126&quot;/&gt;&lt;wsp:rsid wsp:val=&quot;00AD1248&quot;/&gt;&lt;wsp:rsid wsp:val=&quot;00AD1447&quot;/&gt;&lt;wsp:rsid wsp:val=&quot;00AD2A5F&quot;/&gt;&lt;wsp:rsid wsp:val=&quot;00AD335F&quot;/&gt;&lt;wsp:rsid wsp:val=&quot;00AD3411&quot;/&gt;&lt;wsp:rsid wsp:val=&quot;00AD3434&quot;/&gt;&lt;wsp:rsid wsp:val=&quot;00AD47DE&quot;/&gt;&lt;wsp:rsid wsp:val=&quot;00AD4D26&quot;/&gt;&lt;wsp:rsid wsp:val=&quot;00AD5716&quot;/&gt;&lt;wsp:rsid wsp:val=&quot;00AD571A&quot;/&gt;&lt;wsp:rsid wsp:val=&quot;00AD6745&quot;/&gt;&lt;wsp:rsid wsp:val=&quot;00AD6B14&quot;/&gt;&lt;wsp:rsid wsp:val=&quot;00AD7B46&quot;/&gt;&lt;wsp:rsid wsp:val=&quot;00AE00F0&quot;/&gt;&lt;wsp:rsid wsp:val=&quot;00AE03F9&quot;/&gt;&lt;wsp:rsid wsp:val=&quot;00AE068A&quot;/&gt;&lt;wsp:rsid wsp:val=&quot;00AE0D8C&quot;/&gt;&lt;wsp:rsid wsp:val=&quot;00AE1D23&quot;/&gt;&lt;wsp:rsid wsp:val=&quot;00AE2BCA&quot;/&gt;&lt;wsp:rsid wsp:val=&quot;00AE2DD9&quot;/&gt;&lt;wsp:rsid wsp:val=&quot;00AE587B&quot;/&gt;&lt;wsp:rsid wsp:val=&quot;00AE616E&quot;/&gt;&lt;wsp:rsid wsp:val=&quot;00AE78E4&quot;/&gt;&lt;wsp:rsid wsp:val=&quot;00AE7A0E&quot;/&gt;&lt;wsp:rsid wsp:val=&quot;00AE7EED&quot;/&gt;&lt;wsp:rsid wsp:val=&quot;00AF077D&quot;/&gt;&lt;wsp:rsid wsp:val=&quot;00AF1297&quot;/&gt;&lt;wsp:rsid wsp:val=&quot;00AF1592&quot;/&gt;&lt;wsp:rsid wsp:val=&quot;00AF16E3&quot;/&gt;&lt;wsp:rsid wsp:val=&quot;00AF2079&quot;/&gt;&lt;wsp:rsid wsp:val=&quot;00AF3723&quot;/&gt;&lt;wsp:rsid wsp:val=&quot;00AF4261&quot;/&gt;&lt;wsp:rsid wsp:val=&quot;00AF44AC&quot;/&gt;&lt;wsp:rsid wsp:val=&quot;00AF57F5&quot;/&gt;&lt;wsp:rsid wsp:val=&quot;00AF6987&quot;/&gt;&lt;wsp:rsid wsp:val=&quot;00AF6EFA&quot;/&gt;&lt;wsp:rsid wsp:val=&quot;00AF7C5B&quot;/&gt;&lt;wsp:rsid wsp:val=&quot;00B004ED&quot;/&gt;&lt;wsp:rsid wsp:val=&quot;00B00BE7&quot;/&gt;&lt;wsp:rsid wsp:val=&quot;00B00D67&quot;/&gt;&lt;wsp:rsid wsp:val=&quot;00B00E35&quot;/&gt;&lt;wsp:rsid wsp:val=&quot;00B0124F&quot;/&gt;&lt;wsp:rsid wsp:val=&quot;00B02282&quot;/&gt;&lt;wsp:rsid wsp:val=&quot;00B02393&quot;/&gt;&lt;wsp:rsid wsp:val=&quot;00B02492&quot;/&gt;&lt;wsp:rsid wsp:val=&quot;00B024FD&quot;/&gt;&lt;wsp:rsid wsp:val=&quot;00B0263D&quot;/&gt;&lt;wsp:rsid wsp:val=&quot;00B03F41&quot;/&gt;&lt;wsp:rsid wsp:val=&quot;00B048DE&quot;/&gt;&lt;wsp:rsid wsp:val=&quot;00B04C7C&quot;/&gt;&lt;wsp:rsid wsp:val=&quot;00B04D51&quot;/&gt;&lt;wsp:rsid wsp:val=&quot;00B04DE9&quot;/&gt;&lt;wsp:rsid wsp:val=&quot;00B05D9D&quot;/&gt;&lt;wsp:rsid wsp:val=&quot;00B06D46&quot;/&gt;&lt;wsp:rsid wsp:val=&quot;00B06D60&quot;/&gt;&lt;wsp:rsid wsp:val=&quot;00B10888&quot;/&gt;&lt;wsp:rsid wsp:val=&quot;00B108F4&quot;/&gt;&lt;wsp:rsid wsp:val=&quot;00B11388&quot;/&gt;&lt;wsp:rsid wsp:val=&quot;00B12264&quot;/&gt;&lt;wsp:rsid wsp:val=&quot;00B12292&quot;/&gt;&lt;wsp:rsid wsp:val=&quot;00B12352&quot;/&gt;&lt;wsp:rsid wsp:val=&quot;00B12FE5&quot;/&gt;&lt;wsp:rsid wsp:val=&quot;00B13192&quot;/&gt;&lt;wsp:rsid wsp:val=&quot;00B13A4A&quot;/&gt;&lt;wsp:rsid wsp:val=&quot;00B14A50&quot;/&gt;&lt;wsp:rsid wsp:val=&quot;00B16348&quot;/&gt;&lt;wsp:rsid wsp:val=&quot;00B16815&quot;/&gt;&lt;wsp:rsid wsp:val=&quot;00B16B0F&quot;/&gt;&lt;wsp:rsid wsp:val=&quot;00B170B5&quot;/&gt;&lt;wsp:rsid wsp:val=&quot;00B17241&quot;/&gt;&lt;wsp:rsid wsp:val=&quot;00B17F64&quot;/&gt;&lt;wsp:rsid wsp:val=&quot;00B20AF6&quot;/&gt;&lt;wsp:rsid wsp:val=&quot;00B21566&quot;/&gt;&lt;wsp:rsid wsp:val=&quot;00B235D3&quot;/&gt;&lt;wsp:rsid wsp:val=&quot;00B23A8C&quot;/&gt;&lt;wsp:rsid wsp:val=&quot;00B23B36&quot;/&gt;&lt;wsp:rsid wsp:val=&quot;00B23C6F&quot;/&gt;&lt;wsp:rsid wsp:val=&quot;00B23DE6&quot;/&gt;&lt;wsp:rsid wsp:val=&quot;00B2400B&quot;/&gt;&lt;wsp:rsid wsp:val=&quot;00B243EE&quot;/&gt;&lt;wsp:rsid wsp:val=&quot;00B24E4C&quot;/&gt;&lt;wsp:rsid wsp:val=&quot;00B255C5&quot;/&gt;&lt;wsp:rsid wsp:val=&quot;00B26481&quot;/&gt;&lt;wsp:rsid wsp:val=&quot;00B26CC2&quot;/&gt;&lt;wsp:rsid wsp:val=&quot;00B27A7C&quot;/&gt;&lt;wsp:rsid wsp:val=&quot;00B27AFD&quot;/&gt;&lt;wsp:rsid wsp:val=&quot;00B27FBC&quot;/&gt;&lt;wsp:rsid wsp:val=&quot;00B307FE&quot;/&gt;&lt;wsp:rsid wsp:val=&quot;00B310AB&quot;/&gt;&lt;wsp:rsid wsp:val=&quot;00B313E7&quot;/&gt;&lt;wsp:rsid wsp:val=&quot;00B32BEC&quot;/&gt;&lt;wsp:rsid wsp:val=&quot;00B3349B&quot;/&gt;&lt;wsp:rsid wsp:val=&quot;00B33670&quot;/&gt;&lt;wsp:rsid wsp:val=&quot;00B337A3&quot;/&gt;&lt;wsp:rsid wsp:val=&quot;00B34248&quot;/&gt;&lt;wsp:rsid wsp:val=&quot;00B34D59&quot;/&gt;&lt;wsp:rsid wsp:val=&quot;00B35669&quot;/&gt;&lt;wsp:rsid wsp:val=&quot;00B35B36&quot;/&gt;&lt;wsp:rsid wsp:val=&quot;00B35B5F&quot;/&gt;&lt;wsp:rsid wsp:val=&quot;00B35EE4&quot;/&gt;&lt;wsp:rsid wsp:val=&quot;00B367E0&quot;/&gt;&lt;wsp:rsid wsp:val=&quot;00B367E4&quot;/&gt;&lt;wsp:rsid wsp:val=&quot;00B36DBA&quot;/&gt;&lt;wsp:rsid wsp:val=&quot;00B36F77&quot;/&gt;&lt;wsp:rsid wsp:val=&quot;00B3783B&quot;/&gt;&lt;wsp:rsid wsp:val=&quot;00B37EA9&quot;/&gt;&lt;wsp:rsid wsp:val=&quot;00B406F8&quot;/&gt;&lt;wsp:rsid wsp:val=&quot;00B40B18&quot;/&gt;&lt;wsp:rsid wsp:val=&quot;00B42964&quot;/&gt;&lt;wsp:rsid wsp:val=&quot;00B45DE5&quot;/&gt;&lt;wsp:rsid wsp:val=&quot;00B46667&quot;/&gt;&lt;wsp:rsid wsp:val=&quot;00B46907&quot;/&gt;&lt;wsp:rsid wsp:val=&quot;00B46BEF&quot;/&gt;&lt;wsp:rsid wsp:val=&quot;00B46CE9&quot;/&gt;&lt;wsp:rsid wsp:val=&quot;00B46FDC&quot;/&gt;&lt;wsp:rsid wsp:val=&quot;00B472BE&quot;/&gt;&lt;wsp:rsid wsp:val=&quot;00B47313&quot;/&gt;&lt;wsp:rsid wsp:val=&quot;00B47376&quot;/&gt;&lt;wsp:rsid wsp:val=&quot;00B47CC8&quot;/&gt;&lt;wsp:rsid wsp:val=&quot;00B47D4C&quot;/&gt;&lt;wsp:rsid wsp:val=&quot;00B5088A&quot;/&gt;&lt;wsp:rsid wsp:val=&quot;00B50CC1&quot;/&gt;&lt;wsp:rsid wsp:val=&quot;00B50D28&quot;/&gt;&lt;wsp:rsid wsp:val=&quot;00B515AA&quot;/&gt;&lt;wsp:rsid wsp:val=&quot;00B51EF5&quot;/&gt;&lt;wsp:rsid wsp:val=&quot;00B5277A&quot;/&gt;&lt;wsp:rsid wsp:val=&quot;00B53019&quot;/&gt;&lt;wsp:rsid wsp:val=&quot;00B53160&quot;/&gt;&lt;wsp:rsid wsp:val=&quot;00B534BF&quot;/&gt;&lt;wsp:rsid wsp:val=&quot;00B543D0&quot;/&gt;&lt;wsp:rsid wsp:val=&quot;00B54A7C&quot;/&gt;&lt;wsp:rsid wsp:val=&quot;00B556F5&quot;/&gt;&lt;wsp:rsid wsp:val=&quot;00B5719B&quot;/&gt;&lt;wsp:rsid wsp:val=&quot;00B578C6&quot;/&gt;&lt;wsp:rsid wsp:val=&quot;00B57FE3&quot;/&gt;&lt;wsp:rsid wsp:val=&quot;00B605C8&quot;/&gt;&lt;wsp:rsid wsp:val=&quot;00B60676&quot;/&gt;&lt;wsp:rsid wsp:val=&quot;00B6142B&quot;/&gt;&lt;wsp:rsid wsp:val=&quot;00B62A3D&quot;/&gt;&lt;wsp:rsid wsp:val=&quot;00B642E5&quot;/&gt;&lt;wsp:rsid wsp:val=&quot;00B6447A&quot;/&gt;&lt;wsp:rsid wsp:val=&quot;00B64D42&quot;/&gt;&lt;wsp:rsid wsp:val=&quot;00B66295&quot;/&gt;&lt;wsp:rsid wsp:val=&quot;00B66B2C&quot;/&gt;&lt;wsp:rsid wsp:val=&quot;00B67604&quot;/&gt;&lt;wsp:rsid wsp:val=&quot;00B70866&quot;/&gt;&lt;wsp:rsid wsp:val=&quot;00B70AB5&quot;/&gt;&lt;wsp:rsid wsp:val=&quot;00B70AF7&quot;/&gt;&lt;wsp:rsid wsp:val=&quot;00B71325&quot;/&gt;&lt;wsp:rsid wsp:val=&quot;00B71F4D&quot;/&gt;&lt;wsp:rsid wsp:val=&quot;00B721A8&quot;/&gt;&lt;wsp:rsid wsp:val=&quot;00B722CC&quot;/&gt;&lt;wsp:rsid wsp:val=&quot;00B72852&quot;/&gt;&lt;wsp:rsid wsp:val=&quot;00B72ED7&quot;/&gt;&lt;wsp:rsid wsp:val=&quot;00B738FC&quot;/&gt;&lt;wsp:rsid wsp:val=&quot;00B73E76&quot;/&gt;&lt;wsp:rsid wsp:val=&quot;00B73F17&quot;/&gt;&lt;wsp:rsid wsp:val=&quot;00B741EA&quot;/&gt;&lt;wsp:rsid wsp:val=&quot;00B74EE5&quot;/&gt;&lt;wsp:rsid wsp:val=&quot;00B7571C&quot;/&gt;&lt;wsp:rsid wsp:val=&quot;00B7603E&quot;/&gt;&lt;wsp:rsid wsp:val=&quot;00B76DE1&quot;/&gt;&lt;wsp:rsid wsp:val=&quot;00B77A76&quot;/&gt;&lt;wsp:rsid wsp:val=&quot;00B77B1A&quot;/&gt;&lt;wsp:rsid wsp:val=&quot;00B77C79&quot;/&gt;&lt;wsp:rsid wsp:val=&quot;00B80044&quot;/&gt;&lt;wsp:rsid wsp:val=&quot;00B80A0F&quot;/&gt;&lt;wsp:rsid wsp:val=&quot;00B81742&quot;/&gt;&lt;wsp:rsid wsp:val=&quot;00B82004&quot;/&gt;&lt;wsp:rsid wsp:val=&quot;00B824AD&quot;/&gt;&lt;wsp:rsid wsp:val=&quot;00B824CF&quot;/&gt;&lt;wsp:rsid wsp:val=&quot;00B82C43&quot;/&gt;&lt;wsp:rsid wsp:val=&quot;00B82DAB&quot;/&gt;&lt;wsp:rsid wsp:val=&quot;00B83376&quot;/&gt;&lt;wsp:rsid wsp:val=&quot;00B8396F&quot;/&gt;&lt;wsp:rsid wsp:val=&quot;00B8407F&quot;/&gt;&lt;wsp:rsid wsp:val=&quot;00B846CD&quot;/&gt;&lt;wsp:rsid wsp:val=&quot;00B84780&quot;/&gt;&lt;wsp:rsid wsp:val=&quot;00B8585E&quot;/&gt;&lt;wsp:rsid wsp:val=&quot;00B868E9&quot;/&gt;&lt;wsp:rsid wsp:val=&quot;00B8765D&quot;/&gt;&lt;wsp:rsid wsp:val=&quot;00B879EE&quot;/&gt;&lt;wsp:rsid wsp:val=&quot;00B908C4&quot;/&gt;&lt;wsp:rsid wsp:val=&quot;00B913F2&quot;/&gt;&lt;wsp:rsid wsp:val=&quot;00B9152C&quot;/&gt;&lt;wsp:rsid wsp:val=&quot;00B93582&quot;/&gt;&lt;wsp:rsid wsp:val=&quot;00B9444D&quot;/&gt;&lt;wsp:rsid wsp:val=&quot;00B94C72&quot;/&gt;&lt;wsp:rsid wsp:val=&quot;00B94C73&quot;/&gt;&lt;wsp:rsid wsp:val=&quot;00B950E1&quot;/&gt;&lt;wsp:rsid wsp:val=&quot;00B956C0&quot;/&gt;&lt;wsp:rsid wsp:val=&quot;00B95CAF&quot;/&gt;&lt;wsp:rsid wsp:val=&quot;00B95E97&quot;/&gt;&lt;wsp:rsid wsp:val=&quot;00B95E9D&quot;/&gt;&lt;wsp:rsid wsp:val=&quot;00B97CB6&quot;/&gt;&lt;wsp:rsid wsp:val=&quot;00BA0E5C&quot;/&gt;&lt;wsp:rsid wsp:val=&quot;00BA0F15&quot;/&gt;&lt;wsp:rsid wsp:val=&quot;00BA1120&quot;/&gt;&lt;wsp:rsid wsp:val=&quot;00BA1EA5&quot;/&gt;&lt;wsp:rsid wsp:val=&quot;00BA34C4&quot;/&gt;&lt;wsp:rsid wsp:val=&quot;00BA425F&quot;/&gt;&lt;wsp:rsid wsp:val=&quot;00BA4EE1&quot;/&gt;&lt;wsp:rsid wsp:val=&quot;00BA5D46&quot;/&gt;&lt;wsp:rsid wsp:val=&quot;00BA6521&quot;/&gt;&lt;wsp:rsid wsp:val=&quot;00BA76F6&quot;/&gt;&lt;wsp:rsid wsp:val=&quot;00BA79BA&quot;/&gt;&lt;wsp:rsid wsp:val=&quot;00BA7BFB&quot;/&gt;&lt;wsp:rsid wsp:val=&quot;00BB01EE&quot;/&gt;&lt;wsp:rsid wsp:val=&quot;00BB0DEA&quot;/&gt;&lt;wsp:rsid wsp:val=&quot;00BB1C75&quot;/&gt;&lt;wsp:rsid wsp:val=&quot;00BB2B93&quot;/&gt;&lt;wsp:rsid wsp:val=&quot;00BB2D03&quot;/&gt;&lt;wsp:rsid wsp:val=&quot;00BB2EA4&quot;/&gt;&lt;wsp:rsid wsp:val=&quot;00BB2F3B&quot;/&gt;&lt;wsp:rsid wsp:val=&quot;00BB3C8B&quot;/&gt;&lt;wsp:rsid wsp:val=&quot;00BB3E76&quot;/&gt;&lt;wsp:rsid wsp:val=&quot;00BB45F7&quot;/&gt;&lt;wsp:rsid wsp:val=&quot;00BB5456&quot;/&gt;&lt;wsp:rsid wsp:val=&quot;00BB56A1&quot;/&gt;&lt;wsp:rsid wsp:val=&quot;00BB58FA&quot;/&gt;&lt;wsp:rsid wsp:val=&quot;00BB618D&quot;/&gt;&lt;wsp:rsid wsp:val=&quot;00BB697A&quot;/&gt;&lt;wsp:rsid wsp:val=&quot;00BB7F0F&quot;/&gt;&lt;wsp:rsid wsp:val=&quot;00BC0C5F&quot;/&gt;&lt;wsp:rsid wsp:val=&quot;00BC0E82&quot;/&gt;&lt;wsp:rsid wsp:val=&quot;00BC0EB2&quot;/&gt;&lt;wsp:rsid wsp:val=&quot;00BC0F1A&quot;/&gt;&lt;wsp:rsid wsp:val=&quot;00BC147C&quot;/&gt;&lt;wsp:rsid wsp:val=&quot;00BC1C0D&quot;/&gt;&lt;wsp:rsid wsp:val=&quot;00BC1C2C&quot;/&gt;&lt;wsp:rsid wsp:val=&quot;00BC212B&quot;/&gt;&lt;wsp:rsid wsp:val=&quot;00BC21D0&quot;/&gt;&lt;wsp:rsid wsp:val=&quot;00BC265D&quot;/&gt;&lt;wsp:rsid wsp:val=&quot;00BC31E8&quot;/&gt;&lt;wsp:rsid wsp:val=&quot;00BC3806&quot;/&gt;&lt;wsp:rsid wsp:val=&quot;00BC3A2C&quot;/&gt;&lt;wsp:rsid wsp:val=&quot;00BC4B68&quot;/&gt;&lt;wsp:rsid wsp:val=&quot;00BC6C01&quot;/&gt;&lt;wsp:rsid wsp:val=&quot;00BD2193&quot;/&gt;&lt;wsp:rsid wsp:val=&quot;00BD3337&quot;/&gt;&lt;wsp:rsid wsp:val=&quot;00BD37B5&quot;/&gt;&lt;wsp:rsid wsp:val=&quot;00BD3CE0&quot;/&gt;&lt;wsp:rsid wsp:val=&quot;00BD4015&quot;/&gt;&lt;wsp:rsid wsp:val=&quot;00BD4A50&quot;/&gt;&lt;wsp:rsid wsp:val=&quot;00BD570F&quot;/&gt;&lt;wsp:rsid wsp:val=&quot;00BD5B34&quot;/&gt;&lt;wsp:rsid wsp:val=&quot;00BD6011&quot;/&gt;&lt;wsp:rsid wsp:val=&quot;00BD62EB&quot;/&gt;&lt;wsp:rsid wsp:val=&quot;00BD679A&quot;/&gt;&lt;wsp:rsid wsp:val=&quot;00BD7854&quot;/&gt;&lt;wsp:rsid wsp:val=&quot;00BE04D4&quot;/&gt;&lt;wsp:rsid wsp:val=&quot;00BE0932&quot;/&gt;&lt;wsp:rsid wsp:val=&quot;00BE09D4&quot;/&gt;&lt;wsp:rsid wsp:val=&quot;00BE100B&quot;/&gt;&lt;wsp:rsid wsp:val=&quot;00BE2C12&quot;/&gt;&lt;wsp:rsid wsp:val=&quot;00BE2C20&quot;/&gt;&lt;wsp:rsid wsp:val=&quot;00BE2EF0&quot;/&gt;&lt;wsp:rsid wsp:val=&quot;00BE3342&quot;/&gt;&lt;wsp:rsid wsp:val=&quot;00BE4149&quot;/&gt;&lt;wsp:rsid wsp:val=&quot;00BE4588&quot;/&gt;&lt;wsp:rsid wsp:val=&quot;00BE5356&quot;/&gt;&lt;wsp:rsid wsp:val=&quot;00BE629B&quot;/&gt;&lt;wsp:rsid wsp:val=&quot;00BE72E6&quot;/&gt;&lt;wsp:rsid wsp:val=&quot;00BF06C5&quot;/&gt;&lt;wsp:rsid wsp:val=&quot;00BF0CA5&quot;/&gt;&lt;wsp:rsid wsp:val=&quot;00BF2748&quot;/&gt;&lt;wsp:rsid wsp:val=&quot;00BF2B76&quot;/&gt;&lt;wsp:rsid wsp:val=&quot;00BF2DDF&quot;/&gt;&lt;wsp:rsid wsp:val=&quot;00BF55CE&quot;/&gt;&lt;wsp:rsid wsp:val=&quot;00BF6A25&quot;/&gt;&lt;wsp:rsid wsp:val=&quot;00BF6C53&quot;/&gt;&lt;wsp:rsid wsp:val=&quot;00BF6E7A&quot;/&gt;&lt;wsp:rsid wsp:val=&quot;00BF6F96&quot;/&gt;&lt;wsp:rsid wsp:val=&quot;00BF7B72&quot;/&gt;&lt;wsp:rsid wsp:val=&quot;00BF7D5C&quot;/&gt;&lt;wsp:rsid wsp:val=&quot;00BF7F96&quot;/&gt;&lt;wsp:rsid wsp:val=&quot;00C00E93&quot;/&gt;&lt;wsp:rsid wsp:val=&quot;00C012C8&quot;/&gt;&lt;wsp:rsid wsp:val=&quot;00C0144C&quot;/&gt;&lt;wsp:rsid wsp:val=&quot;00C01A66&quot;/&gt;&lt;wsp:rsid wsp:val=&quot;00C023C9&quot;/&gt;&lt;wsp:rsid wsp:val=&quot;00C02B34&quot;/&gt;&lt;wsp:rsid wsp:val=&quot;00C031D6&quot;/&gt;&lt;wsp:rsid wsp:val=&quot;00C0333F&quot;/&gt;&lt;wsp:rsid wsp:val=&quot;00C0369D&quot;/&gt;&lt;wsp:rsid wsp:val=&quot;00C0456B&quot;/&gt;&lt;wsp:rsid wsp:val=&quot;00C051AE&quot;/&gt;&lt;wsp:rsid wsp:val=&quot;00C05B46&quot;/&gt;&lt;wsp:rsid wsp:val=&quot;00C05F41&quot;/&gt;&lt;wsp:rsid wsp:val=&quot;00C07F3D&quot;/&gt;&lt;wsp:rsid wsp:val=&quot;00C10053&quot;/&gt;&lt;wsp:rsid wsp:val=&quot;00C10C4C&quot;/&gt;&lt;wsp:rsid wsp:val=&quot;00C10F45&quot;/&gt;&lt;wsp:rsid wsp:val=&quot;00C12528&quot;/&gt;&lt;wsp:rsid wsp:val=&quot;00C148D2&quot;/&gt;&lt;wsp:rsid wsp:val=&quot;00C15C13&quot;/&gt;&lt;wsp:rsid wsp:val=&quot;00C15F82&quot;/&gt;&lt;wsp:rsid wsp:val=&quot;00C16FFC&quot;/&gt;&lt;wsp:rsid wsp:val=&quot;00C17647&quot;/&gt;&lt;wsp:rsid wsp:val=&quot;00C1783B&quot;/&gt;&lt;wsp:rsid wsp:val=&quot;00C17F82&quot;/&gt;&lt;wsp:rsid wsp:val=&quot;00C2055A&quot;/&gt;&lt;wsp:rsid wsp:val=&quot;00C20AEA&quot;/&gt;&lt;wsp:rsid wsp:val=&quot;00C2107B&quot;/&gt;&lt;wsp:rsid wsp:val=&quot;00C2226F&quot;/&gt;&lt;wsp:rsid wsp:val=&quot;00C224FD&quot;/&gt;&lt;wsp:rsid wsp:val=&quot;00C2279B&quot;/&gt;&lt;wsp:rsid wsp:val=&quot;00C238F5&quot;/&gt;&lt;wsp:rsid wsp:val=&quot;00C23EAF&quot;/&gt;&lt;wsp:rsid wsp:val=&quot;00C254DB&quot;/&gt;&lt;wsp:rsid wsp:val=&quot;00C25721&quot;/&gt;&lt;wsp:rsid wsp:val=&quot;00C25DC8&quot;/&gt;&lt;wsp:rsid wsp:val=&quot;00C3023F&quot;/&gt;&lt;wsp:rsid wsp:val=&quot;00C30871&quot;/&gt;&lt;wsp:rsid wsp:val=&quot;00C30A62&quot;/&gt;&lt;wsp:rsid wsp:val=&quot;00C30C08&quot;/&gt;&lt;wsp:rsid wsp:val=&quot;00C30D31&quot;/&gt;&lt;wsp:rsid wsp:val=&quot;00C30FD7&quot;/&gt;&lt;wsp:rsid wsp:val=&quot;00C312E4&quot;/&gt;&lt;wsp:rsid wsp:val=&quot;00C323ED&quot;/&gt;&lt;wsp:rsid wsp:val=&quot;00C32857&quot;/&gt;&lt;wsp:rsid wsp:val=&quot;00C32943&quot;/&gt;&lt;wsp:rsid wsp:val=&quot;00C32984&quot;/&gt;&lt;wsp:rsid wsp:val=&quot;00C32D46&quot;/&gt;&lt;wsp:rsid wsp:val=&quot;00C3315C&quot;/&gt;&lt;wsp:rsid wsp:val=&quot;00C335AF&quot;/&gt;&lt;wsp:rsid wsp:val=&quot;00C33A8D&quot;/&gt;&lt;wsp:rsid wsp:val=&quot;00C33AF2&quot;/&gt;&lt;wsp:rsid wsp:val=&quot;00C35331&quot;/&gt;&lt;wsp:rsid wsp:val=&quot;00C35C4A&quot;/&gt;&lt;wsp:rsid wsp:val=&quot;00C3629B&quot;/&gt;&lt;wsp:rsid wsp:val=&quot;00C3686A&quot;/&gt;&lt;wsp:rsid wsp:val=&quot;00C370F8&quot;/&gt;&lt;wsp:rsid wsp:val=&quot;00C3757E&quot;/&gt;&lt;wsp:rsid wsp:val=&quot;00C378A5&quot;/&gt;&lt;wsp:rsid wsp:val=&quot;00C3798E&quot;/&gt;&lt;wsp:rsid wsp:val=&quot;00C40057&quot;/&gt;&lt;wsp:rsid wsp:val=&quot;00C405CD&quot;/&gt;&lt;wsp:rsid wsp:val=&quot;00C4184F&quot;/&gt;&lt;wsp:rsid wsp:val=&quot;00C419CC&quot;/&gt;&lt;wsp:rsid wsp:val=&quot;00C4200B&quot;/&gt;&lt;wsp:rsid wsp:val=&quot;00C42E99&quot;/&gt;&lt;wsp:rsid wsp:val=&quot;00C43749&quot;/&gt;&lt;wsp:rsid wsp:val=&quot;00C44363&quot;/&gt;&lt;wsp:rsid wsp:val=&quot;00C44591&quot;/&gt;&lt;wsp:rsid wsp:val=&quot;00C4495F&quot;/&gt;&lt;wsp:rsid wsp:val=&quot;00C467AD&quot;/&gt;&lt;wsp:rsid wsp:val=&quot;00C46E3A&quot;/&gt;&lt;wsp:rsid wsp:val=&quot;00C475D1&quot;/&gt;&lt;wsp:rsid wsp:val=&quot;00C47FDB&quot;/&gt;&lt;wsp:rsid wsp:val=&quot;00C50527&quot;/&gt;&lt;wsp:rsid wsp:val=&quot;00C50AA8&quot;/&gt;&lt;wsp:rsid wsp:val=&quot;00C51464&quot;/&gt;&lt;wsp:rsid wsp:val=&quot;00C51D39&quot;/&gt;&lt;wsp:rsid wsp:val=&quot;00C527A9&quot;/&gt;&lt;wsp:rsid wsp:val=&quot;00C53485&quot;/&gt;&lt;wsp:rsid wsp:val=&quot;00C535D8&quot;/&gt;&lt;wsp:rsid wsp:val=&quot;00C54697&quot;/&gt;&lt;wsp:rsid wsp:val=&quot;00C54BCB&quot;/&gt;&lt;wsp:rsid wsp:val=&quot;00C55E83&quot;/&gt;&lt;wsp:rsid wsp:val=&quot;00C57512&quot;/&gt;&lt;wsp:rsid wsp:val=&quot;00C60090&quot;/&gt;&lt;wsp:rsid wsp:val=&quot;00C60F8E&quot;/&gt;&lt;wsp:rsid wsp:val=&quot;00C61613&quot;/&gt;&lt;wsp:rsid wsp:val=&quot;00C618E8&quot;/&gt;&lt;wsp:rsid wsp:val=&quot;00C61A4A&quot;/&gt;&lt;wsp:rsid wsp:val=&quot;00C61C8C&quot;/&gt;&lt;wsp:rsid wsp:val=&quot;00C626BE&quot;/&gt;&lt;wsp:rsid wsp:val=&quot;00C62C0F&quot;/&gt;&lt;wsp:rsid wsp:val=&quot;00C62E14&quot;/&gt;&lt;wsp:rsid wsp:val=&quot;00C63E46&quot;/&gt;&lt;wsp:rsid wsp:val=&quot;00C63ED4&quot;/&gt;&lt;wsp:rsid wsp:val=&quot;00C64501&quot;/&gt;&lt;wsp:rsid wsp:val=&quot;00C64F67&quot;/&gt;&lt;wsp:rsid wsp:val=&quot;00C64FAD&quot;/&gt;&lt;wsp:rsid wsp:val=&quot;00C663C2&quot;/&gt;&lt;wsp:rsid wsp:val=&quot;00C66581&quot;/&gt;&lt;wsp:rsid wsp:val=&quot;00C66E15&quot;/&gt;&lt;wsp:rsid wsp:val=&quot;00C67415&quot;/&gt;&lt;wsp:rsid wsp:val=&quot;00C674B8&quot;/&gt;&lt;wsp:rsid wsp:val=&quot;00C675B1&quot;/&gt;&lt;wsp:rsid wsp:val=&quot;00C67BA0&quot;/&gt;&lt;wsp:rsid wsp:val=&quot;00C7012A&quot;/&gt;&lt;wsp:rsid wsp:val=&quot;00C71058&quot;/&gt;&lt;wsp:rsid wsp:val=&quot;00C71D2C&quot;/&gt;&lt;wsp:rsid wsp:val=&quot;00C73E92&quot;/&gt;&lt;wsp:rsid wsp:val=&quot;00C74A08&quot;/&gt;&lt;wsp:rsid wsp:val=&quot;00C74B6F&quot;/&gt;&lt;wsp:rsid wsp:val=&quot;00C75B11&quot;/&gt;&lt;wsp:rsid wsp:val=&quot;00C75F8D&quot;/&gt;&lt;wsp:rsid wsp:val=&quot;00C772E2&quot;/&gt;&lt;wsp:rsid wsp:val=&quot;00C773D6&quot;/&gt;&lt;wsp:rsid wsp:val=&quot;00C77505&quot;/&gt;&lt;wsp:rsid wsp:val=&quot;00C80570&quot;/&gt;&lt;wsp:rsid wsp:val=&quot;00C806BA&quot;/&gt;&lt;wsp:rsid wsp:val=&quot;00C81064&quot;/&gt;&lt;wsp:rsid wsp:val=&quot;00C8139B&quot;/&gt;&lt;wsp:rsid wsp:val=&quot;00C81732&quot;/&gt;&lt;wsp:rsid wsp:val=&quot;00C820F8&quot;/&gt;&lt;wsp:rsid wsp:val=&quot;00C8216D&quot;/&gt;&lt;wsp:rsid wsp:val=&quot;00C82313&quot;/&gt;&lt;wsp:rsid wsp:val=&quot;00C82F2F&quot;/&gt;&lt;wsp:rsid wsp:val=&quot;00C830B7&quot;/&gt;&lt;wsp:rsid wsp:val=&quot;00C84236&quot;/&gt;&lt;wsp:rsid wsp:val=&quot;00C859D1&quot;/&gt;&lt;wsp:rsid wsp:val=&quot;00C86319&quot;/&gt;&lt;wsp:rsid wsp:val=&quot;00C86A00&quot;/&gt;&lt;wsp:rsid wsp:val=&quot;00C900C1&quot;/&gt;&lt;wsp:rsid wsp:val=&quot;00C900CF&quot;/&gt;&lt;wsp:rsid wsp:val=&quot;00C90D4C&quot;/&gt;&lt;wsp:rsid wsp:val=&quot;00C910A5&quot;/&gt;&lt;wsp:rsid wsp:val=&quot;00C9127D&quot;/&gt;&lt;wsp:rsid wsp:val=&quot;00C924C4&quot;/&gt;&lt;wsp:rsid wsp:val=&quot;00C930B9&quot;/&gt;&lt;wsp:rsid wsp:val=&quot;00C93690&quot;/&gt;&lt;wsp:rsid wsp:val=&quot;00C93E21&quot;/&gt;&lt;wsp:rsid wsp:val=&quot;00C947E2&quot;/&gt;&lt;wsp:rsid wsp:val=&quot;00C95166&quot;/&gt;&lt;wsp:rsid wsp:val=&quot;00C9557B&quot;/&gt;&lt;wsp:rsid wsp:val=&quot;00C958C2&quot;/&gt;&lt;wsp:rsid wsp:val=&quot;00C95DA5&quot;/&gt;&lt;wsp:rsid wsp:val=&quot;00C974D3&quot;/&gt;&lt;wsp:rsid wsp:val=&quot;00CA09FE&quot;/&gt;&lt;wsp:rsid wsp:val=&quot;00CA0EE3&quot;/&gt;&lt;wsp:rsid wsp:val=&quot;00CA11EF&quot;/&gt;&lt;wsp:rsid wsp:val=&quot;00CA2324&quot;/&gt;&lt;wsp:rsid wsp:val=&quot;00CA31EA&quot;/&gt;&lt;wsp:rsid wsp:val=&quot;00CA3821&quot;/&gt;&lt;wsp:rsid wsp:val=&quot;00CA4146&quot;/&gt;&lt;wsp:rsid wsp:val=&quot;00CA44E8&quot;/&gt;&lt;wsp:rsid wsp:val=&quot;00CA464B&quot;/&gt;&lt;wsp:rsid wsp:val=&quot;00CA46F4&quot;/&gt;&lt;wsp:rsid wsp:val=&quot;00CA488F&quot;/&gt;&lt;wsp:rsid wsp:val=&quot;00CA4CE8&quot;/&gt;&lt;wsp:rsid wsp:val=&quot;00CA59E9&quot;/&gt;&lt;wsp:rsid wsp:val=&quot;00CA5E08&quot;/&gt;&lt;wsp:rsid wsp:val=&quot;00CA60F9&quot;/&gt;&lt;wsp:rsid wsp:val=&quot;00CA60FF&quot;/&gt;&lt;wsp:rsid wsp:val=&quot;00CA657A&quot;/&gt;&lt;wsp:rsid wsp:val=&quot;00CA6E57&quot;/&gt;&lt;wsp:rsid wsp:val=&quot;00CA6FBE&quot;/&gt;&lt;wsp:rsid wsp:val=&quot;00CA7482&quot;/&gt;&lt;wsp:rsid wsp:val=&quot;00CA7C9C&quot;/&gt;&lt;wsp:rsid wsp:val=&quot;00CB00E9&quot;/&gt;&lt;wsp:rsid wsp:val=&quot;00CB24A0&quot;/&gt;&lt;wsp:rsid wsp:val=&quot;00CB3845&quot;/&gt;&lt;wsp:rsid wsp:val=&quot;00CB3A08&quot;/&gt;&lt;wsp:rsid wsp:val=&quot;00CB3CE2&quot;/&gt;&lt;wsp:rsid wsp:val=&quot;00CB56F2&quot;/&gt;&lt;wsp:rsid wsp:val=&quot;00CB7E6D&quot;/&gt;&lt;wsp:rsid wsp:val=&quot;00CB7ED4&quot;/&gt;&lt;wsp:rsid wsp:val=&quot;00CC0207&quot;/&gt;&lt;wsp:rsid wsp:val=&quot;00CC1648&quot;/&gt;&lt;wsp:rsid wsp:val=&quot;00CC1C32&quot;/&gt;&lt;wsp:rsid wsp:val=&quot;00CC2721&quot;/&gt;&lt;wsp:rsid wsp:val=&quot;00CC3043&quot;/&gt;&lt;wsp:rsid wsp:val=&quot;00CC30B1&quot;/&gt;&lt;wsp:rsid wsp:val=&quot;00CC367A&quot;/&gt;&lt;wsp:rsid wsp:val=&quot;00CC3AB1&quot;/&gt;&lt;wsp:rsid wsp:val=&quot;00CC455A&quot;/&gt;&lt;wsp:rsid wsp:val=&quot;00CC46A9&quot;/&gt;&lt;wsp:rsid wsp:val=&quot;00CC48F2&quot;/&gt;&lt;wsp:rsid wsp:val=&quot;00CC4AAD&quot;/&gt;&lt;wsp:rsid wsp:val=&quot;00CC4D73&quot;/&gt;&lt;wsp:rsid wsp:val=&quot;00CC5AF8&quot;/&gt;&lt;wsp:rsid wsp:val=&quot;00CC69BE&quot;/&gt;&lt;wsp:rsid wsp:val=&quot;00CC6DC3&quot;/&gt;&lt;wsp:rsid wsp:val=&quot;00CC6ED9&quot;/&gt;&lt;wsp:rsid wsp:val=&quot;00CC72B6&quot;/&gt;&lt;wsp:rsid wsp:val=&quot;00CD1BE0&quot;/&gt;&lt;wsp:rsid wsp:val=&quot;00CD1D13&quot;/&gt;&lt;wsp:rsid wsp:val=&quot;00CD2E2E&quot;/&gt;&lt;wsp:rsid wsp:val=&quot;00CD382B&quot;/&gt;&lt;wsp:rsid wsp:val=&quot;00CD421A&quot;/&gt;&lt;wsp:rsid wsp:val=&quot;00CD4E84&quot;/&gt;&lt;wsp:rsid wsp:val=&quot;00CD5685&quot;/&gt;&lt;wsp:rsid wsp:val=&quot;00CD57D8&quot;/&gt;&lt;wsp:rsid wsp:val=&quot;00CD6558&quot;/&gt;&lt;wsp:rsid wsp:val=&quot;00CD6559&quot;/&gt;&lt;wsp:rsid wsp:val=&quot;00CD6B1B&quot;/&gt;&lt;wsp:rsid wsp:val=&quot;00CD6C0D&quot;/&gt;&lt;wsp:rsid wsp:val=&quot;00CD7D31&quot;/&gt;&lt;wsp:rsid wsp:val=&quot;00CD7DD2&quot;/&gt;&lt;wsp:rsid wsp:val=&quot;00CE271B&quot;/&gt;&lt;wsp:rsid wsp:val=&quot;00CE322D&quot;/&gt;&lt;wsp:rsid wsp:val=&quot;00CE4EFC&quot;/&gt;&lt;wsp:rsid wsp:val=&quot;00CE5806&quot;/&gt;&lt;wsp:rsid wsp:val=&quot;00CE66E1&quot;/&gt;&lt;wsp:rsid wsp:val=&quot;00CE6963&quot;/&gt;&lt;wsp:rsid wsp:val=&quot;00CE69DF&quot;/&gt;&lt;wsp:rsid wsp:val=&quot;00CE71A2&quot;/&gt;&lt;wsp:rsid wsp:val=&quot;00CE730E&quot;/&gt;&lt;wsp:rsid wsp:val=&quot;00CF0E73&quot;/&gt;&lt;wsp:rsid wsp:val=&quot;00CF173A&quot;/&gt;&lt;wsp:rsid wsp:val=&quot;00CF17D7&quot;/&gt;&lt;wsp:rsid wsp:val=&quot;00CF1FCF&quot;/&gt;&lt;wsp:rsid wsp:val=&quot;00CF215B&quot;/&gt;&lt;wsp:rsid wsp:val=&quot;00CF2184&quot;/&gt;&lt;wsp:rsid wsp:val=&quot;00CF27C6&quot;/&gt;&lt;wsp:rsid wsp:val=&quot;00CF47C4&quot;/&gt;&lt;wsp:rsid wsp:val=&quot;00CF5867&quot;/&gt;&lt;wsp:rsid wsp:val=&quot;00CF5AFA&quot;/&gt;&lt;wsp:rsid wsp:val=&quot;00CF649D&quot;/&gt;&lt;wsp:rsid wsp:val=&quot;00CF6640&quot;/&gt;&lt;wsp:rsid wsp:val=&quot;00CF6ED4&quot;/&gt;&lt;wsp:rsid wsp:val=&quot;00D0023E&quot;/&gt;&lt;wsp:rsid wsp:val=&quot;00D00E5C&quot;/&gt;&lt;wsp:rsid wsp:val=&quot;00D00EC2&quot;/&gt;&lt;wsp:rsid wsp:val=&quot;00D01A28&quot;/&gt;&lt;wsp:rsid wsp:val=&quot;00D02D2E&quot;/&gt;&lt;wsp:rsid wsp:val=&quot;00D03608&quot;/&gt;&lt;wsp:rsid wsp:val=&quot;00D0365C&quot;/&gt;&lt;wsp:rsid wsp:val=&quot;00D03E13&quot;/&gt;&lt;wsp:rsid wsp:val=&quot;00D04910&quot;/&gt;&lt;wsp:rsid wsp:val=&quot;00D04C43&quot;/&gt;&lt;wsp:rsid wsp:val=&quot;00D05C50&quot;/&gt;&lt;wsp:rsid wsp:val=&quot;00D05F3E&quot;/&gt;&lt;wsp:rsid wsp:val=&quot;00D0619C&quot;/&gt;&lt;wsp:rsid wsp:val=&quot;00D066FB&quot;/&gt;&lt;wsp:rsid wsp:val=&quot;00D06BD0&quot;/&gt;&lt;wsp:rsid wsp:val=&quot;00D06E21&quot;/&gt;&lt;wsp:rsid wsp:val=&quot;00D073FE&quot;/&gt;&lt;wsp:rsid wsp:val=&quot;00D07DDD&quot;/&gt;&lt;wsp:rsid wsp:val=&quot;00D107AD&quot;/&gt;&lt;wsp:rsid wsp:val=&quot;00D10FD0&quot;/&gt;&lt;wsp:rsid wsp:val=&quot;00D118EC&quot;/&gt;&lt;wsp:rsid wsp:val=&quot;00D11BB4&quot;/&gt;&lt;wsp:rsid wsp:val=&quot;00D11C9D&quot;/&gt;&lt;wsp:rsid wsp:val=&quot;00D12C94&quot;/&gt;&lt;wsp:rsid wsp:val=&quot;00D13435&quot;/&gt;&lt;wsp:rsid wsp:val=&quot;00D13DCD&quot;/&gt;&lt;wsp:rsid wsp:val=&quot;00D14931&quot;/&gt;&lt;wsp:rsid wsp:val=&quot;00D14FCE&quot;/&gt;&lt;wsp:rsid wsp:val=&quot;00D15379&quot;/&gt;&lt;wsp:rsid wsp:val=&quot;00D15BDC&quot;/&gt;&lt;wsp:rsid wsp:val=&quot;00D15CDD&quot;/&gt;&lt;wsp:rsid wsp:val=&quot;00D16381&quot;/&gt;&lt;wsp:rsid wsp:val=&quot;00D177D5&quot;/&gt;&lt;wsp:rsid wsp:val=&quot;00D21396&quot;/&gt;&lt;wsp:rsid wsp:val=&quot;00D21CA0&quot;/&gt;&lt;wsp:rsid wsp:val=&quot;00D21E85&quot;/&gt;&lt;wsp:rsid wsp:val=&quot;00D21F3B&quot;/&gt;&lt;wsp:rsid wsp:val=&quot;00D224F3&quot;/&gt;&lt;wsp:rsid wsp:val=&quot;00D22516&quot;/&gt;&lt;wsp:rsid wsp:val=&quot;00D22DC5&quot;/&gt;&lt;wsp:rsid wsp:val=&quot;00D23856&quot;/&gt;&lt;wsp:rsid wsp:val=&quot;00D24042&quot;/&gt;&lt;wsp:rsid wsp:val=&quot;00D25124&quot;/&gt;&lt;wsp:rsid wsp:val=&quot;00D2517A&quot;/&gt;&lt;wsp:rsid wsp:val=&quot;00D251F8&quot;/&gt;&lt;wsp:rsid wsp:val=&quot;00D25916&quot;/&gt;&lt;wsp:rsid wsp:val=&quot;00D25C1A&quot;/&gt;&lt;wsp:rsid wsp:val=&quot;00D26224&quot;/&gt;&lt;wsp:rsid wsp:val=&quot;00D268A4&quot;/&gt;&lt;wsp:rsid wsp:val=&quot;00D3032B&quot;/&gt;&lt;wsp:rsid wsp:val=&quot;00D308BE&quot;/&gt;&lt;wsp:rsid wsp:val=&quot;00D30964&quot;/&gt;&lt;wsp:rsid wsp:val=&quot;00D30AC5&quot;/&gt;&lt;wsp:rsid wsp:val=&quot;00D30AED&quot;/&gt;&lt;wsp:rsid wsp:val=&quot;00D32122&quot;/&gt;&lt;wsp:rsid wsp:val=&quot;00D32444&quot;/&gt;&lt;wsp:rsid wsp:val=&quot;00D32445&quot;/&gt;&lt;wsp:rsid wsp:val=&quot;00D32A4C&quot;/&gt;&lt;wsp:rsid wsp:val=&quot;00D33CD1&quot;/&gt;&lt;wsp:rsid wsp:val=&quot;00D33E87&quot;/&gt;&lt;wsp:rsid wsp:val=&quot;00D33F25&quot;/&gt;&lt;wsp:rsid wsp:val=&quot;00D350C0&quot;/&gt;&lt;wsp:rsid wsp:val=&quot;00D3536F&quot;/&gt;&lt;wsp:rsid wsp:val=&quot;00D35C04&quot;/&gt;&lt;wsp:rsid wsp:val=&quot;00D360BA&quot;/&gt;&lt;wsp:rsid wsp:val=&quot;00D36B9A&quot;/&gt;&lt;wsp:rsid wsp:val=&quot;00D3760D&quot;/&gt;&lt;wsp:rsid wsp:val=&quot;00D40D7E&quot;/&gt;&lt;wsp:rsid wsp:val=&quot;00D410A9&quot;/&gt;&lt;wsp:rsid wsp:val=&quot;00D41457&quot;/&gt;&lt;wsp:rsid wsp:val=&quot;00D41715&quot;/&gt;&lt;wsp:rsid wsp:val=&quot;00D41BA5&quot;/&gt;&lt;wsp:rsid wsp:val=&quot;00D4223A&quot;/&gt;&lt;wsp:rsid wsp:val=&quot;00D422CE&quot;/&gt;&lt;wsp:rsid wsp:val=&quot;00D42C50&quot;/&gt;&lt;wsp:rsid wsp:val=&quot;00D42F7B&quot;/&gt;&lt;wsp:rsid wsp:val=&quot;00D443A5&quot;/&gt;&lt;wsp:rsid wsp:val=&quot;00D44801&quot;/&gt;&lt;wsp:rsid wsp:val=&quot;00D44C07&quot;/&gt;&lt;wsp:rsid wsp:val=&quot;00D45F52&quot;/&gt;&lt;wsp:rsid wsp:val=&quot;00D4625A&quot;/&gt;&lt;wsp:rsid wsp:val=&quot;00D46B9C&quot;/&gt;&lt;wsp:rsid wsp:val=&quot;00D476EE&quot;/&gt;&lt;wsp:rsid wsp:val=&quot;00D500F9&quot;/&gt;&lt;wsp:rsid wsp:val=&quot;00D50113&quot;/&gt;&lt;wsp:rsid wsp:val=&quot;00D50852&quot;/&gt;&lt;wsp:rsid wsp:val=&quot;00D510A0&quot;/&gt;&lt;wsp:rsid wsp:val=&quot;00D512C2&quot;/&gt;&lt;wsp:rsid wsp:val=&quot;00D51F53&quot;/&gt;&lt;wsp:rsid wsp:val=&quot;00D52C35&quot;/&gt;&lt;wsp:rsid wsp:val=&quot;00D544EF&quot;/&gt;&lt;wsp:rsid wsp:val=&quot;00D54558&quot;/&gt;&lt;wsp:rsid wsp:val=&quot;00D54EC4&quot;/&gt;&lt;wsp:rsid wsp:val=&quot;00D54F73&quot;/&gt;&lt;wsp:rsid wsp:val=&quot;00D568F0&quot;/&gt;&lt;wsp:rsid wsp:val=&quot;00D57FEE&quot;/&gt;&lt;wsp:rsid wsp:val=&quot;00D6006E&quot;/&gt;&lt;wsp:rsid wsp:val=&quot;00D60180&quot;/&gt;&lt;wsp:rsid wsp:val=&quot;00D60EA3&quot;/&gt;&lt;wsp:rsid wsp:val=&quot;00D60FAC&quot;/&gt;&lt;wsp:rsid wsp:val=&quot;00D616F3&quot;/&gt;&lt;wsp:rsid wsp:val=&quot;00D61AD0&quot;/&gt;&lt;wsp:rsid wsp:val=&quot;00D630D1&quot;/&gt;&lt;wsp:rsid wsp:val=&quot;00D63370&quot;/&gt;&lt;wsp:rsid wsp:val=&quot;00D64AB2&quot;/&gt;&lt;wsp:rsid wsp:val=&quot;00D64E19&quot;/&gt;&lt;wsp:rsid wsp:val=&quot;00D64F29&quot;/&gt;&lt;wsp:rsid wsp:val=&quot;00D671C8&quot;/&gt;&lt;wsp:rsid wsp:val=&quot;00D70557&quot;/&gt;&lt;wsp:rsid wsp:val=&quot;00D70ABF&quot;/&gt;&lt;wsp:rsid wsp:val=&quot;00D71ADA&quot;/&gt;&lt;wsp:rsid wsp:val=&quot;00D71EF1&quot;/&gt;&lt;wsp:rsid wsp:val=&quot;00D71F4F&quot;/&gt;&lt;wsp:rsid wsp:val=&quot;00D7209C&quot;/&gt;&lt;wsp:rsid wsp:val=&quot;00D72D4B&quot;/&gt;&lt;wsp:rsid wsp:val=&quot;00D72D9B&quot;/&gt;&lt;wsp:rsid wsp:val=&quot;00D73FEF&quot;/&gt;&lt;wsp:rsid wsp:val=&quot;00D74AD7&quot;/&gt;&lt;wsp:rsid wsp:val=&quot;00D7544C&quot;/&gt;&lt;wsp:rsid wsp:val=&quot;00D757CE&quot;/&gt;&lt;wsp:rsid wsp:val=&quot;00D75D09&quot;/&gt;&lt;wsp:rsid wsp:val=&quot;00D76D43&quot;/&gt;&lt;wsp:rsid wsp:val=&quot;00D77214&quot;/&gt;&lt;wsp:rsid wsp:val=&quot;00D774FB&quot;/&gt;&lt;wsp:rsid wsp:val=&quot;00D77B6D&quot;/&gt;&lt;wsp:rsid wsp:val=&quot;00D77C13&quot;/&gt;&lt;wsp:rsid wsp:val=&quot;00D804D9&quot;/&gt;&lt;wsp:rsid wsp:val=&quot;00D8137A&quot;/&gt;&lt;wsp:rsid wsp:val=&quot;00D815CE&quot;/&gt;&lt;wsp:rsid wsp:val=&quot;00D8170B&quot;/&gt;&lt;wsp:rsid wsp:val=&quot;00D81C5C&quot;/&gt;&lt;wsp:rsid wsp:val=&quot;00D81FB4&quot;/&gt;&lt;wsp:rsid wsp:val=&quot;00D822B0&quot;/&gt;&lt;wsp:rsid wsp:val=&quot;00D822CC&quot;/&gt;&lt;wsp:rsid wsp:val=&quot;00D8259E&quot;/&gt;&lt;wsp:rsid wsp:val=&quot;00D8264D&quot;/&gt;&lt;wsp:rsid wsp:val=&quot;00D8275F&quot;/&gt;&lt;wsp:rsid wsp:val=&quot;00D82B6B&quot;/&gt;&lt;wsp:rsid wsp:val=&quot;00D8349F&quot;/&gt;&lt;wsp:rsid wsp:val=&quot;00D835D9&quot;/&gt;&lt;wsp:rsid wsp:val=&quot;00D84FC5&quot;/&gt;&lt;wsp:rsid wsp:val=&quot;00D851B5&quot;/&gt;&lt;wsp:rsid wsp:val=&quot;00D86D13&quot;/&gt;&lt;wsp:rsid wsp:val=&quot;00D86DA6&quot;/&gt;&lt;wsp:rsid wsp:val=&quot;00D8758B&quot;/&gt;&lt;wsp:rsid wsp:val=&quot;00D90485&quot;/&gt;&lt;wsp:rsid wsp:val=&quot;00D914D8&quot;/&gt;&lt;wsp:rsid wsp:val=&quot;00D916A9&quot;/&gt;&lt;wsp:rsid wsp:val=&quot;00D91774&quot;/&gt;&lt;wsp:rsid wsp:val=&quot;00D91AB0&quot;/&gt;&lt;wsp:rsid wsp:val=&quot;00D92EBC&quot;/&gt;&lt;wsp:rsid wsp:val=&quot;00D932FA&quot;/&gt;&lt;wsp:rsid wsp:val=&quot;00D93E88&quot;/&gt;&lt;wsp:rsid wsp:val=&quot;00D94919&quot;/&gt;&lt;wsp:rsid wsp:val=&quot;00D94EAE&quot;/&gt;&lt;wsp:rsid wsp:val=&quot;00D95685&quot;/&gt;&lt;wsp:rsid wsp:val=&quot;00D96866&quot;/&gt;&lt;wsp:rsid wsp:val=&quot;00D96FE2&quot;/&gt;&lt;wsp:rsid wsp:val=&quot;00D9747A&quot;/&gt;&lt;wsp:rsid wsp:val=&quot;00D974A4&quot;/&gt;&lt;wsp:rsid wsp:val=&quot;00D97AF0&quot;/&gt;&lt;wsp:rsid wsp:val=&quot;00DA098B&quot;/&gt;&lt;wsp:rsid wsp:val=&quot;00DA1204&quot;/&gt;&lt;wsp:rsid wsp:val=&quot;00DA2A0E&quot;/&gt;&lt;wsp:rsid wsp:val=&quot;00DA40F9&quot;/&gt;&lt;wsp:rsid wsp:val=&quot;00DA4AFF&quot;/&gt;&lt;wsp:rsid wsp:val=&quot;00DA4C97&quot;/&gt;&lt;wsp:rsid wsp:val=&quot;00DA5779&quot;/&gt;&lt;wsp:rsid wsp:val=&quot;00DA5A45&quot;/&gt;&lt;wsp:rsid wsp:val=&quot;00DA63DD&quot;/&gt;&lt;wsp:rsid wsp:val=&quot;00DA717C&quot;/&gt;&lt;wsp:rsid wsp:val=&quot;00DB0250&quot;/&gt;&lt;wsp:rsid wsp:val=&quot;00DB0CB6&quot;/&gt;&lt;wsp:rsid wsp:val=&quot;00DB0CE1&quot;/&gt;&lt;wsp:rsid wsp:val=&quot;00DB1894&quot;/&gt;&lt;wsp:rsid wsp:val=&quot;00DB211C&quot;/&gt;&lt;wsp:rsid wsp:val=&quot;00DB2239&quot;/&gt;&lt;wsp:rsid wsp:val=&quot;00DB2410&quot;/&gt;&lt;wsp:rsid wsp:val=&quot;00DB3FE3&quot;/&gt;&lt;wsp:rsid wsp:val=&quot;00DB63DB&quot;/&gt;&lt;wsp:rsid wsp:val=&quot;00DB657C&quot;/&gt;&lt;wsp:rsid wsp:val=&quot;00DB76DA&quot;/&gt;&lt;wsp:rsid wsp:val=&quot;00DB7DC5&quot;/&gt;&lt;wsp:rsid wsp:val=&quot;00DC0542&quot;/&gt;&lt;wsp:rsid wsp:val=&quot;00DC0DC0&quot;/&gt;&lt;wsp:rsid wsp:val=&quot;00DC1AFE&quot;/&gt;&lt;wsp:rsid wsp:val=&quot;00DC2661&quot;/&gt;&lt;wsp:rsid wsp:val=&quot;00DC2D5D&quot;/&gt;&lt;wsp:rsid wsp:val=&quot;00DC2E28&quot;/&gt;&lt;wsp:rsid wsp:val=&quot;00DC3EF5&quot;/&gt;&lt;wsp:rsid wsp:val=&quot;00DC404B&quot;/&gt;&lt;wsp:rsid wsp:val=&quot;00DC4174&quot;/&gt;&lt;wsp:rsid wsp:val=&quot;00DC4BFA&quot;/&gt;&lt;wsp:rsid wsp:val=&quot;00DC69B0&quot;/&gt;&lt;wsp:rsid wsp:val=&quot;00DC71AA&quot;/&gt;&lt;wsp:rsid wsp:val=&quot;00DC74D1&quot;/&gt;&lt;wsp:rsid wsp:val=&quot;00DC75CF&quot;/&gt;&lt;wsp:rsid wsp:val=&quot;00DC79AB&quot;/&gt;&lt;wsp:rsid wsp:val=&quot;00DC7CAB&quot;/&gt;&lt;wsp:rsid wsp:val=&quot;00DD100A&quot;/&gt;&lt;wsp:rsid wsp:val=&quot;00DD1E17&quot;/&gt;&lt;wsp:rsid wsp:val=&quot;00DD2206&quot;/&gt;&lt;wsp:rsid wsp:val=&quot;00DD323F&quot;/&gt;&lt;wsp:rsid wsp:val=&quot;00DD3930&quot;/&gt;&lt;wsp:rsid wsp:val=&quot;00DD3FA7&quot;/&gt;&lt;wsp:rsid wsp:val=&quot;00DD5272&quot;/&gt;&lt;wsp:rsid wsp:val=&quot;00DD535D&quot;/&gt;&lt;wsp:rsid wsp:val=&quot;00DD5B24&quot;/&gt;&lt;wsp:rsid wsp:val=&quot;00DD69A8&quot;/&gt;&lt;wsp:rsid wsp:val=&quot;00DD6E61&quot;/&gt;&lt;wsp:rsid wsp:val=&quot;00DD6EBD&quot;/&gt;&lt;wsp:rsid wsp:val=&quot;00DD7448&quot;/&gt;&lt;wsp:rsid wsp:val=&quot;00DD767F&quot;/&gt;&lt;wsp:rsid wsp:val=&quot;00DD79F8&quot;/&gt;&lt;wsp:rsid wsp:val=&quot;00DD7BCA&quot;/&gt;&lt;wsp:rsid wsp:val=&quot;00DE0196&quot;/&gt;&lt;wsp:rsid wsp:val=&quot;00DE1761&quot;/&gt;&lt;wsp:rsid wsp:val=&quot;00DE17DA&quot;/&gt;&lt;wsp:rsid wsp:val=&quot;00DE1FFA&quot;/&gt;&lt;wsp:rsid wsp:val=&quot;00DE216C&quot;/&gt;&lt;wsp:rsid wsp:val=&quot;00DE2C51&quot;/&gt;&lt;wsp:rsid wsp:val=&quot;00DE3893&quot;/&gt;&lt;wsp:rsid wsp:val=&quot;00DE3ED3&quot;/&gt;&lt;wsp:rsid wsp:val=&quot;00DE4126&quot;/&gt;&lt;wsp:rsid wsp:val=&quot;00DE4643&quot;/&gt;&lt;wsp:rsid wsp:val=&quot;00DE5071&quot;/&gt;&lt;wsp:rsid wsp:val=&quot;00DE5DA2&quot;/&gt;&lt;wsp:rsid wsp:val=&quot;00DE5F13&quot;/&gt;&lt;wsp:rsid wsp:val=&quot;00DE6111&quot;/&gt;&lt;wsp:rsid wsp:val=&quot;00DE682B&quot;/&gt;&lt;wsp:rsid wsp:val=&quot;00DE7C54&quot;/&gt;&lt;wsp:rsid wsp:val=&quot;00DF0382&quot;/&gt;&lt;wsp:rsid wsp:val=&quot;00DF04D9&quot;/&gt;&lt;wsp:rsid wsp:val=&quot;00DF0BF6&quot;/&gt;&lt;wsp:rsid wsp:val=&quot;00DF0F58&quot;/&gt;&lt;wsp:rsid wsp:val=&quot;00DF213B&quot;/&gt;&lt;wsp:rsid wsp:val=&quot;00DF25AC&quot;/&gt;&lt;wsp:rsid wsp:val=&quot;00DF292F&quot;/&gt;&lt;wsp:rsid wsp:val=&quot;00DF2B58&quot;/&gt;&lt;wsp:rsid wsp:val=&quot;00DF3115&quot;/&gt;&lt;wsp:rsid wsp:val=&quot;00DF38C5&quot;/&gt;&lt;wsp:rsid wsp:val=&quot;00DF4B13&quot;/&gt;&lt;wsp:rsid wsp:val=&quot;00DF4FE6&quot;/&gt;&lt;wsp:rsid wsp:val=&quot;00DF5B41&quot;/&gt;&lt;wsp:rsid wsp:val=&quot;00DF5C31&quot;/&gt;&lt;wsp:rsid wsp:val=&quot;00DF5CD2&quot;/&gt;&lt;wsp:rsid wsp:val=&quot;00DF628F&quot;/&gt;&lt;wsp:rsid wsp:val=&quot;00DF68A9&quot;/&gt;&lt;wsp:rsid wsp:val=&quot;00DF7766&quot;/&gt;&lt;wsp:rsid wsp:val=&quot;00E00EC5&quot;/&gt;&lt;wsp:rsid wsp:val=&quot;00E00F57&quot;/&gt;&lt;wsp:rsid wsp:val=&quot;00E01329&quot;/&gt;&lt;wsp:rsid wsp:val=&quot;00E019A8&quot;/&gt;&lt;wsp:rsid wsp:val=&quot;00E03ADB&quot;/&gt;&lt;wsp:rsid wsp:val=&quot;00E03BBD&quot;/&gt;&lt;wsp:rsid wsp:val=&quot;00E03E22&quot;/&gt;&lt;wsp:rsid wsp:val=&quot;00E04AD3&quot;/&gt;&lt;wsp:rsid wsp:val=&quot;00E04F78&quot;/&gt;&lt;wsp:rsid wsp:val=&quot;00E06052&quot;/&gt;&lt;wsp:rsid wsp:val=&quot;00E069C9&quot;/&gt;&lt;wsp:rsid wsp:val=&quot;00E07B8E&quot;/&gt;&lt;wsp:rsid wsp:val=&quot;00E10935&quot;/&gt;&lt;wsp:rsid wsp:val=&quot;00E10F24&quot;/&gt;&lt;wsp:rsid wsp:val=&quot;00E11305&quot;/&gt;&lt;wsp:rsid wsp:val=&quot;00E11D50&quot;/&gt;&lt;wsp:rsid wsp:val=&quot;00E125B1&quot;/&gt;&lt;wsp:rsid wsp:val=&quot;00E1299C&quot;/&gt;&lt;wsp:rsid wsp:val=&quot;00E1316A&quot;/&gt;&lt;wsp:rsid wsp:val=&quot;00E13952&quot;/&gt;&lt;wsp:rsid wsp:val=&quot;00E1447D&quot;/&gt;&lt;wsp:rsid wsp:val=&quot;00E1492C&quot;/&gt;&lt;wsp:rsid wsp:val=&quot;00E14C92&quot;/&gt;&lt;wsp:rsid wsp:val=&quot;00E14CC3&quot;/&gt;&lt;wsp:rsid wsp:val=&quot;00E15118&quot;/&gt;&lt;wsp:rsid wsp:val=&quot;00E15D9E&quot;/&gt;&lt;wsp:rsid wsp:val=&quot;00E15F37&quot;/&gt;&lt;wsp:rsid wsp:val=&quot;00E15F87&quot;/&gt;&lt;wsp:rsid wsp:val=&quot;00E167F0&quot;/&gt;&lt;wsp:rsid wsp:val=&quot;00E174E5&quot;/&gt;&lt;wsp:rsid wsp:val=&quot;00E200F3&quot;/&gt;&lt;wsp:rsid wsp:val=&quot;00E20C52&quot;/&gt;&lt;wsp:rsid wsp:val=&quot;00E21655&quot;/&gt;&lt;wsp:rsid wsp:val=&quot;00E21DF8&quot;/&gt;&lt;wsp:rsid wsp:val=&quot;00E229ED&quot;/&gt;&lt;wsp:rsid wsp:val=&quot;00E2503D&quot;/&gt;&lt;wsp:rsid wsp:val=&quot;00E2529D&quot;/&gt;&lt;wsp:rsid wsp:val=&quot;00E254E6&quot;/&gt;&lt;wsp:rsid wsp:val=&quot;00E260EC&quot;/&gt;&lt;wsp:rsid wsp:val=&quot;00E269AE&quot;/&gt;&lt;wsp:rsid wsp:val=&quot;00E2739E&quot;/&gt;&lt;wsp:rsid wsp:val=&quot;00E2772C&quot;/&gt;&lt;wsp:rsid wsp:val=&quot;00E30032&quot;/&gt;&lt;wsp:rsid wsp:val=&quot;00E316E4&quot;/&gt;&lt;wsp:rsid wsp:val=&quot;00E31927&quot;/&gt;&lt;wsp:rsid wsp:val=&quot;00E32F92&quot;/&gt;&lt;wsp:rsid wsp:val=&quot;00E331F8&quot;/&gt;&lt;wsp:rsid wsp:val=&quot;00E33E4B&quot;/&gt;&lt;wsp:rsid wsp:val=&quot;00E340FB&quot;/&gt;&lt;wsp:rsid wsp:val=&quot;00E342A0&quot;/&gt;&lt;wsp:rsid wsp:val=&quot;00E35254&quot;/&gt;&lt;wsp:rsid wsp:val=&quot;00E36CBB&quot;/&gt;&lt;wsp:rsid wsp:val=&quot;00E36CF6&quot;/&gt;&lt;wsp:rsid wsp:val=&quot;00E37587&quot;/&gt;&lt;wsp:rsid wsp:val=&quot;00E3766A&quot;/&gt;&lt;wsp:rsid wsp:val=&quot;00E37678&quot;/&gt;&lt;wsp:rsid wsp:val=&quot;00E37B0F&quot;/&gt;&lt;wsp:rsid wsp:val=&quot;00E37E8B&quot;/&gt;&lt;wsp:rsid wsp:val=&quot;00E37EE2&quot;/&gt;&lt;wsp:rsid wsp:val=&quot;00E4022F&quot;/&gt;&lt;wsp:rsid wsp:val=&quot;00E403BC&quot;/&gt;&lt;wsp:rsid wsp:val=&quot;00E40640&quot;/&gt;&lt;wsp:rsid wsp:val=&quot;00E4099B&quot;/&gt;&lt;wsp:rsid wsp:val=&quot;00E4152A&quot;/&gt;&lt;wsp:rsid wsp:val=&quot;00E41802&quot;/&gt;&lt;wsp:rsid wsp:val=&quot;00E41DE4&quot;/&gt;&lt;wsp:rsid wsp:val=&quot;00E420C4&quot;/&gt;&lt;wsp:rsid wsp:val=&quot;00E42E8F&quot;/&gt;&lt;wsp:rsid wsp:val=&quot;00E445D3&quot;/&gt;&lt;wsp:rsid wsp:val=&quot;00E44A5F&quot;/&gt;&lt;wsp:rsid wsp:val=&quot;00E44B0B&quot;/&gt;&lt;wsp:rsid wsp:val=&quot;00E454F2&quot;/&gt;&lt;wsp:rsid wsp:val=&quot;00E45545&quot;/&gt;&lt;wsp:rsid wsp:val=&quot;00E455F4&quot;/&gt;&lt;wsp:rsid wsp:val=&quot;00E456EE&quot;/&gt;&lt;wsp:rsid wsp:val=&quot;00E45A3B&quot;/&gt;&lt;wsp:rsid wsp:val=&quot;00E45AAD&quot;/&gt;&lt;wsp:rsid wsp:val=&quot;00E4669E&quot;/&gt;&lt;wsp:rsid wsp:val=&quot;00E466C2&quot;/&gt;&lt;wsp:rsid wsp:val=&quot;00E47533&quot;/&gt;&lt;wsp:rsid wsp:val=&quot;00E4760C&quot;/&gt;&lt;wsp:rsid wsp:val=&quot;00E477AB&quot;/&gt;&lt;wsp:rsid wsp:val=&quot;00E47A49&quot;/&gt;&lt;wsp:rsid wsp:val=&quot;00E50B17&quot;/&gt;&lt;wsp:rsid wsp:val=&quot;00E50F0D&quot;/&gt;&lt;wsp:rsid wsp:val=&quot;00E51B8E&quot;/&gt;&lt;wsp:rsid wsp:val=&quot;00E51D7B&quot;/&gt;&lt;wsp:rsid wsp:val=&quot;00E52520&quot;/&gt;&lt;wsp:rsid wsp:val=&quot;00E53C4C&quot;/&gt;&lt;wsp:rsid wsp:val=&quot;00E5457C&quot;/&gt;&lt;wsp:rsid wsp:val=&quot;00E54A61&quot;/&gt;&lt;wsp:rsid wsp:val=&quot;00E552DC&quot;/&gt;&lt;wsp:rsid wsp:val=&quot;00E55333&quot;/&gt;&lt;wsp:rsid wsp:val=&quot;00E554BF&quot;/&gt;&lt;wsp:rsid wsp:val=&quot;00E5584A&quot;/&gt;&lt;wsp:rsid wsp:val=&quot;00E55B30&quot;/&gt;&lt;wsp:rsid wsp:val=&quot;00E5651C&quot;/&gt;&lt;wsp:rsid wsp:val=&quot;00E565F1&quot;/&gt;&lt;wsp:rsid wsp:val=&quot;00E56E07&quot;/&gt;&lt;wsp:rsid wsp:val=&quot;00E5793A&quot;/&gt;&lt;wsp:rsid wsp:val=&quot;00E57BBD&quot;/&gt;&lt;wsp:rsid wsp:val=&quot;00E600EF&quot;/&gt;&lt;wsp:rsid wsp:val=&quot;00E60A0A&quot;/&gt;&lt;wsp:rsid wsp:val=&quot;00E61244&quot;/&gt;&lt;wsp:rsid wsp:val=&quot;00E61434&quot;/&gt;&lt;wsp:rsid wsp:val=&quot;00E6176A&quot;/&gt;&lt;wsp:rsid wsp:val=&quot;00E6242C&quot;/&gt;&lt;wsp:rsid wsp:val=&quot;00E62665&quot;/&gt;&lt;wsp:rsid wsp:val=&quot;00E62D10&quot;/&gt;&lt;wsp:rsid wsp:val=&quot;00E64B54&quot;/&gt;&lt;wsp:rsid wsp:val=&quot;00E64E7D&quot;/&gt;&lt;wsp:rsid wsp:val=&quot;00E65547&quot;/&gt;&lt;wsp:rsid wsp:val=&quot;00E65582&quot;/&gt;&lt;wsp:rsid wsp:val=&quot;00E658D9&quot;/&gt;&lt;wsp:rsid wsp:val=&quot;00E66B6F&quot;/&gt;&lt;wsp:rsid wsp:val=&quot;00E672D8&quot;/&gt;&lt;wsp:rsid wsp:val=&quot;00E67358&quot;/&gt;&lt;wsp:rsid wsp:val=&quot;00E67B4A&quot;/&gt;&lt;wsp:rsid wsp:val=&quot;00E70CAA&quot;/&gt;&lt;wsp:rsid wsp:val=&quot;00E71B65&quot;/&gt;&lt;wsp:rsid wsp:val=&quot;00E72095&quot;/&gt;&lt;wsp:rsid wsp:val=&quot;00E72101&quot;/&gt;&lt;wsp:rsid wsp:val=&quot;00E72AAC&quot;/&gt;&lt;wsp:rsid wsp:val=&quot;00E7312E&quot;/&gt;&lt;wsp:rsid wsp:val=&quot;00E73308&quot;/&gt;&lt;wsp:rsid wsp:val=&quot;00E7370A&quot;/&gt;&lt;wsp:rsid wsp:val=&quot;00E750C5&quot;/&gt;&lt;wsp:rsid wsp:val=&quot;00E751CE&quot;/&gt;&lt;wsp:rsid wsp:val=&quot;00E757D3&quot;/&gt;&lt;wsp:rsid wsp:val=&quot;00E759FA&quot;/&gt;&lt;wsp:rsid wsp:val=&quot;00E75E0F&quot;/&gt;&lt;wsp:rsid wsp:val=&quot;00E760DF&quot;/&gt;&lt;wsp:rsid wsp:val=&quot;00E767A0&quot;/&gt;&lt;wsp:rsid wsp:val=&quot;00E76B64&quot;/&gt;&lt;wsp:rsid wsp:val=&quot;00E76DE0&quot;/&gt;&lt;wsp:rsid wsp:val=&quot;00E77323&quot;/&gt;&lt;wsp:rsid wsp:val=&quot;00E77401&quot;/&gt;&lt;wsp:rsid wsp:val=&quot;00E7779F&quot;/&gt;&lt;wsp:rsid wsp:val=&quot;00E77C11&quot;/&gt;&lt;wsp:rsid wsp:val=&quot;00E8055B&quot;/&gt;&lt;wsp:rsid wsp:val=&quot;00E80E17&quot;/&gt;&lt;wsp:rsid wsp:val=&quot;00E8106D&quot;/&gt;&lt;wsp:rsid wsp:val=&quot;00E8264F&quot;/&gt;&lt;wsp:rsid wsp:val=&quot;00E82753&quot;/&gt;&lt;wsp:rsid wsp:val=&quot;00E828F4&quot;/&gt;&lt;wsp:rsid wsp:val=&quot;00E8311D&quot;/&gt;&lt;wsp:rsid wsp:val=&quot;00E84401&quot;/&gt;&lt;wsp:rsid wsp:val=&quot;00E8460C&quot;/&gt;&lt;wsp:rsid wsp:val=&quot;00E84859&quot;/&gt;&lt;wsp:rsid wsp:val=&quot;00E84C9B&quot;/&gt;&lt;wsp:rsid wsp:val=&quot;00E85657&quot;/&gt;&lt;wsp:rsid wsp:val=&quot;00E8612D&quot;/&gt;&lt;wsp:rsid wsp:val=&quot;00E867CA&quot;/&gt;&lt;wsp:rsid wsp:val=&quot;00E868AE&quot;/&gt;&lt;wsp:rsid wsp:val=&quot;00E87185&quot;/&gt;&lt;wsp:rsid wsp:val=&quot;00E873D2&quot;/&gt;&lt;wsp:rsid wsp:val=&quot;00E879FB&quot;/&gt;&lt;wsp:rsid wsp:val=&quot;00E91748&quot;/&gt;&lt;wsp:rsid wsp:val=&quot;00E91E8F&quot;/&gt;&lt;wsp:rsid wsp:val=&quot;00E93747&quot;/&gt;&lt;wsp:rsid wsp:val=&quot;00E93763&quot;/&gt;&lt;wsp:rsid wsp:val=&quot;00E94D19&quot;/&gt;&lt;wsp:rsid wsp:val=&quot;00E954D6&quot;/&gt;&lt;wsp:rsid wsp:val=&quot;00E96321&quot;/&gt;&lt;wsp:rsid wsp:val=&quot;00E96723&quot;/&gt;&lt;wsp:rsid wsp:val=&quot;00E96E0A&quot;/&gt;&lt;wsp:rsid wsp:val=&quot;00E9703E&quot;/&gt;&lt;wsp:rsid wsp:val=&quot;00E97C3B&quot;/&gt;&lt;wsp:rsid wsp:val=&quot;00EA001F&quot;/&gt;&lt;wsp:rsid wsp:val=&quot;00EA0624&quot;/&gt;&lt;wsp:rsid wsp:val=&quot;00EA09D9&quot;/&gt;&lt;wsp:rsid wsp:val=&quot;00EA0BDB&quot;/&gt;&lt;wsp:rsid wsp:val=&quot;00EA0DBE&quot;/&gt;&lt;wsp:rsid wsp:val=&quot;00EA1317&quot;/&gt;&lt;wsp:rsid wsp:val=&quot;00EA1503&quot;/&gt;&lt;wsp:rsid wsp:val=&quot;00EA1A0E&quot;/&gt;&lt;wsp:rsid wsp:val=&quot;00EA1A2F&quot;/&gt;&lt;wsp:rsid wsp:val=&quot;00EA1B19&quot;/&gt;&lt;wsp:rsid wsp:val=&quot;00EA1C98&quot;/&gt;&lt;wsp:rsid wsp:val=&quot;00EA2E37&quot;/&gt;&lt;wsp:rsid wsp:val=&quot;00EA49FF&quot;/&gt;&lt;wsp:rsid wsp:val=&quot;00EA4CAC&quot;/&gt;&lt;wsp:rsid wsp:val=&quot;00EA4D5F&quot;/&gt;&lt;wsp:rsid wsp:val=&quot;00EA7357&quot;/&gt;&lt;wsp:rsid wsp:val=&quot;00EA7748&quot;/&gt;&lt;wsp:rsid wsp:val=&quot;00EA77EB&quot;/&gt;&lt;wsp:rsid wsp:val=&quot;00EA791C&quot;/&gt;&lt;wsp:rsid wsp:val=&quot;00EB05C9&quot;/&gt;&lt;wsp:rsid wsp:val=&quot;00EB16D7&quot;/&gt;&lt;wsp:rsid wsp:val=&quot;00EB285A&quot;/&gt;&lt;wsp:rsid wsp:val=&quot;00EB380C&quot;/&gt;&lt;wsp:rsid wsp:val=&quot;00EB4062&quot;/&gt;&lt;wsp:rsid wsp:val=&quot;00EB4738&quot;/&gt;&lt;wsp:rsid wsp:val=&quot;00EB68B6&quot;/&gt;&lt;wsp:rsid wsp:val=&quot;00EB695F&quot;/&gt;&lt;wsp:rsid wsp:val=&quot;00EB6B3E&quot;/&gt;&lt;wsp:rsid wsp:val=&quot;00EB714F&quot;/&gt;&lt;wsp:rsid wsp:val=&quot;00EC2872&quot;/&gt;&lt;wsp:rsid wsp:val=&quot;00EC28F2&quot;/&gt;&lt;wsp:rsid wsp:val=&quot;00EC30B4&quot;/&gt;&lt;wsp:rsid wsp:val=&quot;00EC352C&quot;/&gt;&lt;wsp:rsid wsp:val=&quot;00EC3D75&quot;/&gt;&lt;wsp:rsid wsp:val=&quot;00EC48D9&quot;/&gt;&lt;wsp:rsid wsp:val=&quot;00EC4AB9&quot;/&gt;&lt;wsp:rsid wsp:val=&quot;00EC4E68&quot;/&gt;&lt;wsp:rsid wsp:val=&quot;00EC5605&quot;/&gt;&lt;wsp:rsid wsp:val=&quot;00EC5FB4&quot;/&gt;&lt;wsp:rsid wsp:val=&quot;00EC65B9&quot;/&gt;&lt;wsp:rsid wsp:val=&quot;00EC6DD3&quot;/&gt;&lt;wsp:rsid wsp:val=&quot;00EC6DD6&quot;/&gt;&lt;wsp:rsid wsp:val=&quot;00EC6EB8&quot;/&gt;&lt;wsp:rsid wsp:val=&quot;00EC747E&quot;/&gt;&lt;wsp:rsid wsp:val=&quot;00ED08F7&quot;/&gt;&lt;wsp:rsid wsp:val=&quot;00ED11C6&quot;/&gt;&lt;wsp:rsid wsp:val=&quot;00ED1557&quot;/&gt;&lt;wsp:rsid wsp:val=&quot;00ED19D8&quot;/&gt;&lt;wsp:rsid wsp:val=&quot;00ED2025&quot;/&gt;&lt;wsp:rsid wsp:val=&quot;00ED2609&quot;/&gt;&lt;wsp:rsid wsp:val=&quot;00ED3089&quot;/&gt;&lt;wsp:rsid wsp:val=&quot;00ED3ACA&quot;/&gt;&lt;wsp:rsid wsp:val=&quot;00ED3D43&quot;/&gt;&lt;wsp:rsid wsp:val=&quot;00ED3DC3&quot;/&gt;&lt;wsp:rsid wsp:val=&quot;00ED40B0&quot;/&gt;&lt;wsp:rsid wsp:val=&quot;00ED42F3&quot;/&gt;&lt;wsp:rsid wsp:val=&quot;00ED47EB&quot;/&gt;&lt;wsp:rsid wsp:val=&quot;00ED4861&quot;/&gt;&lt;wsp:rsid wsp:val=&quot;00ED58E9&quot;/&gt;&lt;wsp:rsid wsp:val=&quot;00ED5B34&quot;/&gt;&lt;wsp:rsid wsp:val=&quot;00ED628D&quot;/&gt;&lt;wsp:rsid wsp:val=&quot;00ED6D3B&quot;/&gt;&lt;wsp:rsid wsp:val=&quot;00ED7368&quot;/&gt;&lt;wsp:rsid wsp:val=&quot;00ED7634&quot;/&gt;&lt;wsp:rsid wsp:val=&quot;00ED7BB7&quot;/&gt;&lt;wsp:rsid wsp:val=&quot;00ED7F37&quot;/&gt;&lt;wsp:rsid wsp:val=&quot;00EE00A4&quot;/&gt;&lt;wsp:rsid wsp:val=&quot;00EE1773&quot;/&gt;&lt;wsp:rsid wsp:val=&quot;00EE1CE5&quot;/&gt;&lt;wsp:rsid wsp:val=&quot;00EE233B&quot;/&gt;&lt;wsp:rsid wsp:val=&quot;00EE2369&quot;/&gt;&lt;wsp:rsid wsp:val=&quot;00EE31C0&quot;/&gt;&lt;wsp:rsid wsp:val=&quot;00EE32C3&quot;/&gt;&lt;wsp:rsid wsp:val=&quot;00EE4E4D&quot;/&gt;&lt;wsp:rsid wsp:val=&quot;00EE54BF&quot;/&gt;&lt;wsp:rsid wsp:val=&quot;00EE6238&quot;/&gt;&lt;wsp:rsid wsp:val=&quot;00EE66C4&quot;/&gt;&lt;wsp:rsid wsp:val=&quot;00EE69DA&quot;/&gt;&lt;wsp:rsid wsp:val=&quot;00EE705B&quot;/&gt;&lt;wsp:rsid wsp:val=&quot;00EE7136&quot;/&gt;&lt;wsp:rsid wsp:val=&quot;00EF0966&quot;/&gt;&lt;wsp:rsid wsp:val=&quot;00EF1E06&quot;/&gt;&lt;wsp:rsid wsp:val=&quot;00EF20AF&quot;/&gt;&lt;wsp:rsid wsp:val=&quot;00EF2569&quot;/&gt;&lt;wsp:rsid wsp:val=&quot;00EF2DA1&quot;/&gt;&lt;wsp:rsid wsp:val=&quot;00EF2E4E&quot;/&gt;&lt;wsp:rsid wsp:val=&quot;00EF34FA&quot;/&gt;&lt;wsp:rsid wsp:val=&quot;00EF3F6B&quot;/&gt;&lt;wsp:rsid wsp:val=&quot;00EF56AD&quot;/&gt;&lt;wsp:rsid wsp:val=&quot;00EF5EC3&quot;/&gt;&lt;wsp:rsid wsp:val=&quot;00EF6032&quot;/&gt;&lt;wsp:rsid wsp:val=&quot;00EF76D8&quot;/&gt;&lt;wsp:rsid wsp:val=&quot;00EF7CB2&quot;/&gt;&lt;wsp:rsid wsp:val=&quot;00F00103&quot;/&gt;&lt;wsp:rsid wsp:val=&quot;00F013D4&quot;/&gt;&lt;wsp:rsid wsp:val=&quot;00F01511&quot;/&gt;&lt;wsp:rsid wsp:val=&quot;00F01EC2&quot;/&gt;&lt;wsp:rsid wsp:val=&quot;00F03573&quot;/&gt;&lt;wsp:rsid wsp:val=&quot;00F03E36&quot;/&gt;&lt;wsp:rsid wsp:val=&quot;00F04546&quot;/&gt;&lt;wsp:rsid wsp:val=&quot;00F055C2&quot;/&gt;&lt;wsp:rsid wsp:val=&quot;00F05978&quot;/&gt;&lt;wsp:rsid wsp:val=&quot;00F062B5&quot;/&gt;&lt;wsp:rsid wsp:val=&quot;00F06BFD&quot;/&gt;&lt;wsp:rsid wsp:val=&quot;00F07593&quot;/&gt;&lt;wsp:rsid wsp:val=&quot;00F106A8&quot;/&gt;&lt;wsp:rsid wsp:val=&quot;00F106B1&quot;/&gt;&lt;wsp:rsid wsp:val=&quot;00F10AE6&quot;/&gt;&lt;wsp:rsid wsp:val=&quot;00F10D11&quot;/&gt;&lt;wsp:rsid wsp:val=&quot;00F119FC&quot;/&gt;&lt;wsp:rsid wsp:val=&quot;00F12518&quot;/&gt;&lt;wsp:rsid wsp:val=&quot;00F13CFE&quot;/&gt;&lt;wsp:rsid wsp:val=&quot;00F140E3&quot;/&gt;&lt;wsp:rsid wsp:val=&quot;00F142F9&quot;/&gt;&lt;wsp:rsid wsp:val=&quot;00F14318&quot;/&gt;&lt;wsp:rsid wsp:val=&quot;00F14D2F&quot;/&gt;&lt;wsp:rsid wsp:val=&quot;00F15375&quot;/&gt;&lt;wsp:rsid wsp:val=&quot;00F159CB&quot;/&gt;&lt;wsp:rsid wsp:val=&quot;00F15F8D&quot;/&gt;&lt;wsp:rsid wsp:val=&quot;00F1689E&quot;/&gt;&lt;wsp:rsid wsp:val=&quot;00F17221&quot;/&gt;&lt;wsp:rsid wsp:val=&quot;00F17313&quot;/&gt;&lt;wsp:rsid wsp:val=&quot;00F17A97&quot;/&gt;&lt;wsp:rsid wsp:val=&quot;00F17B71&quot;/&gt;&lt;wsp:rsid wsp:val=&quot;00F202D7&quot;/&gt;&lt;wsp:rsid wsp:val=&quot;00F20AF4&quot;/&gt;&lt;wsp:rsid wsp:val=&quot;00F20AFC&quot;/&gt;&lt;wsp:rsid wsp:val=&quot;00F20CCE&quot;/&gt;&lt;wsp:rsid wsp:val=&quot;00F21DB4&quot;/&gt;&lt;wsp:rsid wsp:val=&quot;00F21FE2&quot;/&gt;&lt;wsp:rsid wsp:val=&quot;00F22149&quot;/&gt;&lt;wsp:rsid wsp:val=&quot;00F22F7C&quot;/&gt;&lt;wsp:rsid wsp:val=&quot;00F230BC&quot;/&gt;&lt;wsp:rsid wsp:val=&quot;00F238BA&quot;/&gt;&lt;wsp:rsid wsp:val=&quot;00F23F73&quot;/&gt;&lt;wsp:rsid wsp:val=&quot;00F25376&quot;/&gt;&lt;wsp:rsid wsp:val=&quot;00F2573F&quot;/&gt;&lt;wsp:rsid wsp:val=&quot;00F26569&quot;/&gt;&lt;wsp:rsid wsp:val=&quot;00F266C7&quot;/&gt;&lt;wsp:rsid wsp:val=&quot;00F26E0D&quot;/&gt;&lt;wsp:rsid wsp:val=&quot;00F278B3&quot;/&gt;&lt;wsp:rsid wsp:val=&quot;00F31198&quot;/&gt;&lt;wsp:rsid wsp:val=&quot;00F31813&quot;/&gt;&lt;wsp:rsid wsp:val=&quot;00F31C64&quot;/&gt;&lt;wsp:rsid wsp:val=&quot;00F3207C&quot;/&gt;&lt;wsp:rsid wsp:val=&quot;00F32C0F&quot;/&gt;&lt;wsp:rsid wsp:val=&quot;00F33257&quot;/&gt;&lt;wsp:rsid wsp:val=&quot;00F33442&quot;/&gt;&lt;wsp:rsid wsp:val=&quot;00F3357E&quot;/&gt;&lt;wsp:rsid wsp:val=&quot;00F34B8A&quot;/&gt;&lt;wsp:rsid wsp:val=&quot;00F3519D&quot;/&gt;&lt;wsp:rsid wsp:val=&quot;00F3681A&quot;/&gt;&lt;wsp:rsid wsp:val=&quot;00F37BC0&quot;/&gt;&lt;wsp:rsid wsp:val=&quot;00F407D6&quot;/&gt;&lt;wsp:rsid wsp:val=&quot;00F408C8&quot;/&gt;&lt;wsp:rsid wsp:val=&quot;00F40977&quot;/&gt;&lt;wsp:rsid wsp:val=&quot;00F4097E&quot;/&gt;&lt;wsp:rsid wsp:val=&quot;00F40D62&quot;/&gt;&lt;wsp:rsid wsp:val=&quot;00F41410&quot;/&gt;&lt;wsp:rsid wsp:val=&quot;00F4207E&quot;/&gt;&lt;wsp:rsid wsp:val=&quot;00F420A5&quot;/&gt;&lt;wsp:rsid wsp:val=&quot;00F425D0&quot;/&gt;&lt;wsp:rsid wsp:val=&quot;00F42A1F&quot;/&gt;&lt;wsp:rsid wsp:val=&quot;00F42D09&quot;/&gt;&lt;wsp:rsid wsp:val=&quot;00F42E12&quot;/&gt;&lt;wsp:rsid wsp:val=&quot;00F43188&quot;/&gt;&lt;wsp:rsid wsp:val=&quot;00F44009&quot;/&gt;&lt;wsp:rsid wsp:val=&quot;00F44D69&quot;/&gt;&lt;wsp:rsid wsp:val=&quot;00F44F77&quot;/&gt;&lt;wsp:rsid wsp:val=&quot;00F457F3&quot;/&gt;&lt;wsp:rsid wsp:val=&quot;00F45AF6&quot;/&gt;&lt;wsp:rsid wsp:val=&quot;00F45DA5&quot;/&gt;&lt;wsp:rsid wsp:val=&quot;00F45DBC&quot;/&gt;&lt;wsp:rsid wsp:val=&quot;00F46914&quot;/&gt;&lt;wsp:rsid wsp:val=&quot;00F47A34&quot;/&gt;&lt;wsp:rsid wsp:val=&quot;00F5008D&quot;/&gt;&lt;wsp:rsid wsp:val=&quot;00F5022B&quot;/&gt;&lt;wsp:rsid wsp:val=&quot;00F507BB&quot;/&gt;&lt;wsp:rsid wsp:val=&quot;00F515D0&quot;/&gt;&lt;wsp:rsid wsp:val=&quot;00F51DFB&quot;/&gt;&lt;wsp:rsid wsp:val=&quot;00F5219E&quot;/&gt;&lt;wsp:rsid wsp:val=&quot;00F52265&quot;/&gt;&lt;wsp:rsid wsp:val=&quot;00F52604&quot;/&gt;&lt;wsp:rsid wsp:val=&quot;00F52C45&quot;/&gt;&lt;wsp:rsid wsp:val=&quot;00F5309E&quot;/&gt;&lt;wsp:rsid wsp:val=&quot;00F536D2&quot;/&gt;&lt;wsp:rsid wsp:val=&quot;00F540F9&quot;/&gt;&lt;wsp:rsid wsp:val=&quot;00F549A1&quot;/&gt;&lt;wsp:rsid wsp:val=&quot;00F54D97&quot;/&gt;&lt;wsp:rsid wsp:val=&quot;00F54EE9&quot;/&gt;&lt;wsp:rsid wsp:val=&quot;00F5546B&quot;/&gt;&lt;wsp:rsid wsp:val=&quot;00F56B74&quot;/&gt;&lt;wsp:rsid wsp:val=&quot;00F56DA9&quot;/&gt;&lt;wsp:rsid wsp:val=&quot;00F5787F&quot;/&gt;&lt;wsp:rsid wsp:val=&quot;00F57DB3&quot;/&gt;&lt;wsp:rsid wsp:val=&quot;00F57DCB&quot;/&gt;&lt;wsp:rsid wsp:val=&quot;00F60147&quot;/&gt;&lt;wsp:rsid wsp:val=&quot;00F6081B&quot;/&gt;&lt;wsp:rsid wsp:val=&quot;00F60CFF&quot;/&gt;&lt;wsp:rsid wsp:val=&quot;00F60FDF&quot;/&gt;&lt;wsp:rsid wsp:val=&quot;00F620B4&quot;/&gt;&lt;wsp:rsid wsp:val=&quot;00F62E12&quot;/&gt;&lt;wsp:rsid wsp:val=&quot;00F633D6&quot;/&gt;&lt;wsp:rsid wsp:val=&quot;00F63989&quot;/&gt;&lt;wsp:rsid wsp:val=&quot;00F64155&quot;/&gt;&lt;wsp:rsid wsp:val=&quot;00F641C9&quot;/&gt;&lt;wsp:rsid wsp:val=&quot;00F645B1&quot;/&gt;&lt;wsp:rsid wsp:val=&quot;00F64B64&quot;/&gt;&lt;wsp:rsid wsp:val=&quot;00F64D17&quot;/&gt;&lt;wsp:rsid wsp:val=&quot;00F650D8&quot;/&gt;&lt;wsp:rsid wsp:val=&quot;00F651AE&quot;/&gt;&lt;wsp:rsid wsp:val=&quot;00F6528D&quot;/&gt;&lt;wsp:rsid wsp:val=&quot;00F65720&quot;/&gt;&lt;wsp:rsid wsp:val=&quot;00F66407&quot;/&gt;&lt;wsp:rsid wsp:val=&quot;00F66D8A&quot;/&gt;&lt;wsp:rsid wsp:val=&quot;00F670C7&quot;/&gt;&lt;wsp:rsid wsp:val=&quot;00F6754E&quot;/&gt;&lt;wsp:rsid wsp:val=&quot;00F6783E&quot;/&gt;&lt;wsp:rsid wsp:val=&quot;00F70038&quot;/&gt;&lt;wsp:rsid wsp:val=&quot;00F70204&quot;/&gt;&lt;wsp:rsid wsp:val=&quot;00F70A55&quot;/&gt;&lt;wsp:rsid wsp:val=&quot;00F72180&quot;/&gt;&lt;wsp:rsid wsp:val=&quot;00F72184&quot;/&gt;&lt;wsp:rsid wsp:val=&quot;00F72AA3&quot;/&gt;&lt;wsp:rsid wsp:val=&quot;00F72ED3&quot;/&gt;&lt;wsp:rsid wsp:val=&quot;00F7359F&quot;/&gt;&lt;wsp:rsid wsp:val=&quot;00F7378E&quot;/&gt;&lt;wsp:rsid wsp:val=&quot;00F7383D&quot;/&gt;&lt;wsp:rsid wsp:val=&quot;00F73B9B&quot;/&gt;&lt;wsp:rsid wsp:val=&quot;00F73F89&quot;/&gt;&lt;wsp:rsid wsp:val=&quot;00F741EA&quot;/&gt;&lt;wsp:rsid wsp:val=&quot;00F748B8&quot;/&gt;&lt;wsp:rsid wsp:val=&quot;00F74D63&quot;/&gt;&lt;wsp:rsid wsp:val=&quot;00F75954&quot;/&gt;&lt;wsp:rsid wsp:val=&quot;00F76896&quot;/&gt;&lt;wsp:rsid wsp:val=&quot;00F76F89&quot;/&gt;&lt;wsp:rsid wsp:val=&quot;00F770E8&quot;/&gt;&lt;wsp:rsid wsp:val=&quot;00F7718B&quot;/&gt;&lt;wsp:rsid wsp:val=&quot;00F7796B&quot;/&gt;&lt;wsp:rsid wsp:val=&quot;00F806F2&quot;/&gt;&lt;wsp:rsid wsp:val=&quot;00F80DEE&quot;/&gt;&lt;wsp:rsid wsp:val=&quot;00F8101B&quot;/&gt;&lt;wsp:rsid wsp:val=&quot;00F81D5E&quot;/&gt;&lt;wsp:rsid wsp:val=&quot;00F81E1B&quot;/&gt;&lt;wsp:rsid wsp:val=&quot;00F839E5&quot;/&gt;&lt;wsp:rsid wsp:val=&quot;00F83EF1&quot;/&gt;&lt;wsp:rsid wsp:val=&quot;00F844CE&quot;/&gt;&lt;wsp:rsid wsp:val=&quot;00F84FF0&quot;/&gt;&lt;wsp:rsid wsp:val=&quot;00F85B75&quot;/&gt;&lt;wsp:rsid wsp:val=&quot;00F85C03&quot;/&gt;&lt;wsp:rsid wsp:val=&quot;00F86560&quot;/&gt;&lt;wsp:rsid wsp:val=&quot;00F8680E&quot;/&gt;&lt;wsp:rsid wsp:val=&quot;00F87BD7&quot;/&gt;&lt;wsp:rsid wsp:val=&quot;00F903EF&quot;/&gt;&lt;wsp:rsid wsp:val=&quot;00F923AF&quot;/&gt;&lt;wsp:rsid wsp:val=&quot;00F92432&quot;/&gt;&lt;wsp:rsid wsp:val=&quot;00F9304C&quot;/&gt;&lt;wsp:rsid wsp:val=&quot;00F93086&quot;/&gt;&lt;wsp:rsid wsp:val=&quot;00F93F44&quot;/&gt;&lt;wsp:rsid wsp:val=&quot;00F94FEA&quot;/&gt;&lt;wsp:rsid wsp:val=&quot;00F95096&quot;/&gt;&lt;wsp:rsid wsp:val=&quot;00F9582D&quot;/&gt;&lt;wsp:rsid wsp:val=&quot;00F96089&quot;/&gt;&lt;wsp:rsid wsp:val=&quot;00F96827&quot;/&gt;&lt;wsp:rsid wsp:val=&quot;00F96F63&quot;/&gt;&lt;wsp:rsid wsp:val=&quot;00F97124&quot;/&gt;&lt;wsp:rsid wsp:val=&quot;00F97B5D&quot;/&gt;&lt;wsp:rsid wsp:val=&quot;00F97BE4&quot;/&gt;&lt;wsp:rsid wsp:val=&quot;00FA0154&quot;/&gt;&lt;wsp:rsid wsp:val=&quot;00FA19EB&quot;/&gt;&lt;wsp:rsid wsp:val=&quot;00FA3142&quot;/&gt;&lt;wsp:rsid wsp:val=&quot;00FA4A9E&quot;/&gt;&lt;wsp:rsid wsp:val=&quot;00FA4DCB&quot;/&gt;&lt;wsp:rsid wsp:val=&quot;00FA5DAA&quot;/&gt;&lt;wsp:rsid wsp:val=&quot;00FA6DA0&quot;/&gt;&lt;wsp:rsid wsp:val=&quot;00FA76BF&quot;/&gt;&lt;wsp:rsid wsp:val=&quot;00FA7712&quot;/&gt;&lt;wsp:rsid wsp:val=&quot;00FA7858&quot;/&gt;&lt;wsp:rsid wsp:val=&quot;00FA7DAA&quot;/&gt;&lt;wsp:rsid wsp:val=&quot;00FB0466&quot;/&gt;&lt;wsp:rsid wsp:val=&quot;00FB0692&quot;/&gt;&lt;wsp:rsid wsp:val=&quot;00FB072D&quot;/&gt;&lt;wsp:rsid wsp:val=&quot;00FB1174&quot;/&gt;&lt;wsp:rsid wsp:val=&quot;00FB321E&quot;/&gt;&lt;wsp:rsid wsp:val=&quot;00FB3306&quot;/&gt;&lt;wsp:rsid wsp:val=&quot;00FB354B&quot;/&gt;&lt;wsp:rsid wsp:val=&quot;00FB3D4A&quot;/&gt;&lt;wsp:rsid wsp:val=&quot;00FB45FD&quot;/&gt;&lt;wsp:rsid wsp:val=&quot;00FB477D&quot;/&gt;&lt;wsp:rsid wsp:val=&quot;00FB4900&quot;/&gt;&lt;wsp:rsid wsp:val=&quot;00FB59F0&quot;/&gt;&lt;wsp:rsid wsp:val=&quot;00FB623C&quot;/&gt;&lt;wsp:rsid wsp:val=&quot;00FB6F6F&quot;/&gt;&lt;wsp:rsid wsp:val=&quot;00FC034E&quot;/&gt;&lt;wsp:rsid wsp:val=&quot;00FC152D&quot;/&gt;&lt;wsp:rsid wsp:val=&quot;00FC1AA7&quot;/&gt;&lt;wsp:rsid wsp:val=&quot;00FC20FC&quot;/&gt;&lt;wsp:rsid wsp:val=&quot;00FC2715&quot;/&gt;&lt;wsp:rsid wsp:val=&quot;00FC2EC8&quot;/&gt;&lt;wsp:rsid wsp:val=&quot;00FC323D&quot;/&gt;&lt;wsp:rsid wsp:val=&quot;00FC38C5&quot;/&gt;&lt;wsp:rsid wsp:val=&quot;00FC3EC9&quot;/&gt;&lt;wsp:rsid wsp:val=&quot;00FC4101&quot;/&gt;&lt;wsp:rsid wsp:val=&quot;00FC43C0&quot;/&gt;&lt;wsp:rsid wsp:val=&quot;00FC43D6&quot;/&gt;&lt;wsp:rsid wsp:val=&quot;00FC5025&quot;/&gt;&lt;wsp:rsid wsp:val=&quot;00FC5E25&quot;/&gt;&lt;wsp:rsid wsp:val=&quot;00FC72A4&quot;/&gt;&lt;wsp:rsid wsp:val=&quot;00FC73F0&quot;/&gt;&lt;wsp:rsid wsp:val=&quot;00FC7A08&quot;/&gt;&lt;wsp:rsid wsp:val=&quot;00FD06EC&quot;/&gt;&lt;wsp:rsid wsp:val=&quot;00FD0723&quot;/&gt;&lt;wsp:rsid wsp:val=&quot;00FD1DF9&quot;/&gt;&lt;wsp:rsid wsp:val=&quot;00FD1FCB&quot;/&gt;&lt;wsp:rsid wsp:val=&quot;00FD2B31&quot;/&gt;&lt;wsp:rsid wsp:val=&quot;00FD36E9&quot;/&gt;&lt;wsp:rsid wsp:val=&quot;00FD4227&quot;/&gt;&lt;wsp:rsid wsp:val=&quot;00FD43B0&quot;/&gt;&lt;wsp:rsid wsp:val=&quot;00FD5251&quot;/&gt;&lt;wsp:rsid wsp:val=&quot;00FD6643&quot;/&gt;&lt;wsp:rsid wsp:val=&quot;00FD6A60&quot;/&gt;&lt;wsp:rsid wsp:val=&quot;00FD6BDE&quot;/&gt;&lt;wsp:rsid wsp:val=&quot;00FD7B85&quot;/&gt;&lt;wsp:rsid wsp:val=&quot;00FE03B3&quot;/&gt;&lt;wsp:rsid wsp:val=&quot;00FE0B1F&quot;/&gt;&lt;wsp:rsid wsp:val=&quot;00FE0D00&quot;/&gt;&lt;wsp:rsid wsp:val=&quot;00FE1325&quot;/&gt;&lt;wsp:rsid wsp:val=&quot;00FE1F08&quot;/&gt;&lt;wsp:rsid wsp:val=&quot;00FE210F&quot;/&gt;&lt;wsp:rsid wsp:val=&quot;00FE224F&quot;/&gt;&lt;wsp:rsid wsp:val=&quot;00FE2AF9&quot;/&gt;&lt;wsp:rsid wsp:val=&quot;00FE3143&quot;/&gt;&lt;wsp:rsid wsp:val=&quot;00FE350B&quot;/&gt;&lt;wsp:rsid wsp:val=&quot;00FE3AA4&quot;/&gt;&lt;wsp:rsid wsp:val=&quot;00FE3F0C&quot;/&gt;&lt;wsp:rsid wsp:val=&quot;00FE4478&quot;/&gt;&lt;wsp:rsid wsp:val=&quot;00FE4503&quot;/&gt;&lt;wsp:rsid wsp:val=&quot;00FE5971&quot;/&gt;&lt;wsp:rsid wsp:val=&quot;00FE5C84&quot;/&gt;&lt;wsp:rsid wsp:val=&quot;00FE629B&quot;/&gt;&lt;wsp:rsid wsp:val=&quot;00FE668D&quot;/&gt;&lt;wsp:rsid wsp:val=&quot;00FE6B3F&quot;/&gt;&lt;wsp:rsid wsp:val=&quot;00FE6B5B&quot;/&gt;&lt;wsp:rsid wsp:val=&quot;00FE718E&quot;/&gt;&lt;wsp:rsid wsp:val=&quot;00FE75A2&quot;/&gt;&lt;wsp:rsid wsp:val=&quot;00FE7B2A&quot;/&gt;&lt;wsp:rsid wsp:val=&quot;00FF0AC5&quot;/&gt;&lt;wsp:rsid wsp:val=&quot;00FF0F11&quot;/&gt;&lt;wsp:rsid wsp:val=&quot;00FF108D&quot;/&gt;&lt;wsp:rsid wsp:val=&quot;00FF18E9&quot;/&gt;&lt;wsp:rsid wsp:val=&quot;00FF1ECC&quot;/&gt;&lt;wsp:rsid wsp:val=&quot;00FF22C7&quot;/&gt;&lt;wsp:rsid wsp:val=&quot;00FF28C8&quot;/&gt;&lt;wsp:rsid wsp:val=&quot;00FF2C46&quot;/&gt;&lt;wsp:rsid wsp:val=&quot;00FF2D1A&quot;/&gt;&lt;wsp:rsid wsp:val=&quot;00FF3821&quot;/&gt;&lt;wsp:rsid wsp:val=&quot;00FF3B51&quot;/&gt;&lt;wsp:rsid wsp:val=&quot;00FF4C0E&quot;/&gt;&lt;/wsp:rsids&gt;&lt;/w:docPr&gt;&lt;w:body&gt;&lt;w:p wsp:rsidR=&quot;00000000&quot; wsp:rsidRDefault=&quot;00CF27C6&quot;&gt;&lt;m:oMathPara&gt;&lt;m:oMath&gt;&lt;m:r&gt;&lt;w:rPr&gt;&lt;w:rFonts w:ascii=&quot;Cambria Math&quot; w:h-ansi=&quot;Cambria Math&quot;/&gt;&lt;wx:font wx:val=&quot;Cambria Math&quot;/&gt;&lt;w:i/&gt;&lt;w:sz w:val=&quot;24&quot;/&gt;&lt;w:sz-cs w:val=&quot;24&quot;/&gt;&lt;w:lang w:val=&quot;EN-US&quot;/&gt;&lt;/w:rPr&gt;&lt;m:t&gt;ÏÅ'&lt;/m:t&gt;&lt;/m:r&gt;&lt;/m:oMath&gt;&lt;/m:oMathPara&gt;&lt;/w:p&gt;&lt;w:sectPr wsp:rsidR=&quot;00000000&quot;&gt;&lt;w:pgSz w:w=&quot;12240&quot; w:h=&quot;15840&quot;/&gt;&lt;w:pgMar w:top=&quot;1417&quot; w:right=&quot;1701&quot; w:bottom=&quot;1417&quot; w:left=&quot;1701&quot; w:header=&quot;720&quot; w:footer=&quot;720&quot; w:gutter=&quot;0&quot;/&gt;&lt;w:cols w:space=&quot;720&quot;/&gt;&lt;/w:sectPr&gt;&lt;/w:body&gt;&lt;/w:wordDocument&gt;">
            <v:imagedata r:id="rId12" o:title="" chromakey="white"/>
          </v:shape>
        </w:pict>
      </w:r>
      <w:r w:rsidRPr="009F34FE">
        <w:rPr>
          <w:rFonts w:ascii="Times New Roman" w:hAnsi="Times New Roman"/>
          <w:sz w:val="24"/>
          <w:szCs w:val="24"/>
          <w:lang w:val="en-US"/>
        </w:rPr>
        <w:instrText xml:space="preserve"> </w:instrText>
      </w:r>
      <w:r w:rsidRPr="009F34FE">
        <w:rPr>
          <w:rFonts w:ascii="Times New Roman" w:hAnsi="Times New Roman"/>
          <w:sz w:val="24"/>
          <w:szCs w:val="24"/>
          <w:lang w:val="en-US"/>
        </w:rPr>
        <w:fldChar w:fldCharType="end"/>
      </w:r>
      <w:r>
        <w:rPr>
          <w:rFonts w:ascii="Times New Roman" w:hAnsi="Times New Roman"/>
          <w:sz w:val="24"/>
          <w:szCs w:val="24"/>
          <w:lang w:val="en-US"/>
        </w:rPr>
        <w:t xml:space="preserve"> (i.e., deviations from the time-mean density field) from the sea surface to 1000 m depth.</w:t>
      </w:r>
    </w:p>
    <w:p w14:paraId="0082BFC0" w14:textId="77777777" w:rsidR="00830425" w:rsidRPr="00BC1C0D" w:rsidRDefault="00830425" w:rsidP="00A42484">
      <w:pPr>
        <w:widowControl w:val="0"/>
        <w:autoSpaceDE w:val="0"/>
        <w:autoSpaceDN w:val="0"/>
        <w:adjustRightInd w:val="0"/>
        <w:spacing w:after="240" w:line="480" w:lineRule="auto"/>
        <w:rPr>
          <w:rFonts w:ascii="Times New Roman" w:hAnsi="Times New Roman"/>
          <w:sz w:val="24"/>
          <w:szCs w:val="24"/>
          <w:lang w:val="en-US"/>
        </w:rPr>
      </w:pPr>
      <w:r>
        <w:rPr>
          <w:rFonts w:ascii="Times New Roman" w:hAnsi="Times New Roman"/>
          <w:sz w:val="24"/>
          <w:szCs w:val="24"/>
          <w:lang w:val="en-US"/>
        </w:rPr>
        <w:t xml:space="preserve">Argo floats provide T and S observations once every 10 days at a different location each time as they freely drift with the ocean currents, and thus the steric heights are hardly ever </w:t>
      </w:r>
      <w:r>
        <w:rPr>
          <w:rFonts w:ascii="Times New Roman" w:hAnsi="Times New Roman"/>
          <w:sz w:val="24"/>
          <w:szCs w:val="24"/>
          <w:lang w:val="en-US"/>
        </w:rPr>
        <w:lastRenderedPageBreak/>
        <w:t>collocated with the SSHAs, either in time or space. In consequence, even if the contribution of OBP to SSHAs was exactly zero, the two data sets would still exhibit differences. The approach taken here to obtain SSHA/steric comparison pairs is as follows. For each steric height observation we find all the altimetry measurements taken within 10 days and within a preselected distance of the steric observation. Then the corresponding altimeter SSHA is computed as the median of the selected altimeter measurements. Because the length scales of the mesoscale oceanic structures (given by the internal Rossby radius) decreases as latitude increases, here the maximum distance allowed between the SSHA and the steric height is latitude dependent and is based on typical values of the internal Rossby radius (Chelton et al., 1998). In particular, for latitudes within 10º north and south of the equator we use 150 km, in the bands 10º to 20º north and south we use 100 km, 50 km in the bands 20º to 45º, and 30 km for latitudes above 45</w:t>
      </w:r>
      <w:r w:rsidRPr="007C062B">
        <w:rPr>
          <w:rFonts w:ascii="Times New Roman" w:hAnsi="Times New Roman"/>
          <w:sz w:val="24"/>
          <w:szCs w:val="24"/>
          <w:lang w:val="en-US"/>
        </w:rPr>
        <w:t xml:space="preserve"> </w:t>
      </w:r>
      <w:r>
        <w:rPr>
          <w:rFonts w:ascii="Times New Roman" w:hAnsi="Times New Roman"/>
          <w:sz w:val="24"/>
          <w:szCs w:val="24"/>
          <w:lang w:val="en-US"/>
        </w:rPr>
        <w:t>º north and south. We compared the results obtained using a latitude-dependent maximum distance with those obtained using the same distance for all latitudes, and found that the former significantly increases the correlation between SSHAs and steric heights at most latitudes. Only floats with at least 50 observations in the period between April 2014 and April 2016 are used in our analysis, which results in a total of 2340 Argo floats.</w:t>
      </w:r>
    </w:p>
    <w:p w14:paraId="3302E059" w14:textId="77777777" w:rsidR="00830425" w:rsidRDefault="00830425" w:rsidP="00A42484">
      <w:pPr>
        <w:spacing w:line="480" w:lineRule="auto"/>
        <w:rPr>
          <w:rFonts w:ascii="Times New Roman" w:hAnsi="Times New Roman"/>
          <w:b/>
          <w:sz w:val="24"/>
          <w:szCs w:val="24"/>
          <w:lang w:val="en-GB"/>
        </w:rPr>
      </w:pPr>
      <w:r>
        <w:rPr>
          <w:rFonts w:ascii="Times New Roman" w:hAnsi="Times New Roman"/>
          <w:b/>
          <w:sz w:val="24"/>
          <w:szCs w:val="24"/>
          <w:lang w:val="en-GB"/>
        </w:rPr>
        <w:t>2.5. In situ SWH and wind speed measurements</w:t>
      </w:r>
    </w:p>
    <w:p w14:paraId="106587A2" w14:textId="48A9B681" w:rsidR="00830425" w:rsidRDefault="00830425" w:rsidP="00A42484">
      <w:pPr>
        <w:spacing w:line="480" w:lineRule="auto"/>
        <w:rPr>
          <w:rFonts w:ascii="Times New Roman" w:hAnsi="Times New Roman"/>
          <w:sz w:val="24"/>
          <w:szCs w:val="24"/>
          <w:lang w:val="en-US"/>
        </w:rPr>
      </w:pPr>
      <w:r>
        <w:rPr>
          <w:rFonts w:ascii="Times New Roman" w:hAnsi="Times New Roman"/>
          <w:sz w:val="24"/>
          <w:szCs w:val="24"/>
          <w:lang w:val="en-US"/>
        </w:rPr>
        <w:t>For the validation of the SWH and wind speed against in situ measurements we use hourly buoy data obtained from the National Data Buoy Center (NDBC) at http://www.ndbc.noaa.gov. In particular</w:t>
      </w:r>
      <w:r w:rsidR="00D33EAA">
        <w:rPr>
          <w:rFonts w:ascii="Times New Roman" w:hAnsi="Times New Roman"/>
          <w:sz w:val="24"/>
          <w:szCs w:val="24"/>
          <w:lang w:val="en-US"/>
        </w:rPr>
        <w:t>,</w:t>
      </w:r>
      <w:r>
        <w:rPr>
          <w:rFonts w:ascii="Times New Roman" w:hAnsi="Times New Roman"/>
          <w:sz w:val="24"/>
          <w:szCs w:val="24"/>
          <w:lang w:val="en-US"/>
        </w:rPr>
        <w:t xml:space="preserve"> we use the data in the Standard Meteorological group, where the SWH is computed as the average of the highest one-third of all of the wave heights during the 20-minute sampling period and the wind speed is </w:t>
      </w:r>
      <w:r w:rsidRPr="00C54BCB">
        <w:rPr>
          <w:rFonts w:ascii="Times New Roman" w:hAnsi="Times New Roman"/>
          <w:sz w:val="24"/>
          <w:szCs w:val="24"/>
          <w:lang w:val="en-US"/>
        </w:rPr>
        <w:t>averaged over an eight-minute period</w:t>
      </w:r>
      <w:r>
        <w:rPr>
          <w:rFonts w:ascii="Times New Roman" w:hAnsi="Times New Roman"/>
          <w:sz w:val="24"/>
          <w:szCs w:val="24"/>
          <w:lang w:val="en-US"/>
        </w:rPr>
        <w:t xml:space="preserve">. In order to avoid the problem of degraded performance of altimetry near the </w:t>
      </w:r>
      <w:r>
        <w:rPr>
          <w:rFonts w:ascii="Times New Roman" w:hAnsi="Times New Roman"/>
          <w:sz w:val="24"/>
          <w:szCs w:val="24"/>
          <w:lang w:val="en-US"/>
        </w:rPr>
        <w:lastRenderedPageBreak/>
        <w:t xml:space="preserve">coast the comparison is restricted to buoys located in the open ocean no closer than 40 km to the coast. We use a total of 89 buoys, the locations of which are shown in Figure 2b. Note that since NDBC provides hourly values of SWH and wind speed the maximum temporal separation between altimeter and buoy measurements is 30 minutes with a mean value of 15 minutes. The procedure to select altimeter-buoy measurement pairs is as follows. </w:t>
      </w:r>
      <w:r>
        <w:rPr>
          <w:rFonts w:ascii="Times New Roman" w:hAnsi="Times New Roman"/>
          <w:color w:val="000000"/>
          <w:sz w:val="24"/>
          <w:szCs w:val="24"/>
          <w:lang w:val="en-GB"/>
        </w:rPr>
        <w:t>F</w:t>
      </w:r>
      <w:r w:rsidRPr="00D91AB0">
        <w:rPr>
          <w:rFonts w:ascii="Times New Roman" w:hAnsi="Times New Roman"/>
          <w:color w:val="000000"/>
          <w:sz w:val="24"/>
          <w:szCs w:val="24"/>
          <w:lang w:val="en-GB"/>
        </w:rPr>
        <w:t>or each altimetry pass</w:t>
      </w:r>
      <w:r>
        <w:rPr>
          <w:rFonts w:ascii="Times New Roman" w:hAnsi="Times New Roman"/>
          <w:color w:val="000000"/>
          <w:sz w:val="24"/>
          <w:szCs w:val="24"/>
          <w:lang w:val="en-GB"/>
        </w:rPr>
        <w:t xml:space="preserve"> falling within 20 km of the buoy,</w:t>
      </w:r>
      <w:r w:rsidRPr="00D91AB0">
        <w:rPr>
          <w:rFonts w:ascii="Times New Roman" w:hAnsi="Times New Roman"/>
          <w:color w:val="000000"/>
          <w:sz w:val="24"/>
          <w:szCs w:val="24"/>
          <w:lang w:val="en-GB"/>
        </w:rPr>
        <w:t xml:space="preserve"> an altimetry value is </w:t>
      </w:r>
      <w:r>
        <w:rPr>
          <w:rFonts w:ascii="Times New Roman" w:hAnsi="Times New Roman"/>
          <w:color w:val="000000"/>
          <w:sz w:val="24"/>
          <w:szCs w:val="24"/>
          <w:lang w:val="en-GB"/>
        </w:rPr>
        <w:t>obtained by computing the mean</w:t>
      </w:r>
      <w:r w:rsidRPr="00D91AB0">
        <w:rPr>
          <w:rFonts w:ascii="Times New Roman" w:hAnsi="Times New Roman"/>
          <w:color w:val="000000"/>
          <w:sz w:val="24"/>
          <w:szCs w:val="24"/>
          <w:lang w:val="en-GB"/>
        </w:rPr>
        <w:t xml:space="preserve"> of all records falling within the selected radius. The corresponding </w:t>
      </w:r>
      <w:r>
        <w:rPr>
          <w:rFonts w:ascii="Times New Roman" w:hAnsi="Times New Roman"/>
          <w:color w:val="000000"/>
          <w:sz w:val="24"/>
          <w:szCs w:val="24"/>
          <w:lang w:val="en-GB"/>
        </w:rPr>
        <w:t>buoy</w:t>
      </w:r>
      <w:r w:rsidRPr="00D91AB0">
        <w:rPr>
          <w:rFonts w:ascii="Times New Roman" w:hAnsi="Times New Roman"/>
          <w:color w:val="000000"/>
          <w:sz w:val="24"/>
          <w:szCs w:val="24"/>
          <w:lang w:val="en-GB"/>
        </w:rPr>
        <w:t xml:space="preserve"> matching value is obtained by linearly interpolating the </w:t>
      </w:r>
      <w:r>
        <w:rPr>
          <w:rFonts w:ascii="Times New Roman" w:hAnsi="Times New Roman"/>
          <w:color w:val="000000"/>
          <w:sz w:val="24"/>
          <w:szCs w:val="24"/>
          <w:lang w:val="en-GB"/>
        </w:rPr>
        <w:t xml:space="preserve">buoy observations to the </w:t>
      </w:r>
      <w:r w:rsidRPr="00D91AB0">
        <w:rPr>
          <w:rFonts w:ascii="Times New Roman" w:hAnsi="Times New Roman"/>
          <w:color w:val="000000"/>
          <w:sz w:val="24"/>
          <w:szCs w:val="24"/>
          <w:lang w:val="en-GB"/>
        </w:rPr>
        <w:t xml:space="preserve">time of </w:t>
      </w:r>
      <w:r>
        <w:rPr>
          <w:rFonts w:ascii="Times New Roman" w:hAnsi="Times New Roman"/>
          <w:color w:val="000000"/>
          <w:sz w:val="24"/>
          <w:szCs w:val="24"/>
          <w:lang w:val="en-GB"/>
        </w:rPr>
        <w:t xml:space="preserve">each </w:t>
      </w:r>
      <w:r w:rsidRPr="00D91AB0">
        <w:rPr>
          <w:rFonts w:ascii="Times New Roman" w:hAnsi="Times New Roman"/>
          <w:color w:val="000000"/>
          <w:sz w:val="24"/>
          <w:szCs w:val="24"/>
          <w:lang w:val="en-GB"/>
        </w:rPr>
        <w:t>altimetry pass</w:t>
      </w:r>
      <w:r>
        <w:rPr>
          <w:rFonts w:ascii="Times New Roman" w:hAnsi="Times New Roman"/>
          <w:color w:val="000000"/>
          <w:sz w:val="24"/>
          <w:szCs w:val="24"/>
          <w:lang w:val="en-GB"/>
        </w:rPr>
        <w:t>.</w:t>
      </w:r>
    </w:p>
    <w:p w14:paraId="221113E7" w14:textId="77777777" w:rsidR="00830425" w:rsidRPr="00B00BE7" w:rsidRDefault="00830425" w:rsidP="00A42484">
      <w:pPr>
        <w:spacing w:line="480" w:lineRule="auto"/>
        <w:rPr>
          <w:rFonts w:ascii="Times New Roman" w:hAnsi="Times New Roman"/>
          <w:sz w:val="24"/>
          <w:szCs w:val="24"/>
          <w:lang w:val="en-US"/>
        </w:rPr>
      </w:pPr>
      <w:r>
        <w:rPr>
          <w:rFonts w:ascii="Times New Roman" w:hAnsi="Times New Roman"/>
          <w:sz w:val="24"/>
          <w:szCs w:val="24"/>
          <w:lang w:val="en-US"/>
        </w:rPr>
        <w:t>Note that because the RMSD between two measurements separated by 15 minutes is expected to be only about 10 cm for SWH and 0.3 m/s for wind speed (Monaldo, 1988), we expect temporal separation to have only a small impact on the comparison between the two types of measurements. The maximum distance of 20 km has been selected based on the results of Monaldo (1988) who found that two observations separated by 20 km are expected to differ by no more than 0.2 m for SWH and 0.5 m/s for wind speed.</w:t>
      </w:r>
    </w:p>
    <w:p w14:paraId="0435500A" w14:textId="77777777" w:rsidR="00830425" w:rsidRDefault="00830425" w:rsidP="00A42484">
      <w:pPr>
        <w:spacing w:line="480" w:lineRule="auto"/>
        <w:rPr>
          <w:rFonts w:ascii="Times New Roman" w:hAnsi="Times New Roman"/>
          <w:b/>
          <w:sz w:val="24"/>
          <w:szCs w:val="24"/>
          <w:lang w:val="en-GB"/>
        </w:rPr>
      </w:pPr>
      <w:r>
        <w:rPr>
          <w:rFonts w:ascii="Times New Roman" w:hAnsi="Times New Roman"/>
          <w:b/>
          <w:sz w:val="24"/>
          <w:szCs w:val="24"/>
          <w:lang w:val="en-GB"/>
        </w:rPr>
        <w:t>2.6. Wavewatch III data</w:t>
      </w:r>
    </w:p>
    <w:p w14:paraId="0C4C3390" w14:textId="3A82E10F" w:rsidR="00830425" w:rsidRDefault="00830425" w:rsidP="00A42484">
      <w:pPr>
        <w:widowControl w:val="0"/>
        <w:tabs>
          <w:tab w:val="left" w:pos="220"/>
          <w:tab w:val="left" w:pos="720"/>
        </w:tabs>
        <w:autoSpaceDE w:val="0"/>
        <w:autoSpaceDN w:val="0"/>
        <w:adjustRightInd w:val="0"/>
        <w:spacing w:after="0" w:line="480" w:lineRule="auto"/>
        <w:rPr>
          <w:rFonts w:ascii="Times New Roman" w:hAnsi="Times New Roman"/>
          <w:color w:val="000000"/>
          <w:sz w:val="24"/>
          <w:szCs w:val="24"/>
          <w:lang w:val="en-US"/>
        </w:rPr>
      </w:pPr>
      <w:r>
        <w:rPr>
          <w:rFonts w:ascii="Times New Roman" w:hAnsi="Times New Roman"/>
          <w:sz w:val="24"/>
          <w:szCs w:val="24"/>
          <w:lang w:val="en-US"/>
        </w:rPr>
        <w:t>SWH data from the WWIII global wave model were obtained (in December 2015) from</w:t>
      </w:r>
      <w:r w:rsidRPr="00220FEC">
        <w:rPr>
          <w:rFonts w:ascii="Times New Roman" w:hAnsi="Times New Roman"/>
          <w:color w:val="000000"/>
          <w:sz w:val="24"/>
          <w:szCs w:val="24"/>
          <w:lang w:val="en-US"/>
        </w:rPr>
        <w:t xml:space="preserve"> </w:t>
      </w:r>
      <w:r>
        <w:rPr>
          <w:rFonts w:ascii="Times New Roman" w:hAnsi="Times New Roman"/>
          <w:color w:val="000000"/>
          <w:sz w:val="24"/>
          <w:szCs w:val="24"/>
          <w:lang w:val="en-US"/>
        </w:rPr>
        <w:t>t</w:t>
      </w:r>
      <w:r w:rsidRPr="00220FEC">
        <w:rPr>
          <w:rFonts w:ascii="Times New Roman" w:hAnsi="Times New Roman"/>
          <w:color w:val="000000"/>
          <w:sz w:val="24"/>
          <w:szCs w:val="24"/>
          <w:lang w:val="en-US"/>
        </w:rPr>
        <w:t>he Pacific Islands Ocean Observing System (PacIOOS) at</w:t>
      </w:r>
      <w:r>
        <w:rPr>
          <w:rFonts w:ascii="Times New Roman" w:hAnsi="Times New Roman"/>
          <w:color w:val="000000"/>
          <w:sz w:val="24"/>
          <w:szCs w:val="24"/>
          <w:lang w:val="en-US"/>
        </w:rPr>
        <w:t xml:space="preserve"> the University of Hawaii (</w:t>
      </w:r>
      <w:r w:rsidRPr="00220FEC">
        <w:rPr>
          <w:rFonts w:ascii="Times New Roman" w:hAnsi="Times New Roman"/>
          <w:sz w:val="24"/>
          <w:szCs w:val="24"/>
          <w:lang w:val="en-US"/>
        </w:rPr>
        <w:t>http://oos.soest.hawaii.edu/erddap/griddap/N</w:t>
      </w:r>
      <w:r>
        <w:rPr>
          <w:rFonts w:ascii="Times New Roman" w:hAnsi="Times New Roman"/>
          <w:sz w:val="24"/>
          <w:szCs w:val="24"/>
          <w:lang w:val="en-US"/>
        </w:rPr>
        <w:t>WWIII</w:t>
      </w:r>
      <w:r w:rsidRPr="00220FEC">
        <w:rPr>
          <w:rFonts w:ascii="Times New Roman" w:hAnsi="Times New Roman"/>
          <w:sz w:val="24"/>
          <w:szCs w:val="24"/>
          <w:lang w:val="en-US"/>
        </w:rPr>
        <w:t>_Global_Best.html</w:t>
      </w:r>
      <w:r>
        <w:rPr>
          <w:rFonts w:ascii="Times New Roman" w:hAnsi="Times New Roman"/>
          <w:sz w:val="24"/>
          <w:szCs w:val="24"/>
          <w:lang w:val="en-US"/>
        </w:rPr>
        <w:t>). The WWIII model provides hourly values of SWH over the global ocean at a 1/2º spatial resolution. The WWIII model is a third generation wave model developed at NOAA/NCEP, which solves the random phase spectral action density balance equation for wave-number direction spectra (Tolman, 2009).</w:t>
      </w:r>
      <w:r>
        <w:rPr>
          <w:rFonts w:ascii="Times New Roman" w:hAnsi="Times New Roman"/>
          <w:color w:val="000000"/>
          <w:sz w:val="24"/>
          <w:szCs w:val="24"/>
          <w:lang w:val="en-US"/>
        </w:rPr>
        <w:t xml:space="preserve"> R</w:t>
      </w:r>
      <w:r w:rsidRPr="0095326B">
        <w:rPr>
          <w:rFonts w:ascii="Times New Roman" w:hAnsi="Times New Roman"/>
          <w:color w:val="000000"/>
          <w:sz w:val="24"/>
          <w:szCs w:val="24"/>
          <w:lang w:val="en-US"/>
        </w:rPr>
        <w:t>efraction and straining of the wave field due to temporal and spatial variations of the mean water depth and of the me</w:t>
      </w:r>
      <w:r>
        <w:rPr>
          <w:rFonts w:ascii="Times New Roman" w:hAnsi="Times New Roman"/>
          <w:color w:val="000000"/>
          <w:sz w:val="24"/>
          <w:szCs w:val="24"/>
          <w:lang w:val="en-US"/>
        </w:rPr>
        <w:t xml:space="preserve">an current are explicitly resolved within the model, while </w:t>
      </w:r>
      <w:r>
        <w:rPr>
          <w:rFonts w:ascii="Times New Roman" w:hAnsi="Times New Roman"/>
          <w:color w:val="000000"/>
          <w:sz w:val="24"/>
          <w:szCs w:val="24"/>
          <w:lang w:val="en-US"/>
        </w:rPr>
        <w:lastRenderedPageBreak/>
        <w:t xml:space="preserve">other physical processes such as wave growth and decay due to the actions of the wind, nonlinear resonant interactions, dissipation, bottom friction, surf-breaking, and scattering due to wave-bottom interactions are parameterized. Nonlinear effects are included in the source terms. Note that the model does not perform wave data assimilation. We refer the reader to the NOAA WaveWatch III home page at </w:t>
      </w:r>
      <w:r w:rsidRPr="00ED3D43">
        <w:rPr>
          <w:rFonts w:ascii="Times New Roman" w:hAnsi="Times New Roman"/>
          <w:color w:val="000000"/>
          <w:sz w:val="24"/>
          <w:szCs w:val="24"/>
          <w:lang w:val="en-US"/>
        </w:rPr>
        <w:t>http://polar.ncep.noaa.gov/waves/wavewatch/wavewatch.shtml</w:t>
      </w:r>
      <w:r>
        <w:rPr>
          <w:rFonts w:ascii="Times New Roman" w:hAnsi="Times New Roman"/>
          <w:color w:val="000000"/>
          <w:sz w:val="24"/>
          <w:szCs w:val="24"/>
          <w:lang w:val="en-US"/>
        </w:rPr>
        <w:t xml:space="preserve"> for more details on the WWIII model.</w:t>
      </w:r>
    </w:p>
    <w:p w14:paraId="6262E5AD" w14:textId="77777777" w:rsidR="00830425" w:rsidRDefault="00830425" w:rsidP="00A42484">
      <w:pPr>
        <w:widowControl w:val="0"/>
        <w:tabs>
          <w:tab w:val="left" w:pos="220"/>
          <w:tab w:val="left" w:pos="720"/>
        </w:tabs>
        <w:autoSpaceDE w:val="0"/>
        <w:autoSpaceDN w:val="0"/>
        <w:adjustRightInd w:val="0"/>
        <w:spacing w:after="0" w:line="480" w:lineRule="auto"/>
        <w:rPr>
          <w:rFonts w:ascii="Times New Roman" w:hAnsi="Times New Roman"/>
          <w:color w:val="000000"/>
          <w:sz w:val="24"/>
          <w:szCs w:val="24"/>
          <w:lang w:val="en-US"/>
        </w:rPr>
      </w:pPr>
      <w:r>
        <w:rPr>
          <w:rFonts w:ascii="Times New Roman" w:hAnsi="Times New Roman"/>
          <w:color w:val="000000"/>
          <w:sz w:val="24"/>
          <w:szCs w:val="24"/>
          <w:lang w:val="en-US"/>
        </w:rPr>
        <w:t xml:space="preserve">The selection of altimetry/model comparison pairs is done in the same way as for the buoy data (see Section 2.5) where each model grid point is assumed to represent a virtual buoy. </w:t>
      </w:r>
    </w:p>
    <w:p w14:paraId="0712158D" w14:textId="77777777" w:rsidR="00830425" w:rsidRPr="0095326B" w:rsidRDefault="00830425" w:rsidP="00A42484">
      <w:pPr>
        <w:widowControl w:val="0"/>
        <w:tabs>
          <w:tab w:val="left" w:pos="220"/>
          <w:tab w:val="left" w:pos="720"/>
        </w:tabs>
        <w:autoSpaceDE w:val="0"/>
        <w:autoSpaceDN w:val="0"/>
        <w:adjustRightInd w:val="0"/>
        <w:spacing w:after="0" w:line="480" w:lineRule="auto"/>
        <w:rPr>
          <w:rFonts w:ascii="Times New Roman" w:hAnsi="Times New Roman"/>
          <w:color w:val="000000"/>
          <w:sz w:val="24"/>
          <w:szCs w:val="24"/>
          <w:lang w:val="en-US"/>
        </w:rPr>
      </w:pPr>
    </w:p>
    <w:p w14:paraId="5BD16909" w14:textId="77777777" w:rsidR="00830425" w:rsidRDefault="00830425" w:rsidP="00A42484">
      <w:pPr>
        <w:spacing w:line="480" w:lineRule="auto"/>
        <w:rPr>
          <w:rFonts w:ascii="Arial" w:hAnsi="Arial" w:cs="Arial"/>
          <w:b/>
          <w:sz w:val="24"/>
          <w:szCs w:val="24"/>
          <w:lang w:val="en-GB"/>
        </w:rPr>
      </w:pPr>
      <w:r w:rsidRPr="00437F4E">
        <w:rPr>
          <w:rFonts w:ascii="Arial" w:hAnsi="Arial" w:cs="Arial"/>
          <w:b/>
          <w:sz w:val="24"/>
          <w:szCs w:val="24"/>
          <w:lang w:val="en-GB"/>
        </w:rPr>
        <w:t>3. Results</w:t>
      </w:r>
    </w:p>
    <w:p w14:paraId="0BB75B8F" w14:textId="77777777" w:rsidR="00830425" w:rsidRDefault="00830425" w:rsidP="00A42484">
      <w:pPr>
        <w:spacing w:line="480" w:lineRule="auto"/>
        <w:rPr>
          <w:rFonts w:ascii="Times New Roman" w:hAnsi="Times New Roman"/>
          <w:b/>
          <w:sz w:val="24"/>
          <w:szCs w:val="24"/>
          <w:lang w:val="en-GB"/>
        </w:rPr>
      </w:pPr>
      <w:r>
        <w:rPr>
          <w:rFonts w:ascii="Times New Roman" w:hAnsi="Times New Roman"/>
          <w:b/>
          <w:sz w:val="24"/>
          <w:szCs w:val="24"/>
          <w:lang w:val="en-GB"/>
        </w:rPr>
        <w:t>3.1. Global assessment of C2 GOP SSHA, SWH, and sigma0</w:t>
      </w:r>
    </w:p>
    <w:p w14:paraId="144035E6" w14:textId="1CA28CA3"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We provide here the results derived from the quality control analysis concerning the performance of the C2 GOP SSHA, SWH, and sigma0. The 20</w:t>
      </w:r>
      <w:r>
        <w:rPr>
          <w:rFonts w:ascii="Times New Roman" w:hAnsi="Times New Roman"/>
          <w:sz w:val="24"/>
          <w:szCs w:val="24"/>
          <w:lang w:val="en-GB"/>
        </w:rPr>
        <w:noBreakHyphen/>
        <w:t>Hz measurement noise, determined as the standard deviation of the twenty records in a 20</w:t>
      </w:r>
      <w:r>
        <w:rPr>
          <w:rFonts w:ascii="Times New Roman" w:hAnsi="Times New Roman"/>
          <w:sz w:val="24"/>
          <w:szCs w:val="24"/>
          <w:lang w:val="en-GB"/>
        </w:rPr>
        <w:noBreakHyphen/>
        <w:t xml:space="preserve">Hz data block, is frequently used in satellite altimetry assessments as a standard measure of the precision of the observed parameters and, therefore, it is one of the diagnostics presented here (Figure 3). One feature that stands out in the spatial distribution of noise (Figure 3) is the higher noise levels of the SSHA and SWH in the PLRM regions. This feature is not observed in the map of sigma0 noise (Figure 3c). The higher noise in PLRM relative to LRM arises from the smaller number of statistically independent individual radar echoes that can be incoherently averaged prior to estimate of the geophysical parameters. When in LRM, SIRAL has a pulse repetition frequency (PRF) of about 2 k – normally assumed as the maximum frequency at which the looks over the ocean can still be considered statistically independent (Walsh, 1982); the instrument measures continuously at this PRF in LRM. When in SAR mode (from which the </w:t>
      </w:r>
      <w:r>
        <w:rPr>
          <w:rFonts w:ascii="Times New Roman" w:hAnsi="Times New Roman"/>
          <w:sz w:val="24"/>
          <w:szCs w:val="24"/>
          <w:lang w:val="en-GB"/>
        </w:rPr>
        <w:lastRenderedPageBreak/>
        <w:t xml:space="preserve">PLRM mode waveforms are generated) SIRAL instead sends out ‘bursts’ of 64 pulses with a PRF of 18.18 k. This higher PRF is needed for SAR-mode processing but gives virtually no advantage for pulse-limited observations, as the echoes are not independent. SIRAL switches to reception mode between bursts and so over a burst repetition interval of 11.8 ns the instrument is in transmission mode only for ~30% of the time. Hence there are only about 1/3 as many ‘looks’ available per unit time in PLRM </w:t>
      </w:r>
      <w:r w:rsidR="00C9650D">
        <w:rPr>
          <w:rFonts w:ascii="Times New Roman" w:hAnsi="Times New Roman"/>
          <w:sz w:val="24"/>
          <w:szCs w:val="24"/>
          <w:lang w:val="en-GB"/>
        </w:rPr>
        <w:t xml:space="preserve">as </w:t>
      </w:r>
      <w:r>
        <w:rPr>
          <w:rFonts w:ascii="Times New Roman" w:hAnsi="Times New Roman"/>
          <w:sz w:val="24"/>
          <w:szCs w:val="24"/>
          <w:lang w:val="en-GB"/>
        </w:rPr>
        <w:t xml:space="preserve">compared to LRM. Averaging echoes (needed to reduce the speckle noise) with only 1/3 of those available for LRM in theory yields a higher noise by a factor </w:t>
      </w:r>
      <w:r w:rsidRPr="009F34FE">
        <w:rPr>
          <w:rFonts w:ascii="Times New Roman" w:hAnsi="Times New Roman"/>
          <w:sz w:val="24"/>
          <w:szCs w:val="24"/>
          <w:lang w:val="en-GB"/>
        </w:rPr>
        <w:fldChar w:fldCharType="begin"/>
      </w:r>
      <w:r w:rsidRPr="009F34FE">
        <w:rPr>
          <w:rFonts w:ascii="Times New Roman" w:hAnsi="Times New Roman"/>
          <w:sz w:val="24"/>
          <w:szCs w:val="24"/>
          <w:lang w:val="en-GB"/>
        </w:rPr>
        <w:instrText xml:space="preserve"> QUOTE </w:instrText>
      </w:r>
      <m:oMath>
        <m:rad>
          <m:radPr>
            <m:degHide m:val="1"/>
            <m:ctrlPr>
              <w:rPr>
                <w:rFonts w:ascii="Cambria Math" w:hAnsi="Cambria Math"/>
                <w:i/>
                <w:sz w:val="24"/>
                <w:szCs w:val="24"/>
                <w:lang w:val="en-GB"/>
              </w:rPr>
            </m:ctrlPr>
          </m:radPr>
          <m:deg/>
          <m:e>
            <m:r>
              <m:rPr>
                <m:sty m:val="p"/>
              </m:rPr>
              <w:rPr>
                <w:rFonts w:ascii="Cambria Math" w:hAnsi="Cambria Math"/>
                <w:sz w:val="24"/>
                <w:szCs w:val="24"/>
                <w:lang w:val="en-GB"/>
              </w:rPr>
              <m:t>3</m:t>
            </m:r>
          </m:e>
        </m:rad>
      </m:oMath>
      <w:r w:rsidRPr="009F34FE">
        <w:rPr>
          <w:rFonts w:ascii="Times New Roman" w:hAnsi="Times New Roman"/>
          <w:sz w:val="24"/>
          <w:szCs w:val="24"/>
          <w:lang w:val="en-GB"/>
        </w:rPr>
        <w:instrText xml:space="preserve"> </w:instrText>
      </w:r>
      <w:r w:rsidRPr="009F34FE">
        <w:rPr>
          <w:rFonts w:ascii="Times New Roman" w:hAnsi="Times New Roman"/>
          <w:sz w:val="24"/>
          <w:szCs w:val="24"/>
          <w:lang w:val="en-GB"/>
        </w:rPr>
        <w:fldChar w:fldCharType="separate"/>
      </w:r>
      <w:r w:rsidR="00AB5329">
        <w:rPr>
          <w:rFonts w:ascii="Times New Roman" w:hAnsi="Times New Roman"/>
          <w:position w:val="-8"/>
          <w:sz w:val="24"/>
          <w:szCs w:val="24"/>
          <w:lang w:val="en-GB"/>
        </w:rPr>
        <w:pict w14:anchorId="092B9967">
          <v:shape id="_x0000_i1027" type="#_x0000_t75" style="width:18.75pt;height:18.75pt">
            <v:imagedata r:id="rId13" o:title=""/>
          </v:shape>
        </w:pict>
      </w:r>
      <w:r w:rsidRPr="009F34FE">
        <w:rPr>
          <w:rFonts w:ascii="Times New Roman" w:hAnsi="Times New Roman"/>
          <w:sz w:val="24"/>
          <w:szCs w:val="24"/>
          <w:lang w:val="en-GB"/>
        </w:rPr>
        <w:fldChar w:fldCharType="end"/>
      </w:r>
      <w:r>
        <w:rPr>
          <w:rFonts w:ascii="Times New Roman" w:hAnsi="Times New Roman"/>
          <w:sz w:val="24"/>
          <w:szCs w:val="24"/>
          <w:lang w:val="en-GB"/>
        </w:rPr>
        <w:t xml:space="preserve">. In practice the PLRM to LRM noise ratio is slightly less than </w:t>
      </w:r>
      <w:r w:rsidRPr="009F34FE">
        <w:rPr>
          <w:rFonts w:ascii="Times New Roman" w:hAnsi="Times New Roman"/>
          <w:sz w:val="24"/>
          <w:szCs w:val="24"/>
          <w:lang w:val="en-GB"/>
        </w:rPr>
        <w:fldChar w:fldCharType="begin"/>
      </w:r>
      <w:r w:rsidRPr="009F34FE">
        <w:rPr>
          <w:rFonts w:ascii="Times New Roman" w:hAnsi="Times New Roman"/>
          <w:sz w:val="24"/>
          <w:szCs w:val="24"/>
          <w:lang w:val="en-GB"/>
        </w:rPr>
        <w:instrText xml:space="preserve"> QUOTE </w:instrText>
      </w:r>
      <m:oMath>
        <m:rad>
          <m:radPr>
            <m:degHide m:val="1"/>
            <m:ctrlPr>
              <w:rPr>
                <w:rFonts w:ascii="Cambria Math" w:hAnsi="Cambria Math"/>
                <w:i/>
                <w:sz w:val="24"/>
                <w:szCs w:val="24"/>
                <w:lang w:val="en-GB"/>
              </w:rPr>
            </m:ctrlPr>
          </m:radPr>
          <m:deg/>
          <m:e>
            <m:r>
              <m:rPr>
                <m:sty m:val="p"/>
              </m:rPr>
              <w:rPr>
                <w:rFonts w:ascii="Cambria Math" w:hAnsi="Cambria Math"/>
                <w:sz w:val="24"/>
                <w:szCs w:val="24"/>
                <w:lang w:val="en-GB"/>
              </w:rPr>
              <m:t>3</m:t>
            </m:r>
          </m:e>
        </m:rad>
      </m:oMath>
      <w:r w:rsidRPr="009F34FE">
        <w:rPr>
          <w:rFonts w:ascii="Times New Roman" w:hAnsi="Times New Roman"/>
          <w:sz w:val="24"/>
          <w:szCs w:val="24"/>
          <w:lang w:val="en-GB"/>
        </w:rPr>
        <w:instrText xml:space="preserve"> </w:instrText>
      </w:r>
      <w:r w:rsidRPr="009F34FE">
        <w:rPr>
          <w:rFonts w:ascii="Times New Roman" w:hAnsi="Times New Roman"/>
          <w:sz w:val="24"/>
          <w:szCs w:val="24"/>
          <w:lang w:val="en-GB"/>
        </w:rPr>
        <w:fldChar w:fldCharType="separate"/>
      </w:r>
      <w:r w:rsidR="00AB5329">
        <w:rPr>
          <w:rFonts w:ascii="Times New Roman" w:hAnsi="Times New Roman"/>
          <w:position w:val="-8"/>
          <w:sz w:val="24"/>
          <w:szCs w:val="24"/>
          <w:lang w:val="en-GB"/>
        </w:rPr>
        <w:pict w14:anchorId="68A8B7E4">
          <v:shape id="_x0000_i1028" type="#_x0000_t75" style="width:18.75pt;height:18.75pt">
            <v:imagedata r:id="rId14" o:title=""/>
          </v:shape>
        </w:pict>
      </w:r>
      <w:r w:rsidRPr="009F34FE">
        <w:rPr>
          <w:rFonts w:ascii="Times New Roman" w:hAnsi="Times New Roman"/>
          <w:sz w:val="24"/>
          <w:szCs w:val="24"/>
          <w:lang w:val="en-GB"/>
        </w:rPr>
        <w:fldChar w:fldCharType="end"/>
      </w:r>
      <w:r>
        <w:rPr>
          <w:rFonts w:ascii="Times New Roman" w:hAnsi="Times New Roman"/>
          <w:sz w:val="24"/>
          <w:szCs w:val="24"/>
          <w:lang w:val="en-GB"/>
        </w:rPr>
        <w:t>, as speckle noise still has a degree of decorrelation at frequencies higher than 2 KHz, especially for high state seas.</w:t>
      </w:r>
    </w:p>
    <w:p w14:paraId="7E606DD3"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drawing>
          <wp:inline distT="0" distB="0" distL="0" distR="0" wp14:anchorId="2BA39DDD" wp14:editId="3EEC00AD">
            <wp:extent cx="4173220" cy="2850515"/>
            <wp:effectExtent l="0" t="0" r="0" b="0"/>
            <wp:docPr id="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73220" cy="2850515"/>
                    </a:xfrm>
                    <a:prstGeom prst="rect">
                      <a:avLst/>
                    </a:prstGeom>
                    <a:noFill/>
                    <a:ln>
                      <a:noFill/>
                    </a:ln>
                  </pic:spPr>
                </pic:pic>
              </a:graphicData>
            </a:graphic>
          </wp:inline>
        </w:drawing>
      </w:r>
    </w:p>
    <w:p w14:paraId="54623D79"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lastRenderedPageBreak/>
        <w:drawing>
          <wp:inline distT="0" distB="0" distL="0" distR="0" wp14:anchorId="7EE2BB12" wp14:editId="5B2F93A7">
            <wp:extent cx="4173220" cy="2850515"/>
            <wp:effectExtent l="0" t="0" r="0" b="0"/>
            <wp:docPr id="1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73220" cy="2850515"/>
                    </a:xfrm>
                    <a:prstGeom prst="rect">
                      <a:avLst/>
                    </a:prstGeom>
                    <a:noFill/>
                    <a:ln>
                      <a:noFill/>
                    </a:ln>
                  </pic:spPr>
                </pic:pic>
              </a:graphicData>
            </a:graphic>
          </wp:inline>
        </w:drawing>
      </w:r>
    </w:p>
    <w:p w14:paraId="57DD34AE"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drawing>
          <wp:inline distT="0" distB="0" distL="0" distR="0" wp14:anchorId="4B406015" wp14:editId="7FB2ED7A">
            <wp:extent cx="4153535" cy="2850515"/>
            <wp:effectExtent l="0" t="0" r="12065" b="0"/>
            <wp:docPr id="1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153535" cy="2850515"/>
                    </a:xfrm>
                    <a:prstGeom prst="rect">
                      <a:avLst/>
                    </a:prstGeom>
                    <a:noFill/>
                    <a:ln>
                      <a:noFill/>
                    </a:ln>
                  </pic:spPr>
                </pic:pic>
              </a:graphicData>
            </a:graphic>
          </wp:inline>
        </w:drawing>
      </w:r>
    </w:p>
    <w:p w14:paraId="5C3ADC5D" w14:textId="71306FC6" w:rsidR="00830425" w:rsidRDefault="00830425" w:rsidP="00A42484">
      <w:pPr>
        <w:widowControl w:val="0"/>
        <w:autoSpaceDE w:val="0"/>
        <w:autoSpaceDN w:val="0"/>
        <w:adjustRightInd w:val="0"/>
        <w:spacing w:after="0" w:line="480" w:lineRule="auto"/>
        <w:rPr>
          <w:rFonts w:ascii="Times New Roman" w:hAnsi="Times New Roman"/>
          <w:sz w:val="24"/>
          <w:szCs w:val="24"/>
          <w:lang w:val="en-US"/>
        </w:rPr>
      </w:pPr>
      <w:r w:rsidRPr="008121D4">
        <w:rPr>
          <w:rFonts w:ascii="Times New Roman" w:hAnsi="Times New Roman"/>
          <w:b/>
          <w:sz w:val="24"/>
          <w:szCs w:val="24"/>
          <w:lang w:val="en-GB"/>
        </w:rPr>
        <w:t>Figure 3</w:t>
      </w:r>
      <w:r>
        <w:rPr>
          <w:rFonts w:ascii="Times New Roman" w:hAnsi="Times New Roman"/>
          <w:sz w:val="24"/>
          <w:szCs w:val="24"/>
          <w:lang w:val="en-GB"/>
        </w:rPr>
        <w:t xml:space="preserve">. </w:t>
      </w:r>
      <w:r>
        <w:rPr>
          <w:rFonts w:ascii="Times New Roman" w:hAnsi="Times New Roman"/>
          <w:sz w:val="24"/>
          <w:szCs w:val="24"/>
          <w:lang w:val="en-US"/>
        </w:rPr>
        <w:t>Geographical distribution of the 20-Hz measurement noise for the C2 GOP (a) SSHA, (b) SWH, (c) and sigma0 over oceans and lakes for May 2015. The statistical values shown in the table are calculated separately for LRM and PLRM regions. The tables show the 5% (p5), 25% (p25), 50% (median), 75% (p75), and 95% (p95) percentiles together with the mean and the standard deviation (std). The thick black lines mark the outer limit of the Arctic and Antarctic polar polygons whereas the thin black lines denote regions where SAR mode is operated.</w:t>
      </w:r>
    </w:p>
    <w:p w14:paraId="5924BDDD" w14:textId="77777777" w:rsidR="00830425" w:rsidRDefault="00830425" w:rsidP="00A42484">
      <w:pPr>
        <w:spacing w:line="480" w:lineRule="auto"/>
        <w:rPr>
          <w:rFonts w:ascii="Times New Roman" w:hAnsi="Times New Roman"/>
          <w:sz w:val="24"/>
          <w:szCs w:val="24"/>
          <w:lang w:val="en-GB"/>
        </w:rPr>
      </w:pPr>
    </w:p>
    <w:p w14:paraId="7194BE91" w14:textId="77777777"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For the SSHA the mean measurement noise over the global oceans is 7.7</w:t>
      </w:r>
      <w:r>
        <w:rPr>
          <w:rFonts w:ascii="Times New Roman" w:hAnsi="Times New Roman"/>
          <w:sz w:val="24"/>
          <w:szCs w:val="24"/>
          <w:lang w:val="en-GB"/>
        </w:rPr>
        <w:sym w:font="Symbol" w:char="F0B1"/>
      </w:r>
      <w:r>
        <w:rPr>
          <w:rFonts w:ascii="Times New Roman" w:hAnsi="Times New Roman"/>
          <w:sz w:val="24"/>
          <w:szCs w:val="24"/>
          <w:lang w:val="en-GB"/>
        </w:rPr>
        <w:t>2.3 cm for LRM and 11.2</w:t>
      </w:r>
      <w:r>
        <w:rPr>
          <w:rFonts w:ascii="Times New Roman" w:hAnsi="Times New Roman"/>
          <w:sz w:val="24"/>
          <w:szCs w:val="24"/>
          <w:lang w:val="en-GB"/>
        </w:rPr>
        <w:sym w:font="Symbol" w:char="F0B1"/>
      </w:r>
      <w:r>
        <w:rPr>
          <w:rFonts w:ascii="Times New Roman" w:hAnsi="Times New Roman"/>
          <w:sz w:val="24"/>
          <w:szCs w:val="24"/>
          <w:lang w:val="en-GB"/>
        </w:rPr>
        <w:t>2.6 cm for PLRM, representing a PLRM to LRM noise ratio of 1.5. We find a similar ratio for the SWH noise with mean values of 49.4</w:t>
      </w:r>
      <w:r>
        <w:rPr>
          <w:rFonts w:ascii="Times New Roman" w:hAnsi="Times New Roman"/>
          <w:sz w:val="24"/>
          <w:szCs w:val="24"/>
          <w:lang w:val="en-GB"/>
        </w:rPr>
        <w:sym w:font="Symbol" w:char="F0B1"/>
      </w:r>
      <w:r>
        <w:rPr>
          <w:rFonts w:ascii="Times New Roman" w:hAnsi="Times New Roman"/>
          <w:sz w:val="24"/>
          <w:szCs w:val="24"/>
          <w:lang w:val="en-GB"/>
        </w:rPr>
        <w:t>11.8 cm and 69.8</w:t>
      </w:r>
      <w:r>
        <w:rPr>
          <w:rFonts w:ascii="Times New Roman" w:hAnsi="Times New Roman"/>
          <w:sz w:val="24"/>
          <w:szCs w:val="24"/>
          <w:lang w:val="en-GB"/>
        </w:rPr>
        <w:sym w:font="Symbol" w:char="F0B1"/>
      </w:r>
      <w:r>
        <w:rPr>
          <w:rFonts w:ascii="Times New Roman" w:hAnsi="Times New Roman"/>
          <w:sz w:val="24"/>
          <w:szCs w:val="24"/>
          <w:lang w:val="en-GB"/>
        </w:rPr>
        <w:t>13.2 cm, for LRM and PLRM respectively. Sigma0 noise values show no difference between LRM and PLRM, with mean values of 0.11</w:t>
      </w:r>
      <w:r>
        <w:rPr>
          <w:rFonts w:ascii="Times New Roman" w:hAnsi="Times New Roman"/>
          <w:sz w:val="24"/>
          <w:szCs w:val="24"/>
          <w:lang w:val="en-GB"/>
        </w:rPr>
        <w:sym w:font="Symbol" w:char="F0B1"/>
      </w:r>
      <w:r>
        <w:rPr>
          <w:rFonts w:ascii="Times New Roman" w:hAnsi="Times New Roman"/>
          <w:sz w:val="24"/>
          <w:szCs w:val="24"/>
          <w:lang w:val="en-GB"/>
        </w:rPr>
        <w:t>0.03 dB and 0.10</w:t>
      </w:r>
      <w:r>
        <w:rPr>
          <w:rFonts w:ascii="Times New Roman" w:hAnsi="Times New Roman"/>
          <w:sz w:val="24"/>
          <w:szCs w:val="24"/>
          <w:lang w:val="en-GB"/>
        </w:rPr>
        <w:sym w:font="Symbol" w:char="F0B1"/>
      </w:r>
      <w:r>
        <w:rPr>
          <w:rFonts w:ascii="Times New Roman" w:hAnsi="Times New Roman"/>
          <w:sz w:val="24"/>
          <w:szCs w:val="24"/>
          <w:lang w:val="en-GB"/>
        </w:rPr>
        <w:t>0.03 dB respectively. Note the relatively small values of the standard deviation associated with the mean noise values, reflecting the high spatial uniformity of the noise within LRM and PLRM regions, which is also apparent in the noise maps.</w:t>
      </w:r>
    </w:p>
    <w:p w14:paraId="725FC778" w14:textId="77777777" w:rsidR="00830425" w:rsidRDefault="00830425" w:rsidP="00A42484">
      <w:pPr>
        <w:spacing w:line="480" w:lineRule="auto"/>
        <w:rPr>
          <w:rFonts w:ascii="Times New Roman" w:hAnsi="Times New Roman"/>
          <w:color w:val="000000"/>
          <w:sz w:val="24"/>
          <w:szCs w:val="24"/>
          <w:lang w:val="en-US"/>
        </w:rPr>
      </w:pPr>
      <w:r>
        <w:rPr>
          <w:rFonts w:ascii="Times New Roman" w:hAnsi="Times New Roman"/>
          <w:sz w:val="24"/>
          <w:szCs w:val="24"/>
          <w:lang w:val="en-GB"/>
        </w:rPr>
        <w:t>Assuming that noise in the 20</w:t>
      </w:r>
      <w:r>
        <w:rPr>
          <w:rFonts w:ascii="Times New Roman" w:hAnsi="Times New Roman"/>
          <w:sz w:val="24"/>
          <w:szCs w:val="24"/>
          <w:lang w:val="en-GB"/>
        </w:rPr>
        <w:noBreakHyphen/>
        <w:t>Hz measurements is independent, a noise of 7.7 cm at 20 Hz corresponds to a value of about 1.7 cm when averaging to 1 Hz, which reflects a very high precision for the altimeter. Note however that because of the relatively low energy associated with small length scales this level of noise can corrupt signals with spatial scales of up to 100 km (Kim et al., 2011; Dibarboure et al., 2014). In order to further illustrate this we show the along-track SSHA power spectrum density (PSD) over May-June 2015 for the 20</w:t>
      </w:r>
      <w:r>
        <w:rPr>
          <w:rFonts w:ascii="Times New Roman" w:hAnsi="Times New Roman"/>
          <w:sz w:val="24"/>
          <w:szCs w:val="24"/>
          <w:lang w:val="en-GB"/>
        </w:rPr>
        <w:noBreakHyphen/>
        <w:t>Hz C2 GOP data explicitly separating LRM and PLRM (Figure 4a) and for the 1</w:t>
      </w:r>
      <w:r>
        <w:rPr>
          <w:rFonts w:ascii="Times New Roman" w:hAnsi="Times New Roman"/>
          <w:sz w:val="24"/>
          <w:szCs w:val="24"/>
          <w:lang w:val="en-GB"/>
        </w:rPr>
        <w:noBreakHyphen/>
        <w:t>Hz CryoSat-2 and Jason-2 data (Figure 4b). The PSDs have been computed based on Welch’s algorithm (Welch, 1967) using a window of about 800 km and a 50% overlap. The PSD for the 20</w:t>
      </w:r>
      <w:r>
        <w:rPr>
          <w:rFonts w:ascii="Times New Roman" w:hAnsi="Times New Roman"/>
          <w:sz w:val="24"/>
          <w:szCs w:val="24"/>
          <w:lang w:val="en-GB"/>
        </w:rPr>
        <w:noBreakHyphen/>
        <w:t>Hz data shows that energy decreases with wavenumber until a plateau is reached at wavelengths of about 3 km both for the LRM and PLRM data. The flat power spectrum corresponds to a white noise floor of 7.5 cm and 10.4 cm for the 20</w:t>
      </w:r>
      <w:r>
        <w:rPr>
          <w:rFonts w:ascii="Times New Roman" w:hAnsi="Times New Roman"/>
          <w:sz w:val="24"/>
          <w:szCs w:val="24"/>
          <w:lang w:val="en-GB"/>
        </w:rPr>
        <w:noBreakHyphen/>
        <w:t>Hz LRM and PLRM data respectively, which are consistent with the values of the mean altimeter noise shown in Figure 3. Another interesting feature is the spectral hump that appears in the 20</w:t>
      </w:r>
      <w:r>
        <w:rPr>
          <w:rFonts w:ascii="Times New Roman" w:hAnsi="Times New Roman"/>
          <w:sz w:val="24"/>
          <w:szCs w:val="24"/>
          <w:lang w:val="en-GB"/>
        </w:rPr>
        <w:noBreakHyphen/>
        <w:t xml:space="preserve">Hz LRM data at wavelengths between 3 km and 50 km. This spectral hump is well documented in the altimetry literature </w:t>
      </w:r>
      <w:r>
        <w:rPr>
          <w:rFonts w:ascii="Times New Roman" w:hAnsi="Times New Roman"/>
          <w:sz w:val="24"/>
          <w:szCs w:val="24"/>
          <w:lang w:val="en-GB"/>
        </w:rPr>
        <w:lastRenderedPageBreak/>
        <w:t>and reflects one of the main limiting factors of satellite altimetry in resolving small-scale features (</w:t>
      </w:r>
      <w:r>
        <w:rPr>
          <w:rFonts w:ascii="Times New Roman" w:hAnsi="Times New Roman"/>
          <w:color w:val="000000"/>
          <w:sz w:val="24"/>
          <w:szCs w:val="24"/>
          <w:lang w:val="en-US"/>
        </w:rPr>
        <w:t>Faug</w:t>
      </w:r>
      <w:r w:rsidRPr="00E8311D">
        <w:rPr>
          <w:rFonts w:ascii="Times New Roman" w:hAnsi="Times New Roman"/>
          <w:bCs/>
          <w:color w:val="1C1C1C"/>
          <w:sz w:val="24"/>
          <w:szCs w:val="24"/>
          <w:lang w:val="en-US"/>
        </w:rPr>
        <w:t>è</w:t>
      </w:r>
      <w:r w:rsidRPr="00B9152C">
        <w:rPr>
          <w:rFonts w:ascii="Times New Roman" w:hAnsi="Times New Roman"/>
          <w:color w:val="000000"/>
          <w:sz w:val="24"/>
          <w:szCs w:val="24"/>
          <w:lang w:val="en-US"/>
        </w:rPr>
        <w:t>re</w:t>
      </w:r>
      <w:r>
        <w:rPr>
          <w:rFonts w:ascii="Times New Roman" w:hAnsi="Times New Roman"/>
          <w:color w:val="000000"/>
          <w:sz w:val="24"/>
          <w:szCs w:val="24"/>
          <w:lang w:val="en-US"/>
        </w:rPr>
        <w:t xml:space="preserve"> et al., 2006; Dibarboure et al., 2014). As expected, the spectral hump is not visible in the 1</w:t>
      </w:r>
      <w:r>
        <w:rPr>
          <w:rFonts w:ascii="Times New Roman" w:hAnsi="Times New Roman"/>
          <w:color w:val="000000"/>
          <w:sz w:val="24"/>
          <w:szCs w:val="24"/>
          <w:lang w:val="en-US"/>
        </w:rPr>
        <w:noBreakHyphen/>
        <w:t>Hz data (Figure 4b) since the sampling rate is insufficient to sample the relevant wavenumbers. We note that the noise floor for the 1</w:t>
      </w:r>
      <w:r>
        <w:rPr>
          <w:rFonts w:ascii="Times New Roman" w:hAnsi="Times New Roman"/>
          <w:color w:val="000000"/>
          <w:sz w:val="24"/>
          <w:szCs w:val="24"/>
          <w:lang w:val="en-US"/>
        </w:rPr>
        <w:noBreakHyphen/>
        <w:t>Hz data is about 2.3 cm and 2.9 cm for C2 GOP and J2, respectively. If the errors associated with the 1</w:t>
      </w:r>
      <w:r>
        <w:rPr>
          <w:rFonts w:ascii="Times New Roman" w:hAnsi="Times New Roman"/>
          <w:color w:val="000000"/>
          <w:sz w:val="24"/>
          <w:szCs w:val="24"/>
          <w:lang w:val="en-US"/>
        </w:rPr>
        <w:noBreakHyphen/>
        <w:t>Hz data were Gaussian then the 1</w:t>
      </w:r>
      <w:r>
        <w:rPr>
          <w:rFonts w:ascii="Times New Roman" w:hAnsi="Times New Roman"/>
          <w:color w:val="000000"/>
          <w:sz w:val="24"/>
          <w:szCs w:val="24"/>
          <w:lang w:val="en-US"/>
        </w:rPr>
        <w:noBreakHyphen/>
        <w:t>Hz and 20</w:t>
      </w:r>
      <w:r>
        <w:rPr>
          <w:rFonts w:ascii="Times New Roman" w:hAnsi="Times New Roman"/>
          <w:color w:val="000000"/>
          <w:sz w:val="24"/>
          <w:szCs w:val="24"/>
          <w:lang w:val="en-US"/>
        </w:rPr>
        <w:noBreakHyphen/>
        <w:t xml:space="preserve">Hz noise levels for LRM should differ by roughly a factor of </w:t>
      </w:r>
      <w:r w:rsidR="00AB5329">
        <w:rPr>
          <w:rFonts w:ascii="Times New Roman" w:hAnsi="Times New Roman"/>
          <w:position w:val="-8"/>
          <w:sz w:val="24"/>
          <w:szCs w:val="24"/>
          <w:lang w:val="en-GB"/>
        </w:rPr>
        <w:pict w14:anchorId="0E4D5816">
          <v:shape id="_x0000_i1029" type="#_x0000_t75" style="width:24pt;height:18.75pt">
            <v:imagedata r:id="rId18" o:title=""/>
          </v:shape>
        </w:pict>
      </w:r>
      <w:r>
        <w:rPr>
          <w:rFonts w:ascii="Times New Roman" w:hAnsi="Times New Roman"/>
          <w:color w:val="000000"/>
          <w:sz w:val="24"/>
          <w:szCs w:val="24"/>
          <w:lang w:val="en-US"/>
        </w:rPr>
        <w:t xml:space="preserve">, however we note that they differ by about a factor of </w:t>
      </w:r>
      <w:r w:rsidR="00AB5329">
        <w:rPr>
          <w:rFonts w:ascii="Times New Roman" w:hAnsi="Times New Roman"/>
          <w:position w:val="-8"/>
          <w:sz w:val="24"/>
          <w:szCs w:val="24"/>
          <w:lang w:val="en-GB"/>
        </w:rPr>
        <w:pict w14:anchorId="4838F3B9">
          <v:shape id="_x0000_i1030" type="#_x0000_t75" style="width:23.25pt;height:18.75pt">
            <v:imagedata r:id="rId19" o:title=""/>
          </v:shape>
        </w:pict>
      </w:r>
      <w:r>
        <w:rPr>
          <w:rFonts w:ascii="Times New Roman" w:hAnsi="Times New Roman"/>
          <w:color w:val="000000"/>
          <w:sz w:val="24"/>
          <w:szCs w:val="24"/>
          <w:lang w:val="en-US"/>
        </w:rPr>
        <w:t>. The reason for this is that the 2.3 cm noise of the 1</w:t>
      </w:r>
      <w:r>
        <w:rPr>
          <w:rFonts w:ascii="Times New Roman" w:hAnsi="Times New Roman"/>
          <w:color w:val="000000"/>
          <w:sz w:val="24"/>
          <w:szCs w:val="24"/>
          <w:lang w:val="en-US"/>
        </w:rPr>
        <w:noBreakHyphen/>
        <w:t>Hz data derived from the spectrum represents not only Gaussian noise but also a contribution from the spectral hump affecting the PSD of the 20</w:t>
      </w:r>
      <w:r>
        <w:rPr>
          <w:rFonts w:ascii="Times New Roman" w:hAnsi="Times New Roman"/>
          <w:color w:val="000000"/>
          <w:sz w:val="24"/>
          <w:szCs w:val="24"/>
          <w:lang w:val="en-US"/>
        </w:rPr>
        <w:noBreakHyphen/>
        <w:t>Hz data.</w:t>
      </w:r>
    </w:p>
    <w:p w14:paraId="5F743E1A" w14:textId="77777777" w:rsidR="00830425" w:rsidRDefault="00201F8C" w:rsidP="00BD2140">
      <w:pPr>
        <w:widowControl w:val="0"/>
        <w:autoSpaceDE w:val="0"/>
        <w:autoSpaceDN w:val="0"/>
        <w:adjustRightInd w:val="0"/>
        <w:spacing w:after="0" w:line="480" w:lineRule="auto"/>
        <w:jc w:val="center"/>
        <w:rPr>
          <w:rFonts w:ascii="Times New Roman" w:hAnsi="Times New Roman"/>
          <w:color w:val="000000"/>
          <w:sz w:val="24"/>
          <w:szCs w:val="24"/>
          <w:lang w:val="en-US"/>
        </w:rPr>
      </w:pPr>
      <w:r>
        <w:rPr>
          <w:rFonts w:ascii="Times New Roman" w:hAnsi="Times New Roman"/>
          <w:noProof/>
          <w:color w:val="000000"/>
          <w:sz w:val="24"/>
          <w:szCs w:val="24"/>
          <w:lang w:val="en-GB" w:eastAsia="en-GB"/>
        </w:rPr>
        <w:drawing>
          <wp:inline distT="0" distB="0" distL="0" distR="0" wp14:anchorId="4BEACEBB" wp14:editId="0A09C390">
            <wp:extent cx="3492500" cy="2704465"/>
            <wp:effectExtent l="0" t="0" r="12700" b="0"/>
            <wp:docPr id="1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492500" cy="2704465"/>
                    </a:xfrm>
                    <a:prstGeom prst="rect">
                      <a:avLst/>
                    </a:prstGeom>
                    <a:noFill/>
                    <a:ln>
                      <a:noFill/>
                    </a:ln>
                  </pic:spPr>
                </pic:pic>
              </a:graphicData>
            </a:graphic>
          </wp:inline>
        </w:drawing>
      </w:r>
    </w:p>
    <w:p w14:paraId="097F60DD" w14:textId="77777777" w:rsidR="00830425" w:rsidRDefault="00201F8C" w:rsidP="00BD2140">
      <w:pPr>
        <w:spacing w:line="480" w:lineRule="auto"/>
        <w:jc w:val="center"/>
        <w:rPr>
          <w:rFonts w:ascii="Times New Roman" w:hAnsi="Times New Roman"/>
          <w:color w:val="000000"/>
          <w:sz w:val="24"/>
          <w:szCs w:val="24"/>
          <w:lang w:val="en-US"/>
        </w:rPr>
      </w:pPr>
      <w:r>
        <w:rPr>
          <w:rFonts w:ascii="Times New Roman" w:hAnsi="Times New Roman"/>
          <w:noProof/>
          <w:color w:val="000000"/>
          <w:sz w:val="24"/>
          <w:szCs w:val="24"/>
          <w:lang w:val="en-GB" w:eastAsia="en-GB"/>
        </w:rPr>
        <w:lastRenderedPageBreak/>
        <w:drawing>
          <wp:inline distT="0" distB="0" distL="0" distR="0" wp14:anchorId="33A026CF" wp14:editId="21FD8F38">
            <wp:extent cx="3589655" cy="2704465"/>
            <wp:effectExtent l="0" t="0" r="0" b="0"/>
            <wp:docPr id="1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589655" cy="2704465"/>
                    </a:xfrm>
                    <a:prstGeom prst="rect">
                      <a:avLst/>
                    </a:prstGeom>
                    <a:noFill/>
                    <a:ln>
                      <a:noFill/>
                    </a:ln>
                  </pic:spPr>
                </pic:pic>
              </a:graphicData>
            </a:graphic>
          </wp:inline>
        </w:drawing>
      </w:r>
    </w:p>
    <w:p w14:paraId="76B3A399" w14:textId="77777777" w:rsidR="00830425" w:rsidRDefault="00830425" w:rsidP="00A42484">
      <w:pPr>
        <w:widowControl w:val="0"/>
        <w:autoSpaceDE w:val="0"/>
        <w:autoSpaceDN w:val="0"/>
        <w:adjustRightInd w:val="0"/>
        <w:spacing w:after="0" w:line="480" w:lineRule="auto"/>
        <w:rPr>
          <w:rFonts w:ascii="Times New Roman" w:hAnsi="Times New Roman"/>
          <w:sz w:val="24"/>
          <w:szCs w:val="24"/>
          <w:lang w:val="en-US"/>
        </w:rPr>
      </w:pPr>
      <w:r w:rsidRPr="008121D4">
        <w:rPr>
          <w:rFonts w:ascii="Times New Roman" w:hAnsi="Times New Roman"/>
          <w:b/>
          <w:sz w:val="24"/>
          <w:szCs w:val="24"/>
          <w:lang w:val="en-GB"/>
        </w:rPr>
        <w:t xml:space="preserve">Figure </w:t>
      </w:r>
      <w:r>
        <w:rPr>
          <w:rFonts w:ascii="Times New Roman" w:hAnsi="Times New Roman"/>
          <w:b/>
          <w:sz w:val="24"/>
          <w:szCs w:val="24"/>
          <w:lang w:val="en-GB"/>
        </w:rPr>
        <w:t>4</w:t>
      </w:r>
      <w:r>
        <w:rPr>
          <w:rFonts w:ascii="Times New Roman" w:hAnsi="Times New Roman"/>
          <w:sz w:val="24"/>
          <w:szCs w:val="24"/>
          <w:lang w:val="en-GB"/>
        </w:rPr>
        <w:t>. Along-track SSHA PSD over May-June 2015 for: (a) the 20</w:t>
      </w:r>
      <w:r>
        <w:rPr>
          <w:rFonts w:ascii="Times New Roman" w:hAnsi="Times New Roman"/>
          <w:sz w:val="24"/>
          <w:szCs w:val="24"/>
          <w:lang w:val="en-GB"/>
        </w:rPr>
        <w:noBreakHyphen/>
        <w:t>Hz C2 GOP data explicitly separating LRM and PLRM; and (b) the 1</w:t>
      </w:r>
      <w:r>
        <w:rPr>
          <w:rFonts w:ascii="Times New Roman" w:hAnsi="Times New Roman"/>
          <w:sz w:val="24"/>
          <w:szCs w:val="24"/>
          <w:lang w:val="en-GB"/>
        </w:rPr>
        <w:noBreakHyphen/>
        <w:t>Hz C2 GOP and J2 data.</w:t>
      </w:r>
    </w:p>
    <w:p w14:paraId="64980FF4" w14:textId="77777777" w:rsidR="00830425" w:rsidRDefault="00830425" w:rsidP="00A42484">
      <w:pPr>
        <w:spacing w:line="480" w:lineRule="auto"/>
        <w:rPr>
          <w:rFonts w:ascii="Times New Roman" w:hAnsi="Times New Roman"/>
          <w:sz w:val="24"/>
          <w:szCs w:val="24"/>
          <w:lang w:val="en-GB"/>
        </w:rPr>
      </w:pPr>
    </w:p>
    <w:p w14:paraId="38A8E8B8"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drawing>
          <wp:inline distT="0" distB="0" distL="0" distR="0" wp14:anchorId="176C1DC7" wp14:editId="29BF2B3E">
            <wp:extent cx="2927985" cy="2451100"/>
            <wp:effectExtent l="0" t="0" r="0" b="12700"/>
            <wp:docPr id="1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927985" cy="2451100"/>
                    </a:xfrm>
                    <a:prstGeom prst="rect">
                      <a:avLst/>
                    </a:prstGeom>
                    <a:noFill/>
                    <a:ln>
                      <a:noFill/>
                    </a:ln>
                  </pic:spPr>
                </pic:pic>
              </a:graphicData>
            </a:graphic>
          </wp:inline>
        </w:drawing>
      </w:r>
    </w:p>
    <w:p w14:paraId="42F4B5F5"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lastRenderedPageBreak/>
        <w:drawing>
          <wp:inline distT="0" distB="0" distL="0" distR="0" wp14:anchorId="25EABC19" wp14:editId="393EC501">
            <wp:extent cx="2772410" cy="2451100"/>
            <wp:effectExtent l="0" t="0" r="0" b="12700"/>
            <wp:docPr id="1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772410" cy="2451100"/>
                    </a:xfrm>
                    <a:prstGeom prst="rect">
                      <a:avLst/>
                    </a:prstGeom>
                    <a:noFill/>
                    <a:ln>
                      <a:noFill/>
                    </a:ln>
                  </pic:spPr>
                </pic:pic>
              </a:graphicData>
            </a:graphic>
          </wp:inline>
        </w:drawing>
      </w:r>
    </w:p>
    <w:p w14:paraId="40F54D0C" w14:textId="77777777" w:rsidR="00830425" w:rsidRPr="0049390E" w:rsidRDefault="00830425" w:rsidP="00A42484">
      <w:pPr>
        <w:widowControl w:val="0"/>
        <w:autoSpaceDE w:val="0"/>
        <w:autoSpaceDN w:val="0"/>
        <w:adjustRightInd w:val="0"/>
        <w:spacing w:after="0" w:line="480" w:lineRule="auto"/>
        <w:rPr>
          <w:rFonts w:ascii="Times New Roman" w:hAnsi="Times New Roman"/>
          <w:sz w:val="24"/>
          <w:szCs w:val="24"/>
          <w:lang w:val="en-US"/>
        </w:rPr>
      </w:pPr>
      <w:r w:rsidRPr="0049390E">
        <w:rPr>
          <w:rFonts w:ascii="Times New Roman" w:hAnsi="Times New Roman"/>
          <w:b/>
          <w:sz w:val="24"/>
          <w:szCs w:val="24"/>
          <w:lang w:val="en-GB"/>
        </w:rPr>
        <w:t xml:space="preserve">Figure </w:t>
      </w:r>
      <w:r>
        <w:rPr>
          <w:rFonts w:ascii="Times New Roman" w:hAnsi="Times New Roman"/>
          <w:b/>
          <w:sz w:val="24"/>
          <w:szCs w:val="24"/>
          <w:lang w:val="en-GB"/>
        </w:rPr>
        <w:t>5</w:t>
      </w:r>
      <w:r>
        <w:rPr>
          <w:rFonts w:ascii="Times New Roman" w:hAnsi="Times New Roman"/>
          <w:sz w:val="24"/>
          <w:szCs w:val="24"/>
          <w:lang w:val="en-GB"/>
        </w:rPr>
        <w:t xml:space="preserve">. </w:t>
      </w:r>
      <w:r>
        <w:rPr>
          <w:rFonts w:ascii="Times New Roman" w:hAnsi="Times New Roman"/>
          <w:sz w:val="24"/>
          <w:szCs w:val="24"/>
          <w:lang w:val="en-US"/>
        </w:rPr>
        <w:t>2D histogram showing the C2 GOP 20-Hz SSHA noise as a function of SWH for (a) LRM and (b) PLRM for May 2015. The black line denotes the median SSHA noise as a function of SWH whereas colors indicate number of points within each histogram bin.</w:t>
      </w:r>
    </w:p>
    <w:p w14:paraId="1D99A56B" w14:textId="77777777" w:rsidR="00830425" w:rsidRDefault="00830425" w:rsidP="00A42484">
      <w:pPr>
        <w:spacing w:line="480" w:lineRule="auto"/>
        <w:rPr>
          <w:rFonts w:ascii="Times New Roman" w:hAnsi="Times New Roman"/>
          <w:sz w:val="24"/>
          <w:szCs w:val="24"/>
          <w:lang w:val="en-GB"/>
        </w:rPr>
      </w:pPr>
    </w:p>
    <w:p w14:paraId="2A6BCE77" w14:textId="77777777"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In the light of such differences in noise level between LRM and PLRM measurements, one may suspect continuity issues in the parameters at the edges delimiting regions of distinct operational modes. We have investigated this possibility by quantifying the differences in SSHA and SWH for each altimeter pass between pairs of consecutive points where one of the points is outside the Pacific PLRM box (see Figure 1) while the other is inside. The resulting differences have been compared with the differences between consecutive points both just outside the PLRM box. The mean RMSD for pairs of points in/out of the PLRM box over the entire period (April 2014 to June 2015) is 3.59</w:t>
      </w:r>
      <w:r w:rsidRPr="004A702A">
        <w:rPr>
          <w:lang w:val="en-GB"/>
        </w:rPr>
        <w:t> </w:t>
      </w:r>
      <w:r>
        <w:rPr>
          <w:rFonts w:ascii="Times New Roman" w:hAnsi="Times New Roman"/>
          <w:sz w:val="24"/>
          <w:szCs w:val="24"/>
          <w:lang w:val="en-GB"/>
        </w:rPr>
        <w:t xml:space="preserve">cm and 20.96 cm for the SSHA and the SWH, respectively. Such values are not statistically different from the values of 3.92 cm and 21.42 cm found for pairs of points both just outside the PLRM box, indicating that despite the differences in noise level the parameters do not exhibit any shifts at the transition between LRM and PLRM regions. </w:t>
      </w:r>
    </w:p>
    <w:p w14:paraId="04DC87D9" w14:textId="66911123"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lastRenderedPageBreak/>
        <w:t>Because the SSHA noise generally increases with SWH</w:t>
      </w:r>
      <w:r w:rsidR="00E87DA3">
        <w:rPr>
          <w:rFonts w:ascii="Times New Roman" w:hAnsi="Times New Roman"/>
          <w:sz w:val="24"/>
          <w:szCs w:val="24"/>
          <w:lang w:val="en-GB"/>
        </w:rPr>
        <w:t xml:space="preserve"> (which can be understood intuitively by noting that when the slope of the leading edge decreases, i.e. the SWH increases, then the precision in the timing of the leading edge mid-point is also reduced)</w:t>
      </w:r>
      <w:r>
        <w:rPr>
          <w:rFonts w:ascii="Times New Roman" w:hAnsi="Times New Roman"/>
          <w:sz w:val="24"/>
          <w:szCs w:val="24"/>
          <w:lang w:val="en-GB"/>
        </w:rPr>
        <w:t>, it is informative to show such dependency in the form of a 2D histogram of SSHA noise against SWH (Figure 5). We show this dependency for LRM and PLRM data separately. In agreement with the values shown in Figure 3, PLRM measurements are significantly noisier than LRM. The median of the measurement noise corresponding to a SWH of 2 m is about 6.3 cm for LRM and 10.2 cm for PLRM.</w:t>
      </w:r>
      <w:r w:rsidRPr="00C9557B">
        <w:rPr>
          <w:rFonts w:ascii="Times New Roman" w:hAnsi="Times New Roman"/>
          <w:sz w:val="24"/>
          <w:szCs w:val="24"/>
          <w:lang w:val="en-GB"/>
        </w:rPr>
        <w:t xml:space="preserve"> </w:t>
      </w:r>
      <w:r>
        <w:rPr>
          <w:rFonts w:ascii="Times New Roman" w:hAnsi="Times New Roman"/>
          <w:sz w:val="24"/>
          <w:szCs w:val="24"/>
          <w:lang w:val="en-GB"/>
        </w:rPr>
        <w:t>As expected the SSHA noise increases (almost linearly; see fig 12 of Walsh, 1982) with the SWH for both modes. Note that the rate of increase is more pronounced for the LRM than for the PLRM and the noise medians for the two modes converge for high SWH values. This is expected, as for high sea states the uncertainty originated by the widened distribution of the elementary scatterers at the surface becomes predominant over the noise intrinsic to the instrument measurement mode.</w:t>
      </w:r>
    </w:p>
    <w:p w14:paraId="1B54306E" w14:textId="77777777"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 xml:space="preserve">Another quantity that is commonly used as a measure of the quality of the SSH observed by an altimeter is the difference at crossovers between ascending and descending passes. Figure 6 shows the SSH crossover differences for May 2015. Note that because the crossovers are computed with a maximum temporal separation of 10 days (following the Validation and Cross Calibration annual reports from Aviso), measurements acquired in late April 2015 and early June 2015 are included in the computation. The data gaps in the latitudinal bands 10ºS-10ºN and 45º-60º north and south are related to the CryoSat-2 orbit characteristics and the use of a 10-day window (i.e., no crossovers occur in those regions). The median and the mean of the crossover differences is roughly zero as expected. The vast majority of the values (90%) fall within the range -10 cm to 10 cm, whereas 50% of the values lie in the range -3.8 cm to 3.5 cm. The standard deviation of all crossover differences is 6.7 cm. If we exclude crossover differences larger than 20 cm as well as those corresponding to measurements located in </w:t>
      </w:r>
      <w:r>
        <w:rPr>
          <w:rFonts w:ascii="Times New Roman" w:hAnsi="Times New Roman"/>
          <w:sz w:val="24"/>
          <w:szCs w:val="24"/>
          <w:lang w:val="en-GB"/>
        </w:rPr>
        <w:lastRenderedPageBreak/>
        <w:t>shallow waters (&lt;1000 m) (e.g., Labroue et al., 2012), the standard deviation of the crossovers is reduced to 5.4 cm. We have also computed the standard deviation of the crossover differences for LRM and PLRM separately and found that there is no statistical difference.</w:t>
      </w:r>
    </w:p>
    <w:p w14:paraId="07D29FF7" w14:textId="77777777" w:rsidR="00830425" w:rsidRDefault="00201F8C" w:rsidP="00A42484">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drawing>
          <wp:inline distT="0" distB="0" distL="0" distR="0" wp14:anchorId="38187A80" wp14:editId="1E2050C0">
            <wp:extent cx="4338320" cy="2792095"/>
            <wp:effectExtent l="0" t="0" r="5080" b="1905"/>
            <wp:docPr id="1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38320" cy="2792095"/>
                    </a:xfrm>
                    <a:prstGeom prst="rect">
                      <a:avLst/>
                    </a:prstGeom>
                    <a:noFill/>
                    <a:ln>
                      <a:noFill/>
                    </a:ln>
                  </pic:spPr>
                </pic:pic>
              </a:graphicData>
            </a:graphic>
          </wp:inline>
        </w:drawing>
      </w:r>
    </w:p>
    <w:p w14:paraId="364F7C74" w14:textId="77777777" w:rsidR="00830425" w:rsidRDefault="00830425" w:rsidP="00BD2140">
      <w:pPr>
        <w:widowControl w:val="0"/>
        <w:autoSpaceDE w:val="0"/>
        <w:autoSpaceDN w:val="0"/>
        <w:adjustRightInd w:val="0"/>
        <w:spacing w:after="0" w:line="480" w:lineRule="auto"/>
        <w:rPr>
          <w:rFonts w:ascii="Times New Roman" w:hAnsi="Times New Roman"/>
          <w:sz w:val="24"/>
          <w:szCs w:val="24"/>
          <w:lang w:val="en-GB"/>
        </w:rPr>
      </w:pPr>
      <w:r w:rsidRPr="005A5066">
        <w:rPr>
          <w:rFonts w:ascii="Times New Roman" w:hAnsi="Times New Roman"/>
          <w:b/>
          <w:sz w:val="24"/>
          <w:szCs w:val="24"/>
          <w:lang w:val="en-GB"/>
        </w:rPr>
        <w:t xml:space="preserve">Figure </w:t>
      </w:r>
      <w:r>
        <w:rPr>
          <w:rFonts w:ascii="Times New Roman" w:hAnsi="Times New Roman"/>
          <w:b/>
          <w:sz w:val="24"/>
          <w:szCs w:val="24"/>
          <w:lang w:val="en-GB"/>
        </w:rPr>
        <w:t>6</w:t>
      </w:r>
      <w:r>
        <w:rPr>
          <w:rFonts w:ascii="Times New Roman" w:hAnsi="Times New Roman"/>
          <w:sz w:val="24"/>
          <w:szCs w:val="24"/>
          <w:lang w:val="en-GB"/>
        </w:rPr>
        <w:t xml:space="preserve">. </w:t>
      </w:r>
      <w:r>
        <w:rPr>
          <w:rFonts w:ascii="Times New Roman" w:hAnsi="Times New Roman"/>
          <w:sz w:val="24"/>
          <w:szCs w:val="24"/>
          <w:lang w:val="en-US"/>
        </w:rPr>
        <w:t>Crossover differences for the C2 GOP SSH for May 2015. The difference at each crossover is computed as the difference between median values over 2-s windows centered about the crossover and for passes within a 20-day window (maximum time separation of 10 days). The table shows the 5% (p5), 25% (p25), 50% (median), 75% (p75), and 95% (p95) percentiles together with the mean and the standard deviation (std).</w:t>
      </w:r>
    </w:p>
    <w:p w14:paraId="4A400A35" w14:textId="07F37CC6" w:rsidR="00830425" w:rsidRDefault="00830425" w:rsidP="00A42484">
      <w:pPr>
        <w:spacing w:line="480" w:lineRule="auto"/>
        <w:rPr>
          <w:rFonts w:ascii="Times New Roman" w:hAnsi="Times New Roman"/>
          <w:b/>
          <w:sz w:val="24"/>
          <w:szCs w:val="24"/>
          <w:lang w:val="en-GB"/>
        </w:rPr>
      </w:pPr>
      <w:r>
        <w:rPr>
          <w:rFonts w:ascii="Times New Roman" w:hAnsi="Times New Roman"/>
          <w:sz w:val="24"/>
          <w:szCs w:val="24"/>
          <w:lang w:val="en-GB"/>
        </w:rPr>
        <w:t>Although the statistics presented in this section refer to May 2015, we computed the same diagnostics for each month from April 2014 to April 2016 as part of the quality control and validation performed within the CryOcean-QCV project and have found very similar values for each month, indicating a very good and consistent performance of CryoSat-2 over time.</w:t>
      </w:r>
    </w:p>
    <w:p w14:paraId="15D46CB9" w14:textId="77777777" w:rsidR="00830425" w:rsidRDefault="00830425" w:rsidP="00A42484">
      <w:pPr>
        <w:spacing w:line="480" w:lineRule="auto"/>
        <w:rPr>
          <w:rFonts w:ascii="Times New Roman" w:hAnsi="Times New Roman"/>
          <w:b/>
          <w:sz w:val="24"/>
          <w:szCs w:val="24"/>
          <w:lang w:val="en-GB"/>
        </w:rPr>
      </w:pPr>
      <w:r>
        <w:rPr>
          <w:rFonts w:ascii="Times New Roman" w:hAnsi="Times New Roman"/>
          <w:b/>
          <w:sz w:val="24"/>
          <w:szCs w:val="24"/>
          <w:lang w:val="en-GB"/>
        </w:rPr>
        <w:t>3.2. Validation of the SSHA</w:t>
      </w:r>
    </w:p>
    <w:p w14:paraId="115BA40A" w14:textId="77777777" w:rsidR="00830425" w:rsidRDefault="00830425" w:rsidP="00A42484">
      <w:pPr>
        <w:spacing w:line="480" w:lineRule="auto"/>
        <w:rPr>
          <w:rFonts w:ascii="Times New Roman" w:hAnsi="Times New Roman"/>
          <w:b/>
          <w:i/>
          <w:sz w:val="24"/>
          <w:szCs w:val="24"/>
          <w:lang w:val="en-GB"/>
        </w:rPr>
      </w:pPr>
      <w:r>
        <w:rPr>
          <w:rFonts w:ascii="Times New Roman" w:hAnsi="Times New Roman"/>
          <w:b/>
          <w:i/>
          <w:sz w:val="24"/>
          <w:szCs w:val="24"/>
          <w:lang w:val="en-GB"/>
        </w:rPr>
        <w:t>3.2</w:t>
      </w:r>
      <w:r w:rsidRPr="00437F4E">
        <w:rPr>
          <w:rFonts w:ascii="Times New Roman" w:hAnsi="Times New Roman"/>
          <w:b/>
          <w:i/>
          <w:sz w:val="24"/>
          <w:szCs w:val="24"/>
          <w:lang w:val="en-GB"/>
        </w:rPr>
        <w:t>.1. Comparison with tide gauge observations</w:t>
      </w:r>
    </w:p>
    <w:p w14:paraId="03B0DB45" w14:textId="77777777" w:rsidR="00830425" w:rsidRPr="00BD2140"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lastRenderedPageBreak/>
        <w:t>In this section we compare C2 GOP SSHAs with tide gauge sea levels and evaluate the results in the context of J2 and C2 RADS by including these two datasets in the comparison. Time series of SSHAs from C2 GOP and tide gauge observations are shown in Figure 7 for the 22 stations. Although there are some differences in detail between the two time series, the major features are consistent. We note that the variance of the time series varies significantly across stations, with Lowestoft and Workington showing the largest variations and Papeete showing the smallest ones. Both the magnitude and the phase of the variability shown by the tide gauge records are well captured by the C2 GOP SSHAs. At some stations such as Chatham Island and Spring Bay the agreement is so good that the two time series are almost indistinguishable.</w:t>
      </w:r>
    </w:p>
    <w:p w14:paraId="32D88C0E" w14:textId="00F8BB37" w:rsidR="00830425" w:rsidRDefault="00E41295" w:rsidP="00AC1B3A">
      <w:pPr>
        <w:spacing w:line="480" w:lineRule="auto"/>
        <w:jc w:val="center"/>
        <w:rPr>
          <w:rFonts w:ascii="Times New Roman" w:hAnsi="Times New Roman"/>
          <w:b/>
          <w:sz w:val="24"/>
          <w:szCs w:val="24"/>
          <w:lang w:val="en-GB"/>
        </w:rPr>
      </w:pPr>
      <w:r>
        <w:rPr>
          <w:rFonts w:ascii="Times New Roman" w:hAnsi="Times New Roman"/>
          <w:b/>
          <w:noProof/>
          <w:sz w:val="24"/>
          <w:szCs w:val="24"/>
          <w:lang w:val="en-GB" w:eastAsia="en-GB"/>
        </w:rPr>
        <w:drawing>
          <wp:inline distT="0" distB="0" distL="0" distR="0" wp14:anchorId="6132D5AA" wp14:editId="369BEF28">
            <wp:extent cx="4730446" cy="492089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l_time_series_tgnames_3cols.tiff"/>
                    <pic:cNvPicPr/>
                  </pic:nvPicPr>
                  <pic:blipFill rotWithShape="1">
                    <a:blip r:embed="rId25">
                      <a:extLst>
                        <a:ext uri="{28A0092B-C50C-407E-A947-70E740481C1C}">
                          <a14:useLocalDpi xmlns:a14="http://schemas.microsoft.com/office/drawing/2010/main" val="0"/>
                        </a:ext>
                      </a:extLst>
                    </a:blip>
                    <a:srcRect l="8463" t="6799" r="8988" b="7328"/>
                    <a:stretch/>
                  </pic:blipFill>
                  <pic:spPr bwMode="auto">
                    <a:xfrm>
                      <a:off x="0" y="0"/>
                      <a:ext cx="4731306" cy="4921786"/>
                    </a:xfrm>
                    <a:prstGeom prst="rect">
                      <a:avLst/>
                    </a:prstGeom>
                    <a:ln>
                      <a:noFill/>
                    </a:ln>
                    <a:extLst>
                      <a:ext uri="{53640926-AAD7-44D8-BBD7-CCE9431645EC}">
                        <a14:shadowObscured xmlns:a14="http://schemas.microsoft.com/office/drawing/2010/main"/>
                      </a:ext>
                    </a:extLst>
                  </pic:spPr>
                </pic:pic>
              </a:graphicData>
            </a:graphic>
          </wp:inline>
        </w:drawing>
      </w:r>
    </w:p>
    <w:p w14:paraId="3881D273" w14:textId="77777777" w:rsidR="00830425" w:rsidRDefault="00830425" w:rsidP="00AC1B3A">
      <w:pPr>
        <w:spacing w:line="480" w:lineRule="auto"/>
        <w:rPr>
          <w:rFonts w:ascii="Times New Roman" w:hAnsi="Times New Roman"/>
          <w:sz w:val="24"/>
          <w:szCs w:val="24"/>
          <w:lang w:val="en-GB"/>
        </w:rPr>
      </w:pPr>
      <w:r>
        <w:rPr>
          <w:rFonts w:ascii="Times New Roman" w:hAnsi="Times New Roman"/>
          <w:b/>
          <w:sz w:val="24"/>
          <w:szCs w:val="24"/>
          <w:lang w:val="en-GB"/>
        </w:rPr>
        <w:lastRenderedPageBreak/>
        <w:t>Figure 7.</w:t>
      </w:r>
      <w:r>
        <w:rPr>
          <w:rFonts w:ascii="Times New Roman" w:hAnsi="Times New Roman"/>
          <w:sz w:val="24"/>
          <w:szCs w:val="24"/>
          <w:lang w:val="en-GB"/>
        </w:rPr>
        <w:t xml:space="preserve"> Comparison of SSHA from C2 GOP with non-tidal tide gauge sea levels.</w:t>
      </w:r>
    </w:p>
    <w:p w14:paraId="677345B0" w14:textId="745F60DB" w:rsidR="00830425" w:rsidRDefault="00830425" w:rsidP="00D436DB">
      <w:pPr>
        <w:spacing w:line="480" w:lineRule="auto"/>
        <w:rPr>
          <w:rFonts w:ascii="Times New Roman" w:hAnsi="Times New Roman"/>
          <w:sz w:val="24"/>
          <w:szCs w:val="24"/>
          <w:lang w:val="en-GB"/>
        </w:rPr>
      </w:pPr>
      <w:r>
        <w:rPr>
          <w:rFonts w:ascii="Times New Roman" w:hAnsi="Times New Roman"/>
          <w:sz w:val="24"/>
          <w:szCs w:val="24"/>
          <w:lang w:val="en-GB"/>
        </w:rPr>
        <w:t>The good agreement between the C2 GOP and tide gauge measurements apparent from Figure 7 is quantified by computing the correlation and RMSD between the altimeter and tide gauge time series for all stations (Figure 8). The same comparison with the tide gauges is performed also for J2 and C2 RADS. The correlation and RMSD are very similar across the three altimetry datasets (Figure 8), with median values of 0.78 and 7.1 cm for C2 GOP, 0.76 and 7.3 cm for J2, and 0.79 and 7.8 cm for C2 RADS. Correlations are statistically significant (95% confidence level) at all tide gauge stations, reflecting the good agreement between the time series shown in Figure 7. We also note that there is significant variability in the correlation and the RMSD values across stations, with correlations ranging from 0.50 to 0.95 and RMSDs ranging from 3.4 cm to 17.9cm. Note, however, that such variability is very consistent across the three altimetry datasets. For instance, all three altimetry datasets show relatively high correlations at Chatham, Lowestoft, and Spring Bay and relatively low correlations at Newhaven, Papeete and Penrhyn. These results indicate that CryoSat-2 and Jason-2 have</w:t>
      </w:r>
      <w:r w:rsidR="000E5FD3">
        <w:rPr>
          <w:rFonts w:ascii="Times New Roman" w:hAnsi="Times New Roman"/>
          <w:sz w:val="24"/>
          <w:szCs w:val="24"/>
          <w:lang w:val="en-GB"/>
        </w:rPr>
        <w:t xml:space="preserve"> a</w:t>
      </w:r>
      <w:r>
        <w:rPr>
          <w:rFonts w:ascii="Times New Roman" w:hAnsi="Times New Roman"/>
          <w:sz w:val="24"/>
          <w:szCs w:val="24"/>
          <w:lang w:val="en-GB"/>
        </w:rPr>
        <w:t xml:space="preserve"> similar ability to capture sea level signals. </w:t>
      </w:r>
    </w:p>
    <w:p w14:paraId="4C456ED1" w14:textId="77777777" w:rsidR="00830425" w:rsidRDefault="00830425" w:rsidP="00D436DB">
      <w:pPr>
        <w:spacing w:line="480" w:lineRule="auto"/>
        <w:rPr>
          <w:rFonts w:ascii="Times New Roman" w:hAnsi="Times New Roman"/>
          <w:sz w:val="24"/>
          <w:szCs w:val="24"/>
          <w:lang w:val="en-GB"/>
        </w:rPr>
      </w:pPr>
    </w:p>
    <w:p w14:paraId="1EB927C3" w14:textId="77777777" w:rsidR="00830425" w:rsidRDefault="00201F8C" w:rsidP="000D6EB2">
      <w:pPr>
        <w:spacing w:after="0" w:line="480" w:lineRule="auto"/>
        <w:jc w:val="center"/>
        <w:rPr>
          <w:rFonts w:ascii="Times New Roman" w:hAnsi="Times New Roman"/>
          <w:b/>
          <w:color w:val="262626"/>
          <w:sz w:val="24"/>
          <w:szCs w:val="24"/>
          <w:lang w:val="en-US"/>
        </w:rPr>
      </w:pPr>
      <w:r>
        <w:rPr>
          <w:rFonts w:ascii="Times New Roman" w:hAnsi="Times New Roman"/>
          <w:b/>
          <w:noProof/>
          <w:color w:val="262626"/>
          <w:sz w:val="24"/>
          <w:szCs w:val="24"/>
          <w:lang w:val="en-GB" w:eastAsia="en-GB"/>
        </w:rPr>
        <w:drawing>
          <wp:inline distT="0" distB="0" distL="0" distR="0" wp14:anchorId="16EFDD59" wp14:editId="0B0B617F">
            <wp:extent cx="4144010" cy="2461260"/>
            <wp:effectExtent l="0" t="0" r="0" b="254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t="5293" b="4276"/>
                    <a:stretch>
                      <a:fillRect/>
                    </a:stretch>
                  </pic:blipFill>
                  <pic:spPr bwMode="auto">
                    <a:xfrm>
                      <a:off x="0" y="0"/>
                      <a:ext cx="4144010" cy="2461260"/>
                    </a:xfrm>
                    <a:prstGeom prst="rect">
                      <a:avLst/>
                    </a:prstGeom>
                    <a:noFill/>
                    <a:ln>
                      <a:noFill/>
                    </a:ln>
                  </pic:spPr>
                </pic:pic>
              </a:graphicData>
            </a:graphic>
          </wp:inline>
        </w:drawing>
      </w:r>
    </w:p>
    <w:p w14:paraId="40372387" w14:textId="77777777" w:rsidR="00830425" w:rsidRDefault="00201F8C" w:rsidP="000D6EB2">
      <w:pPr>
        <w:spacing w:after="0" w:line="480" w:lineRule="auto"/>
        <w:jc w:val="center"/>
        <w:rPr>
          <w:rFonts w:ascii="Times New Roman" w:hAnsi="Times New Roman"/>
          <w:b/>
          <w:color w:val="262626"/>
          <w:sz w:val="24"/>
          <w:szCs w:val="24"/>
          <w:lang w:val="en-US"/>
        </w:rPr>
      </w:pPr>
      <w:r>
        <w:rPr>
          <w:rFonts w:ascii="Times New Roman" w:hAnsi="Times New Roman"/>
          <w:b/>
          <w:noProof/>
          <w:color w:val="262626"/>
          <w:sz w:val="24"/>
          <w:szCs w:val="24"/>
          <w:lang w:val="en-GB" w:eastAsia="en-GB"/>
        </w:rPr>
        <w:lastRenderedPageBreak/>
        <w:drawing>
          <wp:inline distT="0" distB="0" distL="0" distR="0" wp14:anchorId="4EA80786" wp14:editId="1F3576F9">
            <wp:extent cx="4144010" cy="2324735"/>
            <wp:effectExtent l="0" t="0" r="0" b="1206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t="5707" b="4276"/>
                    <a:stretch>
                      <a:fillRect/>
                    </a:stretch>
                  </pic:blipFill>
                  <pic:spPr bwMode="auto">
                    <a:xfrm>
                      <a:off x="0" y="0"/>
                      <a:ext cx="4144010" cy="2324735"/>
                    </a:xfrm>
                    <a:prstGeom prst="rect">
                      <a:avLst/>
                    </a:prstGeom>
                    <a:noFill/>
                    <a:ln>
                      <a:noFill/>
                    </a:ln>
                  </pic:spPr>
                </pic:pic>
              </a:graphicData>
            </a:graphic>
          </wp:inline>
        </w:drawing>
      </w:r>
    </w:p>
    <w:p w14:paraId="1E9114A7" w14:textId="230666E9" w:rsidR="00830425" w:rsidRDefault="00830425" w:rsidP="00D436DB">
      <w:pPr>
        <w:spacing w:line="480" w:lineRule="auto"/>
        <w:rPr>
          <w:rFonts w:ascii="Times New Roman" w:hAnsi="Times New Roman"/>
          <w:sz w:val="24"/>
          <w:szCs w:val="24"/>
          <w:lang w:val="en-GB"/>
        </w:rPr>
      </w:pPr>
      <w:r>
        <w:rPr>
          <w:rFonts w:ascii="Times New Roman" w:hAnsi="Times New Roman"/>
          <w:b/>
          <w:color w:val="262626"/>
          <w:sz w:val="24"/>
          <w:szCs w:val="24"/>
          <w:lang w:val="en-US"/>
        </w:rPr>
        <w:t xml:space="preserve">Figure 8. (a) </w:t>
      </w:r>
      <w:r>
        <w:rPr>
          <w:rFonts w:ascii="Times New Roman" w:hAnsi="Times New Roman"/>
          <w:color w:val="262626"/>
          <w:sz w:val="24"/>
          <w:szCs w:val="24"/>
          <w:lang w:val="en-US"/>
        </w:rPr>
        <w:t xml:space="preserve">Correlation, and (b) RMSD between tide gauge observations and SSHAs from C2 GOP, J2, and C2 RADS over the period April 2014 to April 2016. </w:t>
      </w:r>
    </w:p>
    <w:p w14:paraId="3ED2093C" w14:textId="473190AD" w:rsidR="00830425" w:rsidRPr="00BD2140" w:rsidRDefault="00830425" w:rsidP="00D436DB">
      <w:pPr>
        <w:spacing w:line="480" w:lineRule="auto"/>
        <w:rPr>
          <w:rFonts w:ascii="Times New Roman" w:hAnsi="Times New Roman"/>
          <w:sz w:val="24"/>
          <w:szCs w:val="24"/>
          <w:lang w:val="en-GB"/>
        </w:rPr>
      </w:pPr>
      <w:r>
        <w:rPr>
          <w:rFonts w:ascii="Times New Roman" w:hAnsi="Times New Roman"/>
          <w:sz w:val="24"/>
          <w:szCs w:val="24"/>
          <w:lang w:val="en-GB"/>
        </w:rPr>
        <w:t xml:space="preserve">To build the altimetry/tide gauge matching time series we imposed a maximum radius of 150 km (see Section 2.3). While testing for the effect of the radius choice we noted that for values of the maximum radius below 100 km J2 provides no valid data at Atlantic City, Spring Bay, and Trieste, which means that J2 has no valid measurements within at least 100 km from those stations. Since we apply the same editing criteria to the three altimetry datasets, the fact that data exist for C2 GOP and C2 RADS but not for Jason-2 at those stations suggests that CryoSat-2 may behave better near the coast than Jason-2. Note, however, that </w:t>
      </w:r>
      <w:r w:rsidRPr="00637EE1">
        <w:rPr>
          <w:rFonts w:ascii="Times New Roman" w:hAnsi="Times New Roman"/>
          <w:sz w:val="24"/>
          <w:szCs w:val="24"/>
          <w:lang w:val="en-GB"/>
        </w:rPr>
        <w:t>meaningful measurements of sea level in the coastal zone</w:t>
      </w:r>
      <w:r>
        <w:rPr>
          <w:rFonts w:ascii="Times New Roman" w:hAnsi="Times New Roman"/>
          <w:sz w:val="24"/>
          <w:szCs w:val="24"/>
          <w:lang w:val="en-GB"/>
        </w:rPr>
        <w:t xml:space="preserve"> can be recovered</w:t>
      </w:r>
      <w:r w:rsidRPr="00637EE1">
        <w:rPr>
          <w:rFonts w:ascii="Times New Roman" w:hAnsi="Times New Roman"/>
          <w:sz w:val="24"/>
          <w:szCs w:val="24"/>
          <w:lang w:val="en-GB"/>
        </w:rPr>
        <w:t xml:space="preserve"> by using dedicated coastal altimetry techniques, as shown in Passaro et al. (2014) for Jason-2 along pass 196 close to the Trieste tide gauge, a pass for which data are missing in our analysis</w:t>
      </w:r>
      <w:r w:rsidRPr="00A42484">
        <w:rPr>
          <w:rFonts w:ascii="Times New Roman" w:hAnsi="Times New Roman"/>
          <w:sz w:val="24"/>
          <w:szCs w:val="24"/>
          <w:lang w:val="en-GB"/>
        </w:rPr>
        <w:t>.</w:t>
      </w:r>
      <w:r>
        <w:rPr>
          <w:rFonts w:ascii="Times New Roman" w:hAnsi="Times New Roman"/>
          <w:sz w:val="24"/>
          <w:szCs w:val="24"/>
          <w:lang w:val="en-GB"/>
        </w:rPr>
        <w:t xml:space="preserve"> It is also important to recognize that Jason-2 provides better temporal sampling than CryoSat-2, with one measurement every 10 or, at some stations where two tracks fall within the search radius, 5 days as compared to over 20 days (depending on the latitude) for CryoSat-2.</w:t>
      </w:r>
    </w:p>
    <w:p w14:paraId="1AB90FFA" w14:textId="47A6CE36"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As noted above, correlation and RMSD values show significant variability across sites (Figure 8). Discrepanci</w:t>
      </w:r>
      <w:r w:rsidR="008F296D">
        <w:rPr>
          <w:rFonts w:ascii="Times New Roman" w:hAnsi="Times New Roman"/>
          <w:sz w:val="24"/>
          <w:szCs w:val="24"/>
          <w:lang w:val="en-GB"/>
        </w:rPr>
        <w:t>es between SSHAs and tide gauge</w:t>
      </w:r>
      <w:r>
        <w:rPr>
          <w:rFonts w:ascii="Times New Roman" w:hAnsi="Times New Roman"/>
          <w:sz w:val="24"/>
          <w:szCs w:val="24"/>
          <w:lang w:val="en-GB"/>
        </w:rPr>
        <w:t xml:space="preserve"> observations are mainly due to: 1) </w:t>
      </w:r>
      <w:r>
        <w:rPr>
          <w:rFonts w:ascii="Times New Roman" w:hAnsi="Times New Roman"/>
          <w:sz w:val="24"/>
          <w:szCs w:val="24"/>
          <w:lang w:val="en-GB"/>
        </w:rPr>
        <w:lastRenderedPageBreak/>
        <w:t>instrument noise; and 2) the altimeter and tide gauge measuring different sea level signals</w:t>
      </w:r>
      <w:r w:rsidR="000A7F0D">
        <w:rPr>
          <w:rFonts w:ascii="Times New Roman" w:hAnsi="Times New Roman"/>
          <w:sz w:val="24"/>
          <w:szCs w:val="24"/>
          <w:lang w:val="en-GB"/>
        </w:rPr>
        <w:t xml:space="preserve">. </w:t>
      </w:r>
      <w:r>
        <w:rPr>
          <w:rFonts w:ascii="Times New Roman" w:hAnsi="Times New Roman"/>
          <w:sz w:val="24"/>
          <w:szCs w:val="24"/>
          <w:lang w:val="en-GB"/>
        </w:rPr>
        <w:t>The latter is difficult to avoid since tide gauge observations often reflect the effect of coastal processes, with cross-shelf length scales smaller than 30 km (an internal Rossby radius</w:t>
      </w:r>
      <w:r w:rsidR="000A7F0D">
        <w:rPr>
          <w:rFonts w:ascii="Times New Roman" w:hAnsi="Times New Roman"/>
          <w:sz w:val="24"/>
          <w:szCs w:val="24"/>
          <w:lang w:val="en-GB"/>
        </w:rPr>
        <w:t>), which</w:t>
      </w:r>
      <w:r>
        <w:rPr>
          <w:rFonts w:ascii="Times New Roman" w:hAnsi="Times New Roman"/>
          <w:sz w:val="24"/>
          <w:szCs w:val="24"/>
          <w:lang w:val="en-GB"/>
        </w:rPr>
        <w:t xml:space="preserve"> are not captured by the altimeter measurements unless they are taken within a few kilometres of the tide gauge</w:t>
      </w:r>
      <w:r w:rsidR="000A7F0D">
        <w:rPr>
          <w:rFonts w:ascii="Times New Roman" w:hAnsi="Times New Roman"/>
          <w:sz w:val="24"/>
          <w:szCs w:val="24"/>
          <w:lang w:val="en-GB"/>
        </w:rPr>
        <w:t xml:space="preserve"> (as discussed in Bouffard, 2007 and Bouffard et al., 2011).</w:t>
      </w:r>
      <w:r>
        <w:rPr>
          <w:rFonts w:ascii="Times New Roman" w:hAnsi="Times New Roman"/>
          <w:sz w:val="24"/>
          <w:szCs w:val="24"/>
          <w:lang w:val="en-GB"/>
        </w:rPr>
        <w:t xml:space="preserve"> Naturally, differences between altimetry and tide gauge observations will be larger at stations where coastal processes are dominant and have relatively small length scales. This is largely the reason for the difference in correlation and RMSD across stations (Figure 8), and is also consistent with the fact that such differences across stations are very consistent among the altimetry datasets. In the case of CryoSat-2, </w:t>
      </w:r>
      <w:r w:rsidRPr="009419B2">
        <w:rPr>
          <w:rFonts w:ascii="Times New Roman" w:hAnsi="Times New Roman"/>
          <w:sz w:val="24"/>
          <w:szCs w:val="24"/>
          <w:lang w:val="en-GB"/>
        </w:rPr>
        <w:t>differences</w:t>
      </w:r>
      <w:r>
        <w:rPr>
          <w:rFonts w:ascii="Times New Roman" w:hAnsi="Times New Roman"/>
          <w:sz w:val="24"/>
          <w:szCs w:val="24"/>
          <w:lang w:val="en-GB"/>
        </w:rPr>
        <w:t xml:space="preserve"> across stations may, in principle, also be due to performance differences</w:t>
      </w:r>
      <w:r w:rsidRPr="009419B2">
        <w:rPr>
          <w:rFonts w:ascii="Times New Roman" w:hAnsi="Times New Roman"/>
          <w:sz w:val="24"/>
          <w:szCs w:val="24"/>
          <w:lang w:val="en-GB"/>
        </w:rPr>
        <w:t xml:space="preserve"> between LRM and PLRM</w:t>
      </w:r>
      <w:r>
        <w:rPr>
          <w:rFonts w:ascii="Times New Roman" w:hAnsi="Times New Roman"/>
          <w:sz w:val="24"/>
          <w:szCs w:val="24"/>
          <w:lang w:val="en-GB"/>
        </w:rPr>
        <w:t xml:space="preserve">. Nevertheless, the fact that differences for stations located in the same mode area (LRM or PLRM) or across mode areas are similar (see Figure 8) suggests that </w:t>
      </w:r>
      <w:r w:rsidRPr="009419B2">
        <w:rPr>
          <w:rFonts w:ascii="Times New Roman" w:hAnsi="Times New Roman"/>
          <w:sz w:val="24"/>
          <w:szCs w:val="24"/>
          <w:lang w:val="en-GB"/>
        </w:rPr>
        <w:t>performance difference</w:t>
      </w:r>
      <w:r>
        <w:rPr>
          <w:rFonts w:ascii="Times New Roman" w:hAnsi="Times New Roman"/>
          <w:sz w:val="24"/>
          <w:szCs w:val="24"/>
          <w:lang w:val="en-GB"/>
        </w:rPr>
        <w:t>s</w:t>
      </w:r>
      <w:r w:rsidRPr="009419B2">
        <w:rPr>
          <w:rFonts w:ascii="Times New Roman" w:hAnsi="Times New Roman"/>
          <w:sz w:val="24"/>
          <w:szCs w:val="24"/>
          <w:lang w:val="en-GB"/>
        </w:rPr>
        <w:t xml:space="preserve"> between LRM and PLRM</w:t>
      </w:r>
      <w:r>
        <w:rPr>
          <w:rFonts w:ascii="Times New Roman" w:hAnsi="Times New Roman"/>
          <w:sz w:val="24"/>
          <w:szCs w:val="24"/>
          <w:lang w:val="en-GB"/>
        </w:rPr>
        <w:t xml:space="preserve">, if they exist, are small relative to the other factors mentioned above. </w:t>
      </w:r>
    </w:p>
    <w:p w14:paraId="48A6A0BE" w14:textId="77777777" w:rsidR="00830425" w:rsidRDefault="00830425" w:rsidP="00A42484">
      <w:pPr>
        <w:spacing w:line="480" w:lineRule="auto"/>
        <w:rPr>
          <w:rFonts w:ascii="Times New Roman" w:hAnsi="Times New Roman"/>
          <w:b/>
          <w:i/>
          <w:sz w:val="24"/>
          <w:szCs w:val="24"/>
          <w:lang w:val="en-GB"/>
        </w:rPr>
      </w:pPr>
      <w:r>
        <w:rPr>
          <w:rFonts w:ascii="Times New Roman" w:hAnsi="Times New Roman"/>
          <w:b/>
          <w:i/>
          <w:sz w:val="24"/>
          <w:szCs w:val="24"/>
          <w:lang w:val="en-GB"/>
        </w:rPr>
        <w:t>3.2.2</w:t>
      </w:r>
      <w:r w:rsidRPr="00437F4E">
        <w:rPr>
          <w:rFonts w:ascii="Times New Roman" w:hAnsi="Times New Roman"/>
          <w:b/>
          <w:i/>
          <w:sz w:val="24"/>
          <w:szCs w:val="24"/>
          <w:lang w:val="en-GB"/>
        </w:rPr>
        <w:t xml:space="preserve">. Comparison with </w:t>
      </w:r>
      <w:r>
        <w:rPr>
          <w:rFonts w:ascii="Times New Roman" w:hAnsi="Times New Roman"/>
          <w:b/>
          <w:i/>
          <w:sz w:val="24"/>
          <w:szCs w:val="24"/>
          <w:lang w:val="en-GB"/>
        </w:rPr>
        <w:t>steric height</w:t>
      </w:r>
    </w:p>
    <w:p w14:paraId="3B717855" w14:textId="785EF46F"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Figure 9 shows the correlation between the atmospherically-corrected SSHAs from C2 GOP, J2, and C2 RADS and the steric heights derived as described in Section 2.4. For the sake of visualization, the correlation values at each Argo float have been interpolated on a regular 1º x 1º grid to obtain the maps shown in Figure 9. The spatial distribution of correlations is very similar across the three altimetry datasets, with statistically significant correlations over most of the ocean, the exception being the Southern Ocean where the sea level variability is strongly influenced by the Antarctic Circumpolar Current (ACC)</w:t>
      </w:r>
      <w:r w:rsidR="00493F64">
        <w:rPr>
          <w:rFonts w:ascii="Times New Roman" w:hAnsi="Times New Roman"/>
          <w:sz w:val="24"/>
          <w:szCs w:val="24"/>
          <w:lang w:val="en-GB"/>
        </w:rPr>
        <w:t>,</w:t>
      </w:r>
      <w:r>
        <w:rPr>
          <w:rFonts w:ascii="Times New Roman" w:hAnsi="Times New Roman"/>
          <w:sz w:val="24"/>
          <w:szCs w:val="24"/>
          <w:lang w:val="en-GB"/>
        </w:rPr>
        <w:t xml:space="preserve"> and the region of the Gulf Stream. The median correlation is 0.68 for C2 GOP, 0.74 for J2, and 0.67 for C2 RADS. We also note that correlations are higher in the tropical zone and they gradually decrease as latitude increases. This particular feature becomes very clear if we compute and plot the </w:t>
      </w:r>
      <w:r>
        <w:rPr>
          <w:rFonts w:ascii="Times New Roman" w:hAnsi="Times New Roman"/>
          <w:sz w:val="24"/>
          <w:szCs w:val="24"/>
          <w:lang w:val="en-GB"/>
        </w:rPr>
        <w:lastRenderedPageBreak/>
        <w:t>zonal-me</w:t>
      </w:r>
      <w:r w:rsidR="00D91BC4">
        <w:rPr>
          <w:rFonts w:ascii="Times New Roman" w:hAnsi="Times New Roman"/>
          <w:sz w:val="24"/>
          <w:szCs w:val="24"/>
          <w:lang w:val="en-GB"/>
        </w:rPr>
        <w:t>dian</w:t>
      </w:r>
      <w:r>
        <w:rPr>
          <w:rFonts w:ascii="Times New Roman" w:hAnsi="Times New Roman"/>
          <w:sz w:val="24"/>
          <w:szCs w:val="24"/>
          <w:lang w:val="en-GB"/>
        </w:rPr>
        <w:t xml:space="preserve"> correlation in different latitudinal bands (Figure 9d). The dependence of the correlation with latitude is obvious and almost identical for the three altimetry datasets, reflecting similar performances at all latitudes.  The zonal-me</w:t>
      </w:r>
      <w:r w:rsidR="00D91BC4">
        <w:rPr>
          <w:rFonts w:ascii="Times New Roman" w:hAnsi="Times New Roman"/>
          <w:sz w:val="24"/>
          <w:szCs w:val="24"/>
          <w:lang w:val="en-GB"/>
        </w:rPr>
        <w:t>di</w:t>
      </w:r>
      <w:r>
        <w:rPr>
          <w:rFonts w:ascii="Times New Roman" w:hAnsi="Times New Roman"/>
          <w:sz w:val="24"/>
          <w:szCs w:val="24"/>
          <w:lang w:val="en-GB"/>
        </w:rPr>
        <w:t>an correlation for latitudes below and above 40º is, respectively, 0.</w:t>
      </w:r>
      <w:r w:rsidR="00337F62">
        <w:rPr>
          <w:rFonts w:ascii="Times New Roman" w:hAnsi="Times New Roman"/>
          <w:sz w:val="24"/>
          <w:szCs w:val="24"/>
          <w:lang w:val="en-GB"/>
        </w:rPr>
        <w:t>73</w:t>
      </w:r>
      <w:r>
        <w:rPr>
          <w:rFonts w:ascii="Times New Roman" w:hAnsi="Times New Roman"/>
          <w:sz w:val="24"/>
          <w:szCs w:val="24"/>
          <w:lang w:val="en-GB"/>
        </w:rPr>
        <w:t>, and 0.40 for both C2 GOP and C2 RADS, and 0.7</w:t>
      </w:r>
      <w:r w:rsidR="00337F62">
        <w:rPr>
          <w:rFonts w:ascii="Times New Roman" w:hAnsi="Times New Roman"/>
          <w:sz w:val="24"/>
          <w:szCs w:val="24"/>
          <w:lang w:val="en-GB"/>
        </w:rPr>
        <w:t>7</w:t>
      </w:r>
      <w:r>
        <w:rPr>
          <w:rFonts w:ascii="Times New Roman" w:hAnsi="Times New Roman"/>
          <w:sz w:val="24"/>
          <w:szCs w:val="24"/>
          <w:lang w:val="en-GB"/>
        </w:rPr>
        <w:t xml:space="preserve"> and 0.42 for J2, confirming the consistency among the three altimetry datasets. The meridional structure of the correlation is not, however, symmetric with respect to the equator since correlations decrease faster in the Southern Hemisphere, especially for latitudes south of 40ºS. As an illustration, the zonal-me</w:t>
      </w:r>
      <w:r w:rsidR="000D26E1">
        <w:rPr>
          <w:rFonts w:ascii="Times New Roman" w:hAnsi="Times New Roman"/>
          <w:sz w:val="24"/>
          <w:szCs w:val="24"/>
          <w:lang w:val="en-GB"/>
        </w:rPr>
        <w:t>di</w:t>
      </w:r>
      <w:r>
        <w:rPr>
          <w:rFonts w:ascii="Times New Roman" w:hAnsi="Times New Roman"/>
          <w:sz w:val="24"/>
          <w:szCs w:val="24"/>
          <w:lang w:val="en-GB"/>
        </w:rPr>
        <w:t>an correlation in the band 40º-60º north and south is, respectively, 0.5</w:t>
      </w:r>
      <w:r w:rsidR="000D26E1">
        <w:rPr>
          <w:rFonts w:ascii="Times New Roman" w:hAnsi="Times New Roman"/>
          <w:sz w:val="24"/>
          <w:szCs w:val="24"/>
          <w:lang w:val="en-GB"/>
        </w:rPr>
        <w:t>7</w:t>
      </w:r>
      <w:r>
        <w:rPr>
          <w:rFonts w:ascii="Times New Roman" w:hAnsi="Times New Roman"/>
          <w:sz w:val="24"/>
          <w:szCs w:val="24"/>
          <w:lang w:val="en-GB"/>
        </w:rPr>
        <w:t xml:space="preserve"> and 0.3</w:t>
      </w:r>
      <w:r w:rsidR="000D26E1">
        <w:rPr>
          <w:rFonts w:ascii="Times New Roman" w:hAnsi="Times New Roman"/>
          <w:sz w:val="24"/>
          <w:szCs w:val="24"/>
          <w:lang w:val="en-GB"/>
        </w:rPr>
        <w:t>5</w:t>
      </w:r>
      <w:r>
        <w:rPr>
          <w:rFonts w:ascii="Times New Roman" w:hAnsi="Times New Roman"/>
          <w:sz w:val="24"/>
          <w:szCs w:val="24"/>
          <w:lang w:val="en-GB"/>
        </w:rPr>
        <w:t xml:space="preserve"> for C2 GOP (similar differences are observed in C2 RADS and J2).</w:t>
      </w:r>
    </w:p>
    <w:p w14:paraId="0B223085" w14:textId="03E57BE3"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The relatively low correlation values in the Southern Ocean clearly reflect the non-significant correlations found in the region dominated by the ACC. The observed latitudinal dependence could be due to a number of reasons. First, as noted above</w:t>
      </w:r>
      <w:r w:rsidR="00493F64">
        <w:rPr>
          <w:rFonts w:ascii="Times New Roman" w:hAnsi="Times New Roman"/>
          <w:sz w:val="24"/>
          <w:szCs w:val="24"/>
          <w:lang w:val="en-GB"/>
        </w:rPr>
        <w:t>,</w:t>
      </w:r>
      <w:r>
        <w:rPr>
          <w:rFonts w:ascii="Times New Roman" w:hAnsi="Times New Roman"/>
          <w:sz w:val="24"/>
          <w:szCs w:val="24"/>
          <w:lang w:val="en-GB"/>
        </w:rPr>
        <w:t xml:space="preserve"> the length scales of the mesoscale variability decrease with latitude and thus the spati</w:t>
      </w:r>
      <w:r w:rsidR="00D763E8">
        <w:rPr>
          <w:rFonts w:ascii="Times New Roman" w:hAnsi="Times New Roman"/>
          <w:sz w:val="24"/>
          <w:szCs w:val="24"/>
          <w:lang w:val="en-GB"/>
        </w:rPr>
        <w:t>o-temporal</w:t>
      </w:r>
      <w:r>
        <w:rPr>
          <w:rFonts w:ascii="Times New Roman" w:hAnsi="Times New Roman"/>
          <w:sz w:val="24"/>
          <w:szCs w:val="24"/>
          <w:lang w:val="en-GB"/>
        </w:rPr>
        <w:t xml:space="preserve"> separation between the altimeter measurements and the steric heights becomes more problematic as latitude increases. Second, the altimeter SSHAs include a contribution from barotropic motion in addition to steric changes. Consequently, the correlation between SSHAs and Argo steric heights will be lower in regions where the barotropic and steric components are comparable in magnitude. It turns out that the barotropic contribution is generally larger at mid and high latitudes than near the equator (e.g.</w:t>
      </w:r>
      <w:r w:rsidRPr="005D40FF">
        <w:rPr>
          <w:rFonts w:ascii="Times New Roman" w:hAnsi="Times New Roman"/>
          <w:sz w:val="24"/>
          <w:szCs w:val="24"/>
          <w:lang w:val="en-GB"/>
        </w:rPr>
        <w:t xml:space="preserve"> </w:t>
      </w:r>
      <w:r>
        <w:rPr>
          <w:rFonts w:ascii="Times New Roman" w:hAnsi="Times New Roman"/>
          <w:sz w:val="24"/>
          <w:szCs w:val="24"/>
          <w:lang w:val="en-GB"/>
        </w:rPr>
        <w:t xml:space="preserve">Quinn and Ponte, 2012), which may partly explain the latitudinal dependence of the correlation. Finally, recall that by using a reference level of 1000 m in the computation of the steric height we are neglecting the contribution of deeper layers to the steric height. Hence, in regions where such contribution is important relative to that of the upper layers larger differences between the steric heights and SSHAs are to be expected.  </w:t>
      </w:r>
    </w:p>
    <w:p w14:paraId="39AC176A"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lastRenderedPageBreak/>
        <w:drawing>
          <wp:inline distT="0" distB="0" distL="0" distR="0" wp14:anchorId="6121F962" wp14:editId="6F691704">
            <wp:extent cx="3560445" cy="213042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560445" cy="2130425"/>
                    </a:xfrm>
                    <a:prstGeom prst="rect">
                      <a:avLst/>
                    </a:prstGeom>
                    <a:noFill/>
                    <a:ln>
                      <a:noFill/>
                    </a:ln>
                  </pic:spPr>
                </pic:pic>
              </a:graphicData>
            </a:graphic>
          </wp:inline>
        </w:drawing>
      </w:r>
    </w:p>
    <w:p w14:paraId="1A0B00B9"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drawing>
          <wp:inline distT="0" distB="0" distL="0" distR="0" wp14:anchorId="2DA4DC4E" wp14:editId="28A46CE3">
            <wp:extent cx="3560445" cy="2130425"/>
            <wp:effectExtent l="0" t="0" r="0" b="317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60445" cy="2130425"/>
                    </a:xfrm>
                    <a:prstGeom prst="rect">
                      <a:avLst/>
                    </a:prstGeom>
                    <a:noFill/>
                    <a:ln>
                      <a:noFill/>
                    </a:ln>
                  </pic:spPr>
                </pic:pic>
              </a:graphicData>
            </a:graphic>
          </wp:inline>
        </w:drawing>
      </w:r>
    </w:p>
    <w:p w14:paraId="33276A10"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drawing>
          <wp:inline distT="0" distB="0" distL="0" distR="0" wp14:anchorId="46F1FE0E" wp14:editId="4CAC44C3">
            <wp:extent cx="3560445" cy="2130425"/>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560445" cy="2130425"/>
                    </a:xfrm>
                    <a:prstGeom prst="rect">
                      <a:avLst/>
                    </a:prstGeom>
                    <a:noFill/>
                    <a:ln>
                      <a:noFill/>
                    </a:ln>
                  </pic:spPr>
                </pic:pic>
              </a:graphicData>
            </a:graphic>
          </wp:inline>
        </w:drawing>
      </w:r>
    </w:p>
    <w:p w14:paraId="0A1CABC7" w14:textId="0A9F0435" w:rsidR="00830425" w:rsidRDefault="00534BB9"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lastRenderedPageBreak/>
        <w:drawing>
          <wp:inline distT="0" distB="0" distL="0" distR="0" wp14:anchorId="44190FCF" wp14:editId="1CC5AD08">
            <wp:extent cx="3532710" cy="25200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rr_lat_argo_median.tiff"/>
                    <pic:cNvPicPr/>
                  </pic:nvPicPr>
                  <pic:blipFill>
                    <a:blip r:embed="rId31">
                      <a:extLst>
                        <a:ext uri="{28A0092B-C50C-407E-A947-70E740481C1C}">
                          <a14:useLocalDpi xmlns:a14="http://schemas.microsoft.com/office/drawing/2010/main" val="0"/>
                        </a:ext>
                      </a:extLst>
                    </a:blip>
                    <a:stretch>
                      <a:fillRect/>
                    </a:stretch>
                  </pic:blipFill>
                  <pic:spPr>
                    <a:xfrm>
                      <a:off x="0" y="0"/>
                      <a:ext cx="3532710" cy="2520000"/>
                    </a:xfrm>
                    <a:prstGeom prst="rect">
                      <a:avLst/>
                    </a:prstGeom>
                  </pic:spPr>
                </pic:pic>
              </a:graphicData>
            </a:graphic>
          </wp:inline>
        </w:drawing>
      </w:r>
    </w:p>
    <w:p w14:paraId="08F69B1B" w14:textId="11711B81" w:rsidR="00830425" w:rsidRDefault="00830425" w:rsidP="00A42484">
      <w:pPr>
        <w:spacing w:line="480" w:lineRule="auto"/>
        <w:rPr>
          <w:rFonts w:ascii="Times New Roman" w:hAnsi="Times New Roman"/>
          <w:sz w:val="24"/>
          <w:szCs w:val="24"/>
          <w:lang w:val="en-GB"/>
        </w:rPr>
      </w:pPr>
      <w:r>
        <w:rPr>
          <w:rFonts w:ascii="Times New Roman" w:hAnsi="Times New Roman"/>
          <w:b/>
          <w:sz w:val="24"/>
          <w:szCs w:val="24"/>
          <w:lang w:val="en-GB"/>
        </w:rPr>
        <w:t xml:space="preserve">Figure 9. </w:t>
      </w:r>
      <w:r>
        <w:rPr>
          <w:rFonts w:ascii="Times New Roman" w:hAnsi="Times New Roman"/>
          <w:sz w:val="24"/>
          <w:szCs w:val="24"/>
          <w:lang w:val="en-GB"/>
        </w:rPr>
        <w:t>Maps showing the correlation between SSHAs and Argo-derived steric heights over the period April 2014 to April 2016 for: (a) C2 GOP; (b) C2 RADS; and (c) J2. Black dots denote non-significant correlation at the 95% confidence level. The me</w:t>
      </w:r>
      <w:r w:rsidR="00534BB9">
        <w:rPr>
          <w:rFonts w:ascii="Times New Roman" w:hAnsi="Times New Roman"/>
          <w:sz w:val="24"/>
          <w:szCs w:val="24"/>
          <w:lang w:val="en-GB"/>
        </w:rPr>
        <w:t>dian</w:t>
      </w:r>
      <w:r>
        <w:rPr>
          <w:rFonts w:ascii="Times New Roman" w:hAnsi="Times New Roman"/>
          <w:sz w:val="24"/>
          <w:szCs w:val="24"/>
          <w:lang w:val="en-GB"/>
        </w:rPr>
        <w:t xml:space="preserve"> correlation as a function of latitude is also shown in (d).</w:t>
      </w:r>
    </w:p>
    <w:p w14:paraId="77A91BEB" w14:textId="3B38EAD2" w:rsidR="00830425" w:rsidRDefault="00830425" w:rsidP="00FE3662">
      <w:pPr>
        <w:spacing w:line="480" w:lineRule="auto"/>
        <w:rPr>
          <w:rFonts w:ascii="Times New Roman" w:hAnsi="Times New Roman"/>
          <w:sz w:val="24"/>
          <w:szCs w:val="24"/>
          <w:lang w:val="en-GB"/>
        </w:rPr>
      </w:pPr>
      <w:r>
        <w:rPr>
          <w:rFonts w:ascii="Times New Roman" w:hAnsi="Times New Roman"/>
          <w:sz w:val="24"/>
          <w:szCs w:val="24"/>
          <w:lang w:val="en-GB"/>
        </w:rPr>
        <w:t>The RMSDs between the SSHAs and the steric heights are shown in Figure 10. We show the RMSDs only for C2 GOP since the spatial patterns for C2 RADS and J2 are almost identical. The median RMSD over all Argo floats is 5.3 cm for C2 GOP, 5.1 cm for C2 RADS and 4.6 cm for J2. As expected from our analysis of the correlation patterns, the spatial distribution of RMSDs is highly non-uniform, with higher values (&gt;15 cm) concentrated in regions dominated by major ocean currents such as the Gulf Stream along the western boundary of the North Atlantic, the Kuroshio in the western Pacific, the Agulhas current along the east coast of South Africa, and the ACC in the Southern Ocean. The relatively large RMSD values found over major ocean currents are likely due to a relatively large contribution of the barotropic component</w:t>
      </w:r>
      <w:r w:rsidR="00A67E05">
        <w:rPr>
          <w:rFonts w:ascii="Times New Roman" w:hAnsi="Times New Roman"/>
          <w:sz w:val="24"/>
          <w:szCs w:val="24"/>
          <w:lang w:val="en-GB"/>
        </w:rPr>
        <w:t>, sub-sampling of mesoscale features caused by barotropic and baroclinic instabilities associated with the current, and</w:t>
      </w:r>
      <w:r>
        <w:rPr>
          <w:rFonts w:ascii="Times New Roman" w:hAnsi="Times New Roman"/>
          <w:sz w:val="24"/>
          <w:szCs w:val="24"/>
          <w:lang w:val="en-GB"/>
        </w:rPr>
        <w:t xml:space="preserve"> to a non-negligible contribution of the layers below 1000 m to the steric height. This is, for instance, the case in the region of the ACC, where currents can penetrate to depths greater than 2000 m and the barotropic </w:t>
      </w:r>
      <w:r>
        <w:rPr>
          <w:rFonts w:ascii="Times New Roman" w:hAnsi="Times New Roman"/>
          <w:sz w:val="24"/>
          <w:szCs w:val="24"/>
          <w:lang w:val="en-GB"/>
        </w:rPr>
        <w:lastRenderedPageBreak/>
        <w:t>contribution to sea level can be as large as 60% (Behnisch et al., 2013). Both the Gulf Stream and the Kuroshio can also penetrate to the bottom and have significant contributions from the barotropic component (Hall, 1989). In addition, temporal and spatial separation between the altimetry and Argo measurements may have a larger impact in western boundary currents due to the smaller decorrelation scales associated with mesoscale dynamics in those areas</w:t>
      </w:r>
      <w:r w:rsidR="00211712">
        <w:rPr>
          <w:rFonts w:ascii="Times New Roman" w:hAnsi="Times New Roman"/>
          <w:sz w:val="24"/>
          <w:szCs w:val="24"/>
          <w:lang w:val="en-GB"/>
        </w:rPr>
        <w:t xml:space="preserve"> (see Pascual et al. 2006)</w:t>
      </w:r>
      <w:r>
        <w:rPr>
          <w:rFonts w:ascii="Times New Roman" w:hAnsi="Times New Roman"/>
          <w:sz w:val="24"/>
          <w:szCs w:val="24"/>
          <w:lang w:val="en-GB"/>
        </w:rPr>
        <w:t>.</w:t>
      </w:r>
    </w:p>
    <w:p w14:paraId="2DA100A8" w14:textId="77777777" w:rsidR="00830425" w:rsidRDefault="00830425" w:rsidP="00BD2140">
      <w:pPr>
        <w:spacing w:line="480" w:lineRule="auto"/>
        <w:jc w:val="center"/>
        <w:rPr>
          <w:rFonts w:ascii="Times New Roman" w:hAnsi="Times New Roman"/>
          <w:sz w:val="24"/>
          <w:szCs w:val="24"/>
          <w:lang w:val="en-GB"/>
        </w:rPr>
      </w:pPr>
    </w:p>
    <w:p w14:paraId="14A2F14B"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drawing>
          <wp:inline distT="0" distB="0" distL="0" distR="0" wp14:anchorId="72740043" wp14:editId="673B0F7C">
            <wp:extent cx="3891280" cy="1721485"/>
            <wp:effectExtent l="0" t="0" r="0" b="571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a:extLst>
                        <a:ext uri="{28A0092B-C50C-407E-A947-70E740481C1C}">
                          <a14:useLocalDpi xmlns:a14="http://schemas.microsoft.com/office/drawing/2010/main" val="0"/>
                        </a:ext>
                      </a:extLst>
                    </a:blip>
                    <a:srcRect t="13588" r="4060" b="14471"/>
                    <a:stretch>
                      <a:fillRect/>
                    </a:stretch>
                  </pic:blipFill>
                  <pic:spPr bwMode="auto">
                    <a:xfrm>
                      <a:off x="0" y="0"/>
                      <a:ext cx="3891280" cy="1721485"/>
                    </a:xfrm>
                    <a:prstGeom prst="rect">
                      <a:avLst/>
                    </a:prstGeom>
                    <a:noFill/>
                    <a:ln>
                      <a:noFill/>
                    </a:ln>
                  </pic:spPr>
                </pic:pic>
              </a:graphicData>
            </a:graphic>
          </wp:inline>
        </w:drawing>
      </w:r>
    </w:p>
    <w:p w14:paraId="4A0F8FEE" w14:textId="77777777" w:rsidR="00830425" w:rsidRDefault="00830425" w:rsidP="00A42484">
      <w:pPr>
        <w:spacing w:line="480" w:lineRule="auto"/>
        <w:rPr>
          <w:rFonts w:ascii="Times New Roman" w:hAnsi="Times New Roman"/>
          <w:sz w:val="24"/>
          <w:szCs w:val="24"/>
          <w:lang w:val="en-GB"/>
        </w:rPr>
      </w:pPr>
      <w:r>
        <w:rPr>
          <w:rFonts w:ascii="Times New Roman" w:hAnsi="Times New Roman"/>
          <w:b/>
          <w:sz w:val="24"/>
          <w:szCs w:val="24"/>
          <w:lang w:val="en-GB"/>
        </w:rPr>
        <w:t xml:space="preserve">Figure 10. </w:t>
      </w:r>
      <w:r>
        <w:rPr>
          <w:rFonts w:ascii="Times New Roman" w:hAnsi="Times New Roman"/>
          <w:sz w:val="24"/>
          <w:szCs w:val="24"/>
          <w:lang w:val="en-GB"/>
        </w:rPr>
        <w:t xml:space="preserve">Map showing the RMSD between C2 GOP SSHAs and Argo-derived steric heights for the period April 2014 to April 2016. </w:t>
      </w:r>
    </w:p>
    <w:p w14:paraId="52117474" w14:textId="77777777" w:rsidR="00830425" w:rsidRDefault="00830425" w:rsidP="00A42484">
      <w:pPr>
        <w:spacing w:line="480" w:lineRule="auto"/>
        <w:rPr>
          <w:rFonts w:ascii="Times New Roman" w:hAnsi="Times New Roman"/>
          <w:sz w:val="24"/>
          <w:szCs w:val="24"/>
          <w:lang w:val="en-GB"/>
        </w:rPr>
      </w:pPr>
    </w:p>
    <w:p w14:paraId="02AD5B90" w14:textId="77777777" w:rsidR="00830425" w:rsidRDefault="00830425" w:rsidP="00A42484">
      <w:pPr>
        <w:spacing w:line="480" w:lineRule="auto"/>
        <w:rPr>
          <w:rFonts w:ascii="Times New Roman" w:hAnsi="Times New Roman"/>
          <w:b/>
          <w:sz w:val="24"/>
          <w:szCs w:val="24"/>
          <w:lang w:val="en-GB"/>
        </w:rPr>
      </w:pPr>
      <w:r>
        <w:rPr>
          <w:rFonts w:ascii="Times New Roman" w:hAnsi="Times New Roman"/>
          <w:b/>
          <w:sz w:val="24"/>
          <w:szCs w:val="24"/>
          <w:lang w:val="en-GB"/>
        </w:rPr>
        <w:t>3.3. Validation of the SWH and wind speed</w:t>
      </w:r>
    </w:p>
    <w:p w14:paraId="4F9E597C" w14:textId="77777777" w:rsidR="00830425" w:rsidRDefault="00830425" w:rsidP="00A42484">
      <w:pPr>
        <w:spacing w:line="480" w:lineRule="auto"/>
        <w:rPr>
          <w:rFonts w:ascii="Times New Roman" w:hAnsi="Times New Roman"/>
          <w:b/>
          <w:sz w:val="24"/>
          <w:szCs w:val="24"/>
          <w:lang w:val="en-GB"/>
        </w:rPr>
      </w:pPr>
      <w:r>
        <w:rPr>
          <w:rFonts w:ascii="Times New Roman" w:hAnsi="Times New Roman"/>
          <w:b/>
          <w:i/>
          <w:sz w:val="24"/>
          <w:szCs w:val="24"/>
          <w:lang w:val="en-GB"/>
        </w:rPr>
        <w:t>3.3.1</w:t>
      </w:r>
      <w:r w:rsidRPr="00437F4E">
        <w:rPr>
          <w:rFonts w:ascii="Times New Roman" w:hAnsi="Times New Roman"/>
          <w:b/>
          <w:i/>
          <w:sz w:val="24"/>
          <w:szCs w:val="24"/>
          <w:lang w:val="en-GB"/>
        </w:rPr>
        <w:t xml:space="preserve">. Comparison </w:t>
      </w:r>
      <w:r>
        <w:rPr>
          <w:rFonts w:ascii="Times New Roman" w:hAnsi="Times New Roman"/>
          <w:b/>
          <w:i/>
          <w:sz w:val="24"/>
          <w:szCs w:val="24"/>
          <w:lang w:val="en-GB"/>
        </w:rPr>
        <w:t>against in situ observations</w:t>
      </w:r>
    </w:p>
    <w:p w14:paraId="08DBD068" w14:textId="119554A8" w:rsidR="00830425" w:rsidRDefault="00830425" w:rsidP="00E36CF6">
      <w:pPr>
        <w:spacing w:line="480" w:lineRule="auto"/>
        <w:rPr>
          <w:rFonts w:ascii="Times New Roman" w:hAnsi="Times New Roman"/>
          <w:sz w:val="24"/>
          <w:szCs w:val="24"/>
          <w:lang w:val="en-GB"/>
        </w:rPr>
      </w:pPr>
      <w:r>
        <w:rPr>
          <w:rFonts w:ascii="Times New Roman" w:hAnsi="Times New Roman"/>
          <w:sz w:val="24"/>
          <w:szCs w:val="24"/>
          <w:lang w:val="en-GB"/>
        </w:rPr>
        <w:t xml:space="preserve">Altimetric measurements of SWH and wind speed are compared with buoy observations by means of scatter plots (Figure 11). We discuss first the results for the SWH and then move to the results for the wind speed. Focusing on the SWH (Figures 11a,b,c), the scatter plots for the three altimetry datasets show similar patterns, with most points falling along the line </w:t>
      </w:r>
      <w:r w:rsidRPr="007C2A8D">
        <w:rPr>
          <w:rFonts w:ascii="Times New Roman" w:hAnsi="Times New Roman"/>
          <w:i/>
          <w:sz w:val="24"/>
          <w:szCs w:val="24"/>
          <w:lang w:val="en-GB"/>
        </w:rPr>
        <w:t>y=x</w:t>
      </w:r>
      <w:r>
        <w:rPr>
          <w:rFonts w:ascii="Times New Roman" w:hAnsi="Times New Roman"/>
          <w:sz w:val="24"/>
          <w:szCs w:val="24"/>
          <w:lang w:val="en-GB"/>
        </w:rPr>
        <w:t xml:space="preserve">, which indicates a good agreement between altimetric and buoy observations and no </w:t>
      </w:r>
      <w:r>
        <w:rPr>
          <w:rFonts w:ascii="Times New Roman" w:hAnsi="Times New Roman"/>
          <w:sz w:val="24"/>
          <w:szCs w:val="24"/>
          <w:lang w:val="en-GB"/>
        </w:rPr>
        <w:lastRenderedPageBreak/>
        <w:t>significant offset or bias. To further assess the agreement between the altimetric and buoy SWHs we have performed a linear regression of the data and the resulting fitted line (blue line) is drawn as reference in Figure 11. The slope of the regression line is 0.98 for C2 GOP, 1.05 for C2 RADS, and 0.97 for J2</w:t>
      </w:r>
      <w:r w:rsidRPr="00CC46A9">
        <w:rPr>
          <w:rFonts w:ascii="Times New Roman" w:hAnsi="Times New Roman"/>
          <w:sz w:val="24"/>
          <w:szCs w:val="24"/>
          <w:lang w:val="en-GB"/>
        </w:rPr>
        <w:t xml:space="preserve"> </w:t>
      </w:r>
      <w:r>
        <w:rPr>
          <w:rFonts w:ascii="Times New Roman" w:hAnsi="Times New Roman"/>
          <w:sz w:val="24"/>
          <w:szCs w:val="24"/>
          <w:lang w:val="en-GB"/>
        </w:rPr>
        <w:t>whereas the RMS errors are 15 cm for C2 GOP, 17 cm for C2 RADS, and 16 cm for J2. These results indicate a very good agreement between altimetric and buoy measurements.</w:t>
      </w:r>
    </w:p>
    <w:p w14:paraId="73D6CE8A" w14:textId="0C025580" w:rsidR="00830425" w:rsidRDefault="00830425" w:rsidP="00E36CF6">
      <w:pPr>
        <w:spacing w:line="480" w:lineRule="auto"/>
        <w:rPr>
          <w:rFonts w:ascii="Times New Roman" w:hAnsi="Times New Roman"/>
          <w:sz w:val="24"/>
          <w:szCs w:val="24"/>
          <w:lang w:val="en-GB"/>
        </w:rPr>
      </w:pPr>
      <w:r>
        <w:rPr>
          <w:rFonts w:ascii="Times New Roman" w:hAnsi="Times New Roman"/>
          <w:sz w:val="24"/>
          <w:szCs w:val="24"/>
          <w:lang w:val="en-GB"/>
        </w:rPr>
        <w:t>Minor differences among the altimetry datasets are noticeable. In particular, we note from Figure 11b that C2 RADS tends to slightly underestimate the SWH during low sea state (SWH&lt;1.5 m) and overestimate it for moderate and high sea state, whereas this is not the case for C2 GOP and J2</w:t>
      </w:r>
      <w:r w:rsidR="005F1D47">
        <w:rPr>
          <w:rFonts w:ascii="Times New Roman" w:hAnsi="Times New Roman"/>
          <w:sz w:val="24"/>
          <w:szCs w:val="24"/>
          <w:lang w:val="en-GB"/>
        </w:rPr>
        <w:t>,</w:t>
      </w:r>
      <w:r>
        <w:rPr>
          <w:rFonts w:ascii="Times New Roman" w:hAnsi="Times New Roman"/>
          <w:sz w:val="24"/>
          <w:szCs w:val="24"/>
          <w:lang w:val="en-GB"/>
        </w:rPr>
        <w:t xml:space="preserve"> which show almost no bias. This feature in C2 RADS is small but seems to be robust and it is confirmed by computing the histogram of SWHs over the global oceans for C2 GOP, C2 RADS, and J2 (Figure 12a). Visually the three histograms are almost indistinguishable but estimates of their mean confirm that C2 RADS (2.75 m) provides indeed slightly larger SWH values than C2 GOP (2.64 m) and J2 (2.65 m).  More evidence supporting this result will be provided on the basis of a comparison with data from the wave model WWIII.        </w:t>
      </w:r>
    </w:p>
    <w:p w14:paraId="12BE7D25" w14:textId="77777777" w:rsidR="00830425" w:rsidRDefault="00830425" w:rsidP="00BD2140">
      <w:pPr>
        <w:spacing w:line="480" w:lineRule="auto"/>
        <w:jc w:val="center"/>
        <w:rPr>
          <w:rFonts w:ascii="Times New Roman" w:hAnsi="Times New Roman"/>
          <w:sz w:val="24"/>
          <w:szCs w:val="24"/>
          <w:lang w:val="en-GB"/>
        </w:rPr>
      </w:pPr>
      <w:r>
        <w:rPr>
          <w:rFonts w:ascii="Times New Roman" w:hAnsi="Times New Roman"/>
          <w:sz w:val="24"/>
          <w:szCs w:val="24"/>
          <w:lang w:val="en-GB"/>
        </w:rPr>
        <w:t xml:space="preserve"> </w:t>
      </w:r>
      <w:r w:rsidR="00201F8C">
        <w:rPr>
          <w:rFonts w:ascii="Times New Roman" w:hAnsi="Times New Roman"/>
          <w:noProof/>
          <w:sz w:val="24"/>
          <w:szCs w:val="24"/>
          <w:lang w:val="en-GB" w:eastAsia="en-GB"/>
        </w:rPr>
        <w:drawing>
          <wp:inline distT="0" distB="0" distL="0" distR="0" wp14:anchorId="5FCDFFB5" wp14:editId="469FA93F">
            <wp:extent cx="2171704" cy="2246400"/>
            <wp:effectExtent l="0" t="0" r="0" b="190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71704" cy="2246400"/>
                    </a:xfrm>
                    <a:prstGeom prst="rect">
                      <a:avLst/>
                    </a:prstGeom>
                    <a:noFill/>
                    <a:ln>
                      <a:noFill/>
                    </a:ln>
                  </pic:spPr>
                </pic:pic>
              </a:graphicData>
            </a:graphic>
          </wp:inline>
        </w:drawing>
      </w:r>
      <w:r>
        <w:rPr>
          <w:rFonts w:ascii="Times New Roman" w:hAnsi="Times New Roman"/>
          <w:sz w:val="24"/>
          <w:szCs w:val="24"/>
          <w:lang w:val="en-GB"/>
        </w:rPr>
        <w:t xml:space="preserve">   </w:t>
      </w:r>
      <w:r w:rsidR="00201F8C">
        <w:rPr>
          <w:rFonts w:ascii="Times New Roman" w:hAnsi="Times New Roman"/>
          <w:noProof/>
          <w:sz w:val="24"/>
          <w:szCs w:val="24"/>
          <w:lang w:val="en-GB" w:eastAsia="en-GB"/>
        </w:rPr>
        <w:drawing>
          <wp:inline distT="0" distB="0" distL="0" distR="0" wp14:anchorId="77151F96" wp14:editId="656D4F26">
            <wp:extent cx="2171704" cy="2246400"/>
            <wp:effectExtent l="0" t="0" r="0" b="190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71704" cy="2246400"/>
                    </a:xfrm>
                    <a:prstGeom prst="rect">
                      <a:avLst/>
                    </a:prstGeom>
                    <a:noFill/>
                    <a:ln>
                      <a:noFill/>
                    </a:ln>
                  </pic:spPr>
                </pic:pic>
              </a:graphicData>
            </a:graphic>
          </wp:inline>
        </w:drawing>
      </w:r>
    </w:p>
    <w:p w14:paraId="30D3B568"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lastRenderedPageBreak/>
        <w:drawing>
          <wp:inline distT="0" distB="0" distL="0" distR="0" wp14:anchorId="713DC2D3" wp14:editId="696816AE">
            <wp:extent cx="2159635" cy="2247265"/>
            <wp:effectExtent l="0" t="0" r="0" b="0"/>
            <wp:docPr id="29"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59635" cy="2247265"/>
                    </a:xfrm>
                    <a:prstGeom prst="rect">
                      <a:avLst/>
                    </a:prstGeom>
                    <a:noFill/>
                    <a:ln>
                      <a:noFill/>
                    </a:ln>
                  </pic:spPr>
                </pic:pic>
              </a:graphicData>
            </a:graphic>
          </wp:inline>
        </w:drawing>
      </w:r>
      <w:r w:rsidR="00830425">
        <w:rPr>
          <w:rFonts w:ascii="Times New Roman" w:hAnsi="Times New Roman"/>
          <w:sz w:val="24"/>
          <w:szCs w:val="24"/>
          <w:lang w:val="en-GB"/>
        </w:rPr>
        <w:t xml:space="preserve">    </w:t>
      </w:r>
      <w:r>
        <w:rPr>
          <w:rFonts w:ascii="Times New Roman" w:hAnsi="Times New Roman"/>
          <w:noProof/>
          <w:sz w:val="24"/>
          <w:szCs w:val="24"/>
          <w:lang w:val="en-GB" w:eastAsia="en-GB"/>
        </w:rPr>
        <w:drawing>
          <wp:inline distT="0" distB="0" distL="0" distR="0" wp14:anchorId="593B0D5E" wp14:editId="497CA82A">
            <wp:extent cx="2159635" cy="2247265"/>
            <wp:effectExtent l="0" t="0" r="0" b="0"/>
            <wp:docPr id="3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9635" cy="2247265"/>
                    </a:xfrm>
                    <a:prstGeom prst="rect">
                      <a:avLst/>
                    </a:prstGeom>
                    <a:noFill/>
                    <a:ln>
                      <a:noFill/>
                    </a:ln>
                  </pic:spPr>
                </pic:pic>
              </a:graphicData>
            </a:graphic>
          </wp:inline>
        </w:drawing>
      </w:r>
    </w:p>
    <w:p w14:paraId="44E31CC4"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drawing>
          <wp:inline distT="0" distB="0" distL="0" distR="0" wp14:anchorId="4E4C2501" wp14:editId="5A3477B8">
            <wp:extent cx="2159635" cy="2247265"/>
            <wp:effectExtent l="0" t="0" r="0" b="0"/>
            <wp:docPr id="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159635" cy="2247265"/>
                    </a:xfrm>
                    <a:prstGeom prst="rect">
                      <a:avLst/>
                    </a:prstGeom>
                    <a:noFill/>
                    <a:ln>
                      <a:noFill/>
                    </a:ln>
                  </pic:spPr>
                </pic:pic>
              </a:graphicData>
            </a:graphic>
          </wp:inline>
        </w:drawing>
      </w:r>
      <w:r w:rsidR="00830425">
        <w:rPr>
          <w:rFonts w:ascii="Times New Roman" w:hAnsi="Times New Roman"/>
          <w:sz w:val="24"/>
          <w:szCs w:val="24"/>
          <w:lang w:val="en-GB"/>
        </w:rPr>
        <w:t xml:space="preserve">    </w:t>
      </w:r>
      <w:r>
        <w:rPr>
          <w:rFonts w:ascii="Times New Roman" w:hAnsi="Times New Roman"/>
          <w:noProof/>
          <w:sz w:val="24"/>
          <w:szCs w:val="24"/>
          <w:lang w:val="en-GB" w:eastAsia="en-GB"/>
        </w:rPr>
        <w:drawing>
          <wp:inline distT="0" distB="0" distL="0" distR="0" wp14:anchorId="29E1BE50" wp14:editId="544ECF30">
            <wp:extent cx="2159635" cy="2247265"/>
            <wp:effectExtent l="0" t="0" r="0" b="0"/>
            <wp:docPr id="3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59635" cy="2247265"/>
                    </a:xfrm>
                    <a:prstGeom prst="rect">
                      <a:avLst/>
                    </a:prstGeom>
                    <a:noFill/>
                    <a:ln>
                      <a:noFill/>
                    </a:ln>
                  </pic:spPr>
                </pic:pic>
              </a:graphicData>
            </a:graphic>
          </wp:inline>
        </w:drawing>
      </w:r>
    </w:p>
    <w:p w14:paraId="57D357B4" w14:textId="77777777" w:rsidR="00830425" w:rsidRDefault="00830425" w:rsidP="00A42484">
      <w:pPr>
        <w:spacing w:line="480" w:lineRule="auto"/>
        <w:rPr>
          <w:rFonts w:ascii="Times New Roman" w:hAnsi="Times New Roman"/>
          <w:sz w:val="24"/>
          <w:szCs w:val="24"/>
          <w:lang w:val="en-GB"/>
        </w:rPr>
      </w:pPr>
      <w:r>
        <w:rPr>
          <w:rFonts w:ascii="Times New Roman" w:hAnsi="Times New Roman"/>
          <w:b/>
          <w:sz w:val="24"/>
          <w:szCs w:val="24"/>
          <w:lang w:val="en-GB"/>
        </w:rPr>
        <w:t>Figure 11.</w:t>
      </w:r>
      <w:r>
        <w:rPr>
          <w:rFonts w:ascii="Times New Roman" w:hAnsi="Times New Roman"/>
          <w:sz w:val="24"/>
          <w:szCs w:val="24"/>
          <w:lang w:val="en-GB"/>
        </w:rPr>
        <w:t xml:space="preserve"> Scatter plot of the SWH and wind speed from (a, d) C2 GOP, (b, e) C2 RADS, and (c, f) J2 against buoy observations over the period April 2014 to April 2016. The blue line represents the result of a linear regression of the data (using robust regression) whereas the inset values denote the RMS error (rms), the slope, and the intercept (intcp) derived from the regression.</w:t>
      </w:r>
    </w:p>
    <w:p w14:paraId="61D87FB0" w14:textId="77777777" w:rsidR="00830425" w:rsidRPr="007475E7"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Focusing now on the wind speed, the scatter plots (Figures 11d,e,f) show that C2 RADS and J2 agree well with the buoy observations. In contrast, C2 GOP significantly overestimates the wind speed and shows a larger spread of points. As for the SWH, we have computed and overlaid a regression line on the scatter plot. The slope of the fitted line is 1.23 for C2 GOP, 0.96 for C2 RADS, and 0.99 for J2</w:t>
      </w:r>
      <w:r w:rsidRPr="00CC46A9">
        <w:rPr>
          <w:rFonts w:ascii="Times New Roman" w:hAnsi="Times New Roman"/>
          <w:sz w:val="24"/>
          <w:szCs w:val="24"/>
          <w:lang w:val="en-GB"/>
        </w:rPr>
        <w:t xml:space="preserve"> </w:t>
      </w:r>
      <w:r>
        <w:rPr>
          <w:rFonts w:ascii="Times New Roman" w:hAnsi="Times New Roman"/>
          <w:sz w:val="24"/>
          <w:szCs w:val="24"/>
          <w:lang w:val="en-GB"/>
        </w:rPr>
        <w:t xml:space="preserve">whereas the RMS errors are 1.42 m/s for C2 GOP, 0.97 </w:t>
      </w:r>
      <w:r>
        <w:rPr>
          <w:rFonts w:ascii="Times New Roman" w:hAnsi="Times New Roman"/>
          <w:sz w:val="24"/>
          <w:szCs w:val="24"/>
          <w:lang w:val="en-GB"/>
        </w:rPr>
        <w:lastRenderedPageBreak/>
        <w:t>m/s for C2 RADS, and 1.02 m/s for J2. The relatively high slope of C2 GOP reflects its general tendency to overestimate the wind speed for moderate and high values (&gt;5 m/s) and underestimate it for low values (&lt;2 m/s). The positive bias affecting C2 GOP for high wind speed is even more apparent in the histogram of the wind speed over the global ocean (Figure 12b). While C2 RADS and J2 show similar distributions with similar means (7.67 m/s and 7.46 m/s, respectively), the mode of the distribution for C2 GOP is clearly shifted towards the right which results in a mean that is significantly larger (9.66 m/s).</w:t>
      </w:r>
    </w:p>
    <w:p w14:paraId="49A760F9" w14:textId="77777777" w:rsidR="00830425" w:rsidRDefault="00201F8C" w:rsidP="00A42484">
      <w:pPr>
        <w:spacing w:line="480" w:lineRule="auto"/>
        <w:jc w:val="center"/>
        <w:rPr>
          <w:rFonts w:ascii="Times New Roman" w:hAnsi="Times New Roman"/>
          <w:b/>
          <w:sz w:val="24"/>
          <w:szCs w:val="24"/>
          <w:lang w:val="en-GB"/>
        </w:rPr>
      </w:pPr>
      <w:r>
        <w:rPr>
          <w:rFonts w:ascii="Times New Roman" w:hAnsi="Times New Roman"/>
          <w:noProof/>
          <w:sz w:val="24"/>
          <w:szCs w:val="24"/>
          <w:lang w:val="en-GB" w:eastAsia="en-GB"/>
        </w:rPr>
        <w:drawing>
          <wp:inline distT="0" distB="0" distL="0" distR="0" wp14:anchorId="6E6F5341" wp14:editId="3FD9D741">
            <wp:extent cx="2393315" cy="209169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393315" cy="2091690"/>
                    </a:xfrm>
                    <a:prstGeom prst="rect">
                      <a:avLst/>
                    </a:prstGeom>
                    <a:noFill/>
                    <a:ln>
                      <a:noFill/>
                    </a:ln>
                  </pic:spPr>
                </pic:pic>
              </a:graphicData>
            </a:graphic>
          </wp:inline>
        </w:drawing>
      </w:r>
      <w:r w:rsidR="00830425">
        <w:rPr>
          <w:rFonts w:ascii="Times New Roman" w:hAnsi="Times New Roman"/>
          <w:sz w:val="24"/>
          <w:szCs w:val="24"/>
          <w:lang w:val="en-GB"/>
        </w:rPr>
        <w:t xml:space="preserve">    </w:t>
      </w:r>
      <w:r>
        <w:rPr>
          <w:rFonts w:ascii="Times New Roman" w:hAnsi="Times New Roman"/>
          <w:noProof/>
          <w:sz w:val="24"/>
          <w:szCs w:val="24"/>
          <w:lang w:val="en-GB" w:eastAsia="en-GB"/>
        </w:rPr>
        <w:drawing>
          <wp:inline distT="0" distB="0" distL="0" distR="0" wp14:anchorId="2323AF28" wp14:editId="2B036381">
            <wp:extent cx="2412365" cy="2091690"/>
            <wp:effectExtent l="0" t="0" r="63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412365" cy="2091690"/>
                    </a:xfrm>
                    <a:prstGeom prst="rect">
                      <a:avLst/>
                    </a:prstGeom>
                    <a:noFill/>
                    <a:ln>
                      <a:noFill/>
                    </a:ln>
                  </pic:spPr>
                </pic:pic>
              </a:graphicData>
            </a:graphic>
          </wp:inline>
        </w:drawing>
      </w:r>
    </w:p>
    <w:p w14:paraId="749B79FF" w14:textId="28DD66C2" w:rsidR="00C22799" w:rsidRDefault="00830425" w:rsidP="00A42484">
      <w:pPr>
        <w:spacing w:line="480" w:lineRule="auto"/>
        <w:rPr>
          <w:rFonts w:ascii="Times New Roman" w:hAnsi="Times New Roman"/>
          <w:sz w:val="24"/>
          <w:szCs w:val="24"/>
          <w:lang w:val="en-GB"/>
        </w:rPr>
      </w:pPr>
      <w:r>
        <w:rPr>
          <w:rFonts w:ascii="Times New Roman" w:hAnsi="Times New Roman"/>
          <w:b/>
          <w:sz w:val="24"/>
          <w:szCs w:val="24"/>
          <w:lang w:val="en-GB"/>
        </w:rPr>
        <w:t>Figure 12.</w:t>
      </w:r>
      <w:r>
        <w:rPr>
          <w:rFonts w:ascii="Times New Roman" w:hAnsi="Times New Roman"/>
          <w:sz w:val="24"/>
          <w:szCs w:val="24"/>
          <w:lang w:val="en-GB"/>
        </w:rPr>
        <w:t xml:space="preserve"> Histograms (normalized to have a total area of 1) of the (a) SWH and (b) wind speed from C2 GOP (blue bars), C2 RADS (black line), and J2 (red line). </w:t>
      </w:r>
    </w:p>
    <w:p w14:paraId="0BA40ED8" w14:textId="77777777" w:rsidR="00830425" w:rsidRDefault="00830425" w:rsidP="00A42484">
      <w:pPr>
        <w:spacing w:line="480" w:lineRule="auto"/>
        <w:rPr>
          <w:rFonts w:ascii="Times New Roman" w:hAnsi="Times New Roman"/>
          <w:sz w:val="24"/>
          <w:szCs w:val="24"/>
          <w:lang w:val="en-GB"/>
        </w:rPr>
      </w:pPr>
    </w:p>
    <w:p w14:paraId="2FDA3AD4" w14:textId="77777777" w:rsidR="00830425" w:rsidRDefault="00830425" w:rsidP="00A42484">
      <w:pPr>
        <w:spacing w:line="480" w:lineRule="auto"/>
        <w:rPr>
          <w:rFonts w:ascii="Times New Roman" w:hAnsi="Times New Roman"/>
          <w:b/>
          <w:sz w:val="24"/>
          <w:szCs w:val="24"/>
          <w:lang w:val="en-GB"/>
        </w:rPr>
      </w:pPr>
      <w:r>
        <w:rPr>
          <w:rFonts w:ascii="Times New Roman" w:hAnsi="Times New Roman"/>
          <w:b/>
          <w:i/>
          <w:sz w:val="24"/>
          <w:szCs w:val="24"/>
          <w:lang w:val="en-GB"/>
        </w:rPr>
        <w:t>3.3.2</w:t>
      </w:r>
      <w:r w:rsidRPr="00437F4E">
        <w:rPr>
          <w:rFonts w:ascii="Times New Roman" w:hAnsi="Times New Roman"/>
          <w:b/>
          <w:i/>
          <w:sz w:val="24"/>
          <w:szCs w:val="24"/>
          <w:lang w:val="en-GB"/>
        </w:rPr>
        <w:t xml:space="preserve">. Comparison </w:t>
      </w:r>
      <w:r>
        <w:rPr>
          <w:rFonts w:ascii="Times New Roman" w:hAnsi="Times New Roman"/>
          <w:b/>
          <w:i/>
          <w:sz w:val="24"/>
          <w:szCs w:val="24"/>
          <w:lang w:val="en-GB"/>
        </w:rPr>
        <w:t>against Wavewatch III model data.</w:t>
      </w:r>
    </w:p>
    <w:p w14:paraId="620F9FFE" w14:textId="6541D817"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 xml:space="preserve">As a last validation test we compare SWHs from C2 GOP and C2 RADS with WWIII model data. Although observations are usually preferred to modelled data for validation purposes, WWIII provides a useful tool to examine altimetric SWH over the global ocean, and in particular in regions where buoy data are not available. We have assessed the consistency between the two data sets over the entire ocean (excluding polar regions) by first creating scatter plots of altimeter observations against modelled data (Figure 13). Because of the large </w:t>
      </w:r>
      <w:r>
        <w:rPr>
          <w:rFonts w:ascii="Times New Roman" w:hAnsi="Times New Roman"/>
          <w:sz w:val="24"/>
          <w:szCs w:val="24"/>
          <w:lang w:val="en-GB"/>
        </w:rPr>
        <w:lastRenderedPageBreak/>
        <w:t>amount of data</w:t>
      </w:r>
      <w:r w:rsidR="00493F64">
        <w:rPr>
          <w:rFonts w:ascii="Times New Roman" w:hAnsi="Times New Roman"/>
          <w:sz w:val="24"/>
          <w:szCs w:val="24"/>
          <w:lang w:val="en-GB"/>
        </w:rPr>
        <w:t>,</w:t>
      </w:r>
      <w:r>
        <w:rPr>
          <w:rFonts w:ascii="Times New Roman" w:hAnsi="Times New Roman"/>
          <w:sz w:val="24"/>
          <w:szCs w:val="24"/>
          <w:lang w:val="en-GB"/>
        </w:rPr>
        <w:t xml:space="preserve"> it is not possible to show all data over the whole period (April 2014 to April 2016) in a single scatter plot, instead we have created monthly scatter plots, which in addition allows us to assess whether the performance of the altimetric SWH changes with season. Here we show the results for July 2014 and February 2015. Overall there is a good agreement between the altimetric and modelled SWH both for C2 GOP and C2 RADS, with the data clustering around the </w:t>
      </w:r>
      <w:r w:rsidRPr="001461F5">
        <w:rPr>
          <w:rFonts w:ascii="Times New Roman" w:hAnsi="Times New Roman"/>
          <w:i/>
          <w:sz w:val="24"/>
          <w:szCs w:val="24"/>
          <w:lang w:val="en-GB"/>
        </w:rPr>
        <w:t>y=x</w:t>
      </w:r>
      <w:r>
        <w:rPr>
          <w:rFonts w:ascii="Times New Roman" w:hAnsi="Times New Roman"/>
          <w:sz w:val="24"/>
          <w:szCs w:val="24"/>
          <w:lang w:val="en-GB"/>
        </w:rPr>
        <w:t xml:space="preserve"> line. The points show, however, greater scatter than in the comparison with in situ buoy data, especially in February. We also note that the spread of points is greater in C2 RADS than in C2 GOP, both in July and February. Another interesting feature, apparent in both C2 RADS and C2 GOP, is the tendency of WWIII to underestimate the altimetric SWHs during low to moderate sea state (SWH &lt; 3 m) and to overestimate them during high sea state (SWH &gt; 5 m). This tendency is more pronounced in February than in July.  </w:t>
      </w:r>
    </w:p>
    <w:p w14:paraId="0C79D055" w14:textId="77777777" w:rsidR="00830425" w:rsidRDefault="00830425" w:rsidP="00A42484">
      <w:pPr>
        <w:spacing w:line="480" w:lineRule="auto"/>
        <w:jc w:val="center"/>
        <w:rPr>
          <w:rFonts w:ascii="Times New Roman" w:hAnsi="Times New Roman"/>
          <w:b/>
          <w:sz w:val="24"/>
          <w:szCs w:val="24"/>
          <w:lang w:val="en-GB"/>
        </w:rPr>
      </w:pPr>
    </w:p>
    <w:p w14:paraId="383A066D" w14:textId="77777777" w:rsidR="00830425" w:rsidRDefault="00201F8C" w:rsidP="00A42484">
      <w:pPr>
        <w:spacing w:line="480" w:lineRule="auto"/>
        <w:jc w:val="center"/>
        <w:rPr>
          <w:rFonts w:ascii="Times New Roman" w:hAnsi="Times New Roman"/>
          <w:b/>
          <w:sz w:val="24"/>
          <w:szCs w:val="24"/>
          <w:lang w:val="en-GB"/>
        </w:rPr>
      </w:pPr>
      <w:r>
        <w:rPr>
          <w:rFonts w:ascii="Times New Roman" w:hAnsi="Times New Roman"/>
          <w:b/>
          <w:noProof/>
          <w:sz w:val="24"/>
          <w:szCs w:val="24"/>
          <w:lang w:val="en-GB" w:eastAsia="en-GB"/>
        </w:rPr>
        <w:drawing>
          <wp:inline distT="0" distB="0" distL="0" distR="0" wp14:anchorId="3C0D1AC3" wp14:editId="5DC88EF1">
            <wp:extent cx="1993900" cy="2150110"/>
            <wp:effectExtent l="0" t="0" r="12700" b="889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993900" cy="2150110"/>
                    </a:xfrm>
                    <a:prstGeom prst="rect">
                      <a:avLst/>
                    </a:prstGeom>
                    <a:noFill/>
                    <a:ln>
                      <a:noFill/>
                    </a:ln>
                  </pic:spPr>
                </pic:pic>
              </a:graphicData>
            </a:graphic>
          </wp:inline>
        </w:drawing>
      </w:r>
      <w:r w:rsidR="00830425">
        <w:rPr>
          <w:rFonts w:ascii="Times New Roman" w:hAnsi="Times New Roman"/>
          <w:b/>
          <w:sz w:val="24"/>
          <w:szCs w:val="24"/>
          <w:lang w:val="en-GB"/>
        </w:rPr>
        <w:t xml:space="preserve">    </w:t>
      </w:r>
      <w:r>
        <w:rPr>
          <w:rFonts w:ascii="Times New Roman" w:hAnsi="Times New Roman"/>
          <w:b/>
          <w:noProof/>
          <w:sz w:val="24"/>
          <w:szCs w:val="24"/>
          <w:lang w:val="en-GB" w:eastAsia="en-GB"/>
        </w:rPr>
        <w:drawing>
          <wp:inline distT="0" distB="0" distL="0" distR="0" wp14:anchorId="7220A72A" wp14:editId="69B9DA82">
            <wp:extent cx="1993900" cy="2150110"/>
            <wp:effectExtent l="0" t="0" r="12700" b="889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993900" cy="2150110"/>
                    </a:xfrm>
                    <a:prstGeom prst="rect">
                      <a:avLst/>
                    </a:prstGeom>
                    <a:noFill/>
                    <a:ln>
                      <a:noFill/>
                    </a:ln>
                  </pic:spPr>
                </pic:pic>
              </a:graphicData>
            </a:graphic>
          </wp:inline>
        </w:drawing>
      </w:r>
    </w:p>
    <w:p w14:paraId="25154A42" w14:textId="77777777" w:rsidR="00830425" w:rsidRDefault="00201F8C" w:rsidP="00A42484">
      <w:pPr>
        <w:spacing w:line="480" w:lineRule="auto"/>
        <w:jc w:val="center"/>
        <w:rPr>
          <w:rFonts w:ascii="Times New Roman" w:hAnsi="Times New Roman"/>
          <w:b/>
          <w:sz w:val="24"/>
          <w:szCs w:val="24"/>
          <w:lang w:val="en-GB"/>
        </w:rPr>
      </w:pPr>
      <w:r>
        <w:rPr>
          <w:rFonts w:ascii="Times New Roman" w:hAnsi="Times New Roman"/>
          <w:b/>
          <w:noProof/>
          <w:sz w:val="24"/>
          <w:szCs w:val="24"/>
          <w:lang w:val="en-GB" w:eastAsia="en-GB"/>
        </w:rPr>
        <w:lastRenderedPageBreak/>
        <w:drawing>
          <wp:inline distT="0" distB="0" distL="0" distR="0" wp14:anchorId="1A00AEEE" wp14:editId="2743A40C">
            <wp:extent cx="1993900" cy="2150110"/>
            <wp:effectExtent l="0" t="0" r="12700" b="889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993900" cy="2150110"/>
                    </a:xfrm>
                    <a:prstGeom prst="rect">
                      <a:avLst/>
                    </a:prstGeom>
                    <a:noFill/>
                    <a:ln>
                      <a:noFill/>
                    </a:ln>
                  </pic:spPr>
                </pic:pic>
              </a:graphicData>
            </a:graphic>
          </wp:inline>
        </w:drawing>
      </w:r>
      <w:r w:rsidR="00830425">
        <w:rPr>
          <w:rFonts w:ascii="Times New Roman" w:hAnsi="Times New Roman"/>
          <w:b/>
          <w:sz w:val="24"/>
          <w:szCs w:val="24"/>
          <w:lang w:val="en-GB"/>
        </w:rPr>
        <w:t xml:space="preserve">    </w:t>
      </w:r>
      <w:r>
        <w:rPr>
          <w:rFonts w:ascii="Times New Roman" w:hAnsi="Times New Roman"/>
          <w:b/>
          <w:noProof/>
          <w:sz w:val="24"/>
          <w:szCs w:val="24"/>
          <w:lang w:val="en-GB" w:eastAsia="en-GB"/>
        </w:rPr>
        <w:drawing>
          <wp:inline distT="0" distB="0" distL="0" distR="0" wp14:anchorId="68F9340D" wp14:editId="3B4ED2CE">
            <wp:extent cx="1993900" cy="2150110"/>
            <wp:effectExtent l="0" t="0" r="12700" b="889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993900" cy="2150110"/>
                    </a:xfrm>
                    <a:prstGeom prst="rect">
                      <a:avLst/>
                    </a:prstGeom>
                    <a:noFill/>
                    <a:ln>
                      <a:noFill/>
                    </a:ln>
                  </pic:spPr>
                </pic:pic>
              </a:graphicData>
            </a:graphic>
          </wp:inline>
        </w:drawing>
      </w:r>
    </w:p>
    <w:p w14:paraId="3CCE8478" w14:textId="521AD9AA" w:rsidR="00830425" w:rsidRDefault="00830425" w:rsidP="00A42484">
      <w:pPr>
        <w:spacing w:line="480" w:lineRule="auto"/>
        <w:rPr>
          <w:rFonts w:ascii="Times New Roman" w:hAnsi="Times New Roman"/>
          <w:sz w:val="24"/>
          <w:szCs w:val="24"/>
          <w:lang w:val="en-GB"/>
        </w:rPr>
      </w:pPr>
      <w:r>
        <w:rPr>
          <w:rFonts w:ascii="Times New Roman" w:hAnsi="Times New Roman"/>
          <w:b/>
          <w:sz w:val="24"/>
          <w:szCs w:val="24"/>
          <w:lang w:val="en-GB"/>
        </w:rPr>
        <w:t>Figure 13.</w:t>
      </w:r>
      <w:r>
        <w:rPr>
          <w:rFonts w:ascii="Times New Roman" w:hAnsi="Times New Roman"/>
          <w:sz w:val="24"/>
          <w:szCs w:val="24"/>
          <w:lang w:val="en-GB"/>
        </w:rPr>
        <w:t xml:space="preserve"> Scatter plots of the SWH from (a, b) C2 GOP and from (c, d) C2 RADS against the SWH from the WWIII model for July 2014 and February 2015. The blue line represents the result of a linear regression of the data (using robust regression) whereas the inset values denote the RMS error (rms), the slope, and the intercept (intcp) derived from the regression.</w:t>
      </w:r>
    </w:p>
    <w:p w14:paraId="59BCB5CD" w14:textId="77777777" w:rsidR="00830425" w:rsidRDefault="00830425" w:rsidP="00A42484">
      <w:pPr>
        <w:spacing w:line="480" w:lineRule="auto"/>
        <w:rPr>
          <w:rFonts w:ascii="Times New Roman" w:hAnsi="Times New Roman"/>
          <w:sz w:val="24"/>
          <w:szCs w:val="24"/>
          <w:lang w:val="en-GB"/>
        </w:rPr>
      </w:pPr>
    </w:p>
    <w:p w14:paraId="37975AE1" w14:textId="77777777"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The fitting of a</w:t>
      </w:r>
      <w:r w:rsidDel="0046541F">
        <w:rPr>
          <w:rFonts w:ascii="Times New Roman" w:hAnsi="Times New Roman"/>
          <w:sz w:val="24"/>
          <w:szCs w:val="24"/>
          <w:lang w:val="en-GB"/>
        </w:rPr>
        <w:t xml:space="preserve"> </w:t>
      </w:r>
      <w:r>
        <w:rPr>
          <w:rFonts w:ascii="Times New Roman" w:hAnsi="Times New Roman"/>
          <w:sz w:val="24"/>
          <w:szCs w:val="24"/>
          <w:lang w:val="en-GB"/>
        </w:rPr>
        <w:t>linear model to the scatter points provides quantitative confirmation of the features shown by the scatter plot. The slope of the fitted line is significantly smaller than 1, with values ranging from 0.83 to 0.85, which reflects the general tendency of WWIII to yield lower SWH values during low sea states and higher values during high sea states. The RMS error resulting from the fit ranges from 30 cm to 38 cm for C2 GOP and from 33 cm to 40 cm for C2 RADS, which is significantly larger than the value obtained for the comparison with the buoys and reflects the wider scatter of the points.</w:t>
      </w:r>
    </w:p>
    <w:p w14:paraId="448648AC"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lastRenderedPageBreak/>
        <w:drawing>
          <wp:inline distT="0" distB="0" distL="0" distR="0" wp14:anchorId="59F9FAE2" wp14:editId="661A85F8">
            <wp:extent cx="3560445" cy="213042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560445" cy="2130425"/>
                    </a:xfrm>
                    <a:prstGeom prst="rect">
                      <a:avLst/>
                    </a:prstGeom>
                    <a:noFill/>
                    <a:ln>
                      <a:noFill/>
                    </a:ln>
                  </pic:spPr>
                </pic:pic>
              </a:graphicData>
            </a:graphic>
          </wp:inline>
        </w:drawing>
      </w:r>
    </w:p>
    <w:p w14:paraId="6E9ECDA4"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drawing>
          <wp:inline distT="0" distB="0" distL="0" distR="0" wp14:anchorId="22925B14" wp14:editId="63BCDBE4">
            <wp:extent cx="3560445" cy="2130425"/>
            <wp:effectExtent l="0" t="0" r="0" b="317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560445" cy="2130425"/>
                    </a:xfrm>
                    <a:prstGeom prst="rect">
                      <a:avLst/>
                    </a:prstGeom>
                    <a:noFill/>
                    <a:ln>
                      <a:noFill/>
                    </a:ln>
                  </pic:spPr>
                </pic:pic>
              </a:graphicData>
            </a:graphic>
          </wp:inline>
        </w:drawing>
      </w:r>
    </w:p>
    <w:p w14:paraId="5D4400A4" w14:textId="77777777" w:rsidR="00830425" w:rsidRDefault="00201F8C" w:rsidP="00BD2140">
      <w:pPr>
        <w:spacing w:line="480" w:lineRule="auto"/>
        <w:jc w:val="center"/>
        <w:rPr>
          <w:rFonts w:ascii="Times New Roman" w:hAnsi="Times New Roman"/>
          <w:sz w:val="24"/>
          <w:szCs w:val="24"/>
          <w:lang w:val="en-GB"/>
        </w:rPr>
      </w:pPr>
      <w:r>
        <w:rPr>
          <w:rFonts w:ascii="Times New Roman" w:hAnsi="Times New Roman"/>
          <w:noProof/>
          <w:sz w:val="24"/>
          <w:szCs w:val="24"/>
          <w:lang w:val="en-GB" w:eastAsia="en-GB"/>
        </w:rPr>
        <w:drawing>
          <wp:inline distT="0" distB="0" distL="0" distR="0" wp14:anchorId="5F4C9A8F" wp14:editId="18D24CE6">
            <wp:extent cx="3560445" cy="2130425"/>
            <wp:effectExtent l="0" t="0" r="0" b="317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60445" cy="2130425"/>
                    </a:xfrm>
                    <a:prstGeom prst="rect">
                      <a:avLst/>
                    </a:prstGeom>
                    <a:noFill/>
                    <a:ln>
                      <a:noFill/>
                    </a:ln>
                  </pic:spPr>
                </pic:pic>
              </a:graphicData>
            </a:graphic>
          </wp:inline>
        </w:drawing>
      </w:r>
    </w:p>
    <w:p w14:paraId="14D97B5B" w14:textId="77777777" w:rsidR="00830425" w:rsidRPr="00E767A0" w:rsidRDefault="00830425" w:rsidP="00A42484">
      <w:pPr>
        <w:spacing w:line="480" w:lineRule="auto"/>
        <w:rPr>
          <w:rFonts w:ascii="Times New Roman" w:hAnsi="Times New Roman"/>
          <w:sz w:val="24"/>
          <w:szCs w:val="24"/>
          <w:lang w:val="en-GB"/>
        </w:rPr>
      </w:pPr>
      <w:r>
        <w:rPr>
          <w:rFonts w:ascii="Times New Roman" w:hAnsi="Times New Roman"/>
          <w:b/>
          <w:sz w:val="24"/>
          <w:szCs w:val="24"/>
          <w:lang w:val="en-GB"/>
        </w:rPr>
        <w:t>Figure 14.</w:t>
      </w:r>
      <w:r>
        <w:rPr>
          <w:rFonts w:ascii="Times New Roman" w:hAnsi="Times New Roman"/>
          <w:sz w:val="24"/>
          <w:szCs w:val="24"/>
          <w:lang w:val="en-GB"/>
        </w:rPr>
        <w:t xml:space="preserve"> Maps showing the differences between the SWH from the WWIII model and that from (a) C2 GOP and (b) C2 RADS over the period July 2014 to June2015. The time-mean SWH from the WWIII model over the same period is also shown in (c).</w:t>
      </w:r>
    </w:p>
    <w:p w14:paraId="765E1B7C" w14:textId="77777777" w:rsidR="00830425" w:rsidRDefault="00830425" w:rsidP="00A42484">
      <w:pPr>
        <w:spacing w:line="480" w:lineRule="auto"/>
        <w:rPr>
          <w:rFonts w:ascii="Times New Roman" w:hAnsi="Times New Roman"/>
          <w:sz w:val="24"/>
          <w:szCs w:val="24"/>
          <w:lang w:val="en-GB"/>
        </w:rPr>
      </w:pPr>
    </w:p>
    <w:p w14:paraId="1351648D" w14:textId="77E78FD0" w:rsidR="00830425" w:rsidRPr="007272AA"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lastRenderedPageBreak/>
        <w:t xml:space="preserve">In order to identify regions of stronger and weaker consistency between the altimetry datasets and the model, we have plotted a map showing the spatial distribution of the mean difference between the altimetric and modelled SWHs for both C2 GOP (Figure 14a) and C2 RADS (Figure 14b) over the period July 2014 to June 2015. We also show the time-mean SWH as provided by the WWIII model over that period (Figure 14c). As expected from the analysis of the scatter plots, we note that WWIII tends to yield lower SWH values in regions of relatively low sea state such as the tropical zone, and higher values in regions of predominantly high sea states such as the Southern Ocean between 40ºS and 65ºS and the North Atlantic and North Pacific north of 45ºN. The fact that altimeter SWHs agree very well with buoy observations and show almost no bias (see Figure 11) suggests that it is the WWIII model that gives slightly biased estimates and not the altimetry data. Nevertheless, the differences between the altimetry and WWIII data are small in most regions, with a median value of 15.2 cm for C2 GOP and 16.7 cm for C2 RADS. In fact, by comparing the map of differences (Figures 14a,b) with the time-mean SWH (Figure 14c) we note that differences are much smaller (&lt;20%) than the value of the SWH over most of the ocean, indicating that the magnitude of the SWH is </w:t>
      </w:r>
      <w:r w:rsidR="004A2734">
        <w:rPr>
          <w:rFonts w:ascii="Times New Roman" w:hAnsi="Times New Roman"/>
          <w:sz w:val="24"/>
          <w:szCs w:val="24"/>
          <w:lang w:val="en-GB"/>
        </w:rPr>
        <w:t xml:space="preserve">relatively </w:t>
      </w:r>
      <w:r>
        <w:rPr>
          <w:rFonts w:ascii="Times New Roman" w:hAnsi="Times New Roman"/>
          <w:sz w:val="24"/>
          <w:szCs w:val="24"/>
          <w:lang w:val="en-GB"/>
        </w:rPr>
        <w:t xml:space="preserve">consistent between the altimeter and WWIII. From Figures 14a,b is also apparent that C2 RADS gives higher values than C2 GOP over most of the ocean, as indicated by the more intense red in the tropical zone and the lighter blue in the Southern Ocean. This is consistent with the histogram of SWHs (Figure 12a), which shows a slight positive bias of C2 RADS relative to C2 GOP and J2.   </w:t>
      </w:r>
    </w:p>
    <w:p w14:paraId="348B3C7B" w14:textId="77777777" w:rsidR="00830425" w:rsidRPr="00FA3142" w:rsidRDefault="00830425" w:rsidP="00A42484">
      <w:pPr>
        <w:spacing w:line="480" w:lineRule="auto"/>
        <w:rPr>
          <w:rFonts w:ascii="Times New Roman" w:hAnsi="Times New Roman"/>
          <w:b/>
          <w:sz w:val="24"/>
          <w:szCs w:val="24"/>
          <w:lang w:val="en-GB"/>
        </w:rPr>
      </w:pPr>
      <w:r>
        <w:rPr>
          <w:rFonts w:ascii="Times New Roman" w:hAnsi="Times New Roman"/>
          <w:b/>
          <w:sz w:val="24"/>
          <w:szCs w:val="24"/>
          <w:lang w:val="en-GB"/>
        </w:rPr>
        <w:t>4. Summary and conclusions</w:t>
      </w:r>
    </w:p>
    <w:p w14:paraId="5C9C0A8E" w14:textId="2A0BC878" w:rsidR="00830425" w:rsidRDefault="00830425" w:rsidP="00A42484">
      <w:pPr>
        <w:spacing w:line="480" w:lineRule="auto"/>
        <w:rPr>
          <w:rFonts w:ascii="Times New Roman" w:hAnsi="Times New Roman"/>
          <w:color w:val="000000"/>
          <w:sz w:val="24"/>
          <w:szCs w:val="24"/>
          <w:lang w:val="en-US"/>
        </w:rPr>
      </w:pPr>
      <w:r>
        <w:rPr>
          <w:rFonts w:ascii="Times New Roman" w:hAnsi="Times New Roman"/>
          <w:sz w:val="24"/>
          <w:szCs w:val="24"/>
          <w:lang w:val="en-GB"/>
        </w:rPr>
        <w:t xml:space="preserve">In this study we have presented a global assessment and validation of the new CryoSat-2 GOP for the SSHA, SWH, and wind speed. Given its relatively long repeat cycle (~369 days), CryoSat-2 is, in principle, more suitable for </w:t>
      </w:r>
      <w:r w:rsidR="00C22799">
        <w:rPr>
          <w:rFonts w:ascii="Times New Roman" w:hAnsi="Times New Roman"/>
          <w:sz w:val="24"/>
          <w:szCs w:val="24"/>
          <w:lang w:val="en-GB"/>
        </w:rPr>
        <w:t xml:space="preserve">Cryosphere as well as for </w:t>
      </w:r>
      <w:r>
        <w:rPr>
          <w:rFonts w:ascii="Times New Roman" w:hAnsi="Times New Roman"/>
          <w:sz w:val="24"/>
          <w:szCs w:val="24"/>
          <w:lang w:val="en-GB"/>
        </w:rPr>
        <w:t xml:space="preserve">geodetic or bathymetric applications, which require high spatial resolution, than for studies of ocean </w:t>
      </w:r>
      <w:r>
        <w:rPr>
          <w:rFonts w:ascii="Times New Roman" w:hAnsi="Times New Roman"/>
          <w:sz w:val="24"/>
          <w:szCs w:val="24"/>
          <w:lang w:val="en-GB"/>
        </w:rPr>
        <w:lastRenderedPageBreak/>
        <w:t xml:space="preserve">dynamics. However, recent studies have shown that altimeters in non-repeating orbits are as useful for oceanography as dedicated ocean altimeters with much shorter repeat cycles. In particular, Smith and Scharroo (2009) found that the non-repeating phase of the ERS-1 mission captured about 85% of the mesoscale variability seen in the along-track TOPEX SSHA data. In a more recent study, Dibarboure et al. (2012) showed that CryoSat-2 could capture up to 66% of the mesoscale variability observed by ENVISAT and Jason-1. </w:t>
      </w:r>
      <w:r>
        <w:rPr>
          <w:rFonts w:ascii="Times New Roman" w:hAnsi="Times New Roman"/>
          <w:color w:val="000000"/>
          <w:sz w:val="24"/>
          <w:szCs w:val="24"/>
          <w:lang w:val="en-US"/>
        </w:rPr>
        <w:t>Our results confirm those previous findings and show that C2 GOP measurements</w:t>
      </w:r>
      <w:r w:rsidR="00C22799">
        <w:rPr>
          <w:rFonts w:ascii="Times New Roman" w:hAnsi="Times New Roman"/>
          <w:color w:val="000000"/>
          <w:sz w:val="24"/>
          <w:szCs w:val="24"/>
          <w:lang w:val="en-US"/>
        </w:rPr>
        <w:t xml:space="preserve">, even without applying </w:t>
      </w:r>
      <w:r w:rsidR="005F1D47">
        <w:rPr>
          <w:rFonts w:ascii="Times New Roman" w:hAnsi="Times New Roman"/>
          <w:color w:val="000000"/>
          <w:sz w:val="24"/>
          <w:szCs w:val="24"/>
          <w:lang w:val="en-US"/>
        </w:rPr>
        <w:t xml:space="preserve">the </w:t>
      </w:r>
      <w:r w:rsidR="00C22799">
        <w:rPr>
          <w:rFonts w:ascii="Times New Roman" w:hAnsi="Times New Roman"/>
          <w:color w:val="000000"/>
          <w:sz w:val="24"/>
          <w:szCs w:val="24"/>
          <w:lang w:val="en-US"/>
        </w:rPr>
        <w:t>full SAR processing algorithm (Raney 1998),</w:t>
      </w:r>
      <w:r>
        <w:rPr>
          <w:rFonts w:ascii="Times New Roman" w:hAnsi="Times New Roman"/>
          <w:color w:val="000000"/>
          <w:sz w:val="24"/>
          <w:szCs w:val="24"/>
          <w:lang w:val="en-US"/>
        </w:rPr>
        <w:t xml:space="preserve"> are</w:t>
      </w:r>
      <w:r w:rsidR="00C22799">
        <w:rPr>
          <w:rFonts w:ascii="Times New Roman" w:hAnsi="Times New Roman"/>
          <w:color w:val="000000"/>
          <w:sz w:val="24"/>
          <w:szCs w:val="24"/>
          <w:lang w:val="en-US"/>
        </w:rPr>
        <w:t xml:space="preserve"> already </w:t>
      </w:r>
      <w:r>
        <w:rPr>
          <w:rFonts w:ascii="Times New Roman" w:hAnsi="Times New Roman"/>
          <w:color w:val="000000"/>
          <w:sz w:val="24"/>
          <w:szCs w:val="24"/>
          <w:lang w:val="en-US"/>
        </w:rPr>
        <w:t xml:space="preserve">of comparable quality to those from other altimetry missions routinely used in oceanography, </w:t>
      </w:r>
    </w:p>
    <w:p w14:paraId="694DDB8D" w14:textId="1C1A03AD" w:rsidR="00830425" w:rsidRDefault="00830425" w:rsidP="00371C6E">
      <w:pPr>
        <w:spacing w:line="480" w:lineRule="auto"/>
        <w:rPr>
          <w:rFonts w:ascii="Times New Roman" w:hAnsi="Times New Roman"/>
          <w:sz w:val="24"/>
          <w:szCs w:val="24"/>
          <w:lang w:val="en-GB"/>
        </w:rPr>
      </w:pPr>
      <w:r>
        <w:rPr>
          <w:rFonts w:ascii="Times New Roman" w:hAnsi="Times New Roman"/>
          <w:color w:val="000000"/>
          <w:sz w:val="24"/>
          <w:szCs w:val="24"/>
          <w:lang w:val="en-US"/>
        </w:rPr>
        <w:t xml:space="preserve">We have first presented an assessment of the C2 GOP SSHA, SWH and sigma0 in terms of measurement noise and crossover differences. </w:t>
      </w:r>
      <w:r>
        <w:rPr>
          <w:rFonts w:ascii="Times New Roman" w:hAnsi="Times New Roman"/>
          <w:sz w:val="24"/>
          <w:szCs w:val="24"/>
          <w:lang w:val="en-GB"/>
        </w:rPr>
        <w:t>The mean value of the</w:t>
      </w:r>
      <w:r w:rsidR="002745CE">
        <w:rPr>
          <w:rFonts w:ascii="Times New Roman" w:hAnsi="Times New Roman"/>
          <w:sz w:val="24"/>
          <w:szCs w:val="24"/>
          <w:lang w:val="en-GB"/>
        </w:rPr>
        <w:t xml:space="preserve"> C2 GOP</w:t>
      </w:r>
      <w:r>
        <w:rPr>
          <w:rFonts w:ascii="Times New Roman" w:hAnsi="Times New Roman"/>
          <w:sz w:val="24"/>
          <w:szCs w:val="24"/>
          <w:lang w:val="en-GB"/>
        </w:rPr>
        <w:t xml:space="preserve"> 20</w:t>
      </w:r>
      <w:r>
        <w:rPr>
          <w:rFonts w:ascii="Times New Roman" w:hAnsi="Times New Roman"/>
          <w:sz w:val="24"/>
          <w:szCs w:val="24"/>
          <w:lang w:val="en-GB"/>
        </w:rPr>
        <w:noBreakHyphen/>
        <w:t>Hz SSHA noise corresponding to a SWH of 2 m is 6.3 cm for LRM data and 10.2 cm for PLRM data. Note that, assuming that the 20</w:t>
      </w:r>
      <w:r>
        <w:rPr>
          <w:rFonts w:ascii="Times New Roman" w:hAnsi="Times New Roman"/>
          <w:sz w:val="24"/>
          <w:szCs w:val="24"/>
          <w:lang w:val="en-GB"/>
        </w:rPr>
        <w:noBreakHyphen/>
        <w:t>Hz measurements are uncorrelated, a noise of 6.3 cm at 20 Hz corresponds to a value of about 1.4 cm when averaging to 1 Hz, which indicates very good performance. The value of 1.4 cm for C2 GOP is, for instance, better than the 1</w:t>
      </w:r>
      <w:r>
        <w:rPr>
          <w:rFonts w:ascii="Times New Roman" w:hAnsi="Times New Roman"/>
          <w:sz w:val="24"/>
          <w:szCs w:val="24"/>
          <w:lang w:val="en-GB"/>
        </w:rPr>
        <w:noBreakHyphen/>
        <w:t>Hz noise estimated for Jason-1 (1.7 cm) and Envisat (1.8 </w:t>
      </w:r>
      <w:r w:rsidRPr="00393F21">
        <w:rPr>
          <w:rFonts w:ascii="Times New Roman" w:hAnsi="Times New Roman"/>
          <w:sz w:val="24"/>
          <w:szCs w:val="24"/>
          <w:lang w:val="en-GB"/>
        </w:rPr>
        <w:t>cm) at 2 m SWH (Garcia et al., 2014</w:t>
      </w:r>
      <w:r w:rsidRPr="00BD2140">
        <w:rPr>
          <w:rFonts w:ascii="Times New Roman" w:hAnsi="Times New Roman"/>
          <w:sz w:val="24"/>
          <w:szCs w:val="24"/>
          <w:lang w:val="en-GB"/>
        </w:rPr>
        <w:t>).</w:t>
      </w:r>
      <w:r>
        <w:rPr>
          <w:rFonts w:ascii="Times New Roman" w:hAnsi="Times New Roman"/>
          <w:sz w:val="24"/>
          <w:szCs w:val="24"/>
          <w:lang w:val="en-GB"/>
        </w:rPr>
        <w:t xml:space="preserve"> It is also slightly lower than the value given by Garcia et al. (2014) for CryoSat-2 LRM data (1.5 cm) but higher than the value for CryoSat-2 SAR data (1.1 cm).</w:t>
      </w:r>
      <w:r w:rsidRPr="00393F21">
        <w:rPr>
          <w:rFonts w:ascii="Times New Roman" w:hAnsi="Times New Roman"/>
          <w:sz w:val="24"/>
          <w:szCs w:val="24"/>
          <w:lang w:val="en-GB"/>
        </w:rPr>
        <w:t xml:space="preserve"> </w:t>
      </w:r>
    </w:p>
    <w:p w14:paraId="6AEC94A0" w14:textId="2D0BB587" w:rsidR="00830425" w:rsidRDefault="00830425" w:rsidP="00371C6E">
      <w:pPr>
        <w:spacing w:line="480" w:lineRule="auto"/>
        <w:rPr>
          <w:rFonts w:ascii="Times New Roman" w:hAnsi="Times New Roman"/>
          <w:sz w:val="24"/>
          <w:szCs w:val="24"/>
          <w:lang w:val="en-GB"/>
        </w:rPr>
      </w:pPr>
      <w:r>
        <w:rPr>
          <w:rFonts w:ascii="Times New Roman" w:hAnsi="Times New Roman"/>
          <w:sz w:val="24"/>
          <w:szCs w:val="24"/>
          <w:lang w:val="en-GB"/>
        </w:rPr>
        <w:t xml:space="preserve">The results of the crossover analysis also indicate very good performance. The standard deviation of the crossover differences over the entire ocean after excluding differences larger than 20 cm and shallow waters (&lt;1000 m) is 5.4 cm, which is slightly better than the value for Envisat (5.5 cm) and only slightly higher than the value for Jason-1 (5.1 cm) and Jason-2 (4.9 cm) (values for Envisat, Jason-1 and Jason-2 are from the validation annual reports available at </w:t>
      </w:r>
      <w:r w:rsidRPr="00231502">
        <w:rPr>
          <w:rFonts w:ascii="Times New Roman" w:hAnsi="Times New Roman"/>
          <w:sz w:val="24"/>
          <w:szCs w:val="24"/>
          <w:lang w:val="en-GB"/>
        </w:rPr>
        <w:t>http://www.aviso.altimetry.fr/fileadmin/documents/calval/validation_report/</w:t>
      </w:r>
      <w:r>
        <w:rPr>
          <w:rFonts w:ascii="Times New Roman" w:hAnsi="Times New Roman"/>
          <w:sz w:val="24"/>
          <w:szCs w:val="24"/>
          <w:lang w:val="en-GB"/>
        </w:rPr>
        <w:t xml:space="preserve">). The value of 5.4 cm that we find for the C2 GOP data is also significantly smaller than the </w:t>
      </w:r>
      <w:r>
        <w:rPr>
          <w:rFonts w:ascii="Times New Roman" w:hAnsi="Times New Roman"/>
          <w:sz w:val="24"/>
          <w:szCs w:val="24"/>
          <w:lang w:val="en-GB"/>
        </w:rPr>
        <w:lastRenderedPageBreak/>
        <w:t>value of 6.0 cm found by Labroue et al. (2012) for the CryoSat-2 data generated by the CryoSat-2 Processor Prototype developed by CNES, although the value found by Labroue et al. (2012) corresponds to December 2010 whereas the 5.4 cm reported here is for May 2015. Nevertheless, we find similar values for all months from April 2014 to April 2016.</w:t>
      </w:r>
    </w:p>
    <w:p w14:paraId="110EA741" w14:textId="77777777"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 xml:space="preserve">The results of the validation against </w:t>
      </w:r>
      <w:r w:rsidRPr="00440535">
        <w:rPr>
          <w:rFonts w:ascii="Times New Roman" w:hAnsi="Times New Roman"/>
          <w:i/>
          <w:sz w:val="24"/>
          <w:szCs w:val="24"/>
          <w:lang w:val="en-GB"/>
        </w:rPr>
        <w:t>in situ</w:t>
      </w:r>
      <w:r>
        <w:rPr>
          <w:rFonts w:ascii="Times New Roman" w:hAnsi="Times New Roman"/>
          <w:sz w:val="24"/>
          <w:szCs w:val="24"/>
          <w:lang w:val="en-GB"/>
        </w:rPr>
        <w:t xml:space="preserve"> observations and model data are also very promising and demonstrate that the SSHA and SWH </w:t>
      </w:r>
      <w:r>
        <w:rPr>
          <w:rFonts w:ascii="Times New Roman" w:hAnsi="Times New Roman"/>
          <w:color w:val="000000"/>
          <w:sz w:val="24"/>
          <w:szCs w:val="24"/>
          <w:lang w:val="en-US"/>
        </w:rPr>
        <w:t xml:space="preserve">measurements provided by C2 GOP are of comparable quality to those from other dedicated ocean altimetry missions. The SSHA has been validated against both a set of 22 tide gauges and steric heights derived from Argo T/S measurements globally. In order to place the results in the context of other existing altimetry datasets, we have performed the comparison against </w:t>
      </w:r>
      <w:r w:rsidRPr="005B0750">
        <w:rPr>
          <w:rFonts w:ascii="Times New Roman" w:hAnsi="Times New Roman"/>
          <w:i/>
          <w:color w:val="000000"/>
          <w:sz w:val="24"/>
          <w:szCs w:val="24"/>
          <w:lang w:val="en-US"/>
        </w:rPr>
        <w:t>in situ</w:t>
      </w:r>
      <w:r>
        <w:rPr>
          <w:rFonts w:ascii="Times New Roman" w:hAnsi="Times New Roman"/>
          <w:color w:val="000000"/>
          <w:sz w:val="24"/>
          <w:szCs w:val="24"/>
          <w:lang w:val="en-US"/>
        </w:rPr>
        <w:t xml:space="preserve"> data also for Jason-2 and CryoSat-2 data from RADS. The RADS data have been subject to the same editing criteria as those applied to C2 GOP. The correlation and RMSD over all stations is very consistent across the three altimetry datasets, with median values of 0.78 and 7.1 cm for C2 GOP, 0.76 and 7.3 cm for J2, and 0.79 and 7.8 cm for C2 RADS. These correlation values are significantly higher than the median correlation (0.58 and 0.46 for island and coastal tide gauges, respectively) found by Mitchum (1994) for TOPEX/POSEIDON based on 10 months of data. Mitchum (1994) also found a median RMSD of 5.8 cm for island tide gauges, which is also larger than the median RMSD (5.0 cm) that we find for island stations. And that in spite of the fact that our comparison is for instantaneous values of sea level whereas that of Mitchum (1994) is for daily average sea levels. Our RMSD value of 7.1 cm for C2 GOP over all tide gauges is better than the value found by Fenoglio-Marc et al. (2015) for CryoSat-2 SAR data at the Helgoland island tide gauge station in the German Bight (7.7 cm). </w:t>
      </w:r>
    </w:p>
    <w:p w14:paraId="7A331617" w14:textId="71E615E6"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 xml:space="preserve">The comparison of SSHA with steric heights indicates also very good and similar performance </w:t>
      </w:r>
      <w:r w:rsidR="00042BBE">
        <w:rPr>
          <w:rFonts w:ascii="Times New Roman" w:hAnsi="Times New Roman"/>
          <w:sz w:val="24"/>
          <w:szCs w:val="24"/>
          <w:lang w:val="en-GB"/>
        </w:rPr>
        <w:t>for</w:t>
      </w:r>
      <w:r>
        <w:rPr>
          <w:rFonts w:ascii="Times New Roman" w:hAnsi="Times New Roman"/>
          <w:sz w:val="24"/>
          <w:szCs w:val="24"/>
          <w:lang w:val="en-GB"/>
        </w:rPr>
        <w:t xml:space="preserve"> C2 GOP, J2 and C2 RADS. The median correlation over all Argo floats is 0.68 for C2 GOP, 0.67 for C2 RADS, and 0.74 for J2. One interesting feature is the </w:t>
      </w:r>
      <w:r>
        <w:rPr>
          <w:rFonts w:ascii="Times New Roman" w:hAnsi="Times New Roman"/>
          <w:sz w:val="24"/>
          <w:szCs w:val="24"/>
          <w:lang w:val="en-GB"/>
        </w:rPr>
        <w:lastRenderedPageBreak/>
        <w:t>latitudinal dependence of the correlation, with higher values in low latitudes. For instance, the median correlation in the region within 10ºS and 10ºN is larger than 0.8 for the three altimetry datasets. Regarding the RMSD between SSHA and steric height, we have found median values of 5.3 cm for C2 GOP, 5.1 cm for C2 RADS and 4.6 cm for J2, which reflect the good agreement between the altimetry SSHAs and the Argo steric heights. Both the correlations and the RMSDs that we have found here are very similar to those reported in other studies. Guinehut et al (2006) and Dhomps et al. (2011) report correlations larger than 0.7 in the tropical Pacific and in most parts of the Indian Ocean and smaller correlations (&lt;0.5) at higher latitudes, in agreement with our findings.</w:t>
      </w:r>
    </w:p>
    <w:p w14:paraId="14E37A60" w14:textId="22E2FC23"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The validation of the SWH has been carried out against buoys observations and data from the WWIII model. Results for SWH are as encouraging as for SSHA. The mean SWH over the global oceans has been estimated to be 2.64 m for C2 GOP, 2.75 for C2 RADS, and 2.65 for J2, indicating similar SWH distributions for C2 GOP and J2 and a slight positive bias for C2 RADS. The comparison with buoys indicates that C2 GOP slightly outperforms J2 and C2 RADS according to several key performance indicators. Such indicators include the RMS error and the slope as derived from regressing the altimetric SWH on the SWH from buoys and their values have been estimated to be 15 cm and 0.98 for C2 GOP, 17 cm and 1.05 for C2 RADS, and 16 cm and 0.97 for J2. The RMS value of 15 cm for C2 GOP is very similar to the best value obtained by Fenoglio-Marc et al. (2015) for CryoSat-2 SAR data in the German bight (14 cm) and much smaller than the value for CryoSat-2 PLRM data (29 cm). Regarding the wind speed, we find that C2 GOP measurements exhibit a bias of about 2 m/s relative to both Jason-2 and to buoy data. This issue affecting the C2 GOP wind speed</w:t>
      </w:r>
      <w:r w:rsidRPr="00017F16">
        <w:rPr>
          <w:rFonts w:ascii="Times New Roman" w:hAnsi="Times New Roman"/>
          <w:sz w:val="24"/>
          <w:szCs w:val="24"/>
          <w:lang w:val="en-GB"/>
        </w:rPr>
        <w:t xml:space="preserve"> i</w:t>
      </w:r>
      <w:r>
        <w:rPr>
          <w:rFonts w:ascii="Times New Roman" w:hAnsi="Times New Roman"/>
          <w:sz w:val="24"/>
          <w:szCs w:val="24"/>
          <w:lang w:val="en-GB"/>
        </w:rPr>
        <w:t xml:space="preserve">s the </w:t>
      </w:r>
      <w:r w:rsidR="00042BBE">
        <w:rPr>
          <w:rFonts w:ascii="Times New Roman" w:hAnsi="Times New Roman"/>
          <w:sz w:val="24"/>
          <w:szCs w:val="24"/>
          <w:lang w:val="en-GB"/>
        </w:rPr>
        <w:t xml:space="preserve">expected </w:t>
      </w:r>
      <w:r>
        <w:rPr>
          <w:rFonts w:ascii="Times New Roman" w:hAnsi="Times New Roman"/>
          <w:sz w:val="24"/>
          <w:szCs w:val="24"/>
          <w:lang w:val="en-GB"/>
        </w:rPr>
        <w:t>result of using too small of a data sample (~2 months) in its computation and will be fixed in the next CryoSat Ocean Processor upgrade</w:t>
      </w:r>
      <w:r w:rsidR="00042BBE">
        <w:rPr>
          <w:rFonts w:ascii="Times New Roman" w:hAnsi="Times New Roman"/>
          <w:sz w:val="24"/>
          <w:szCs w:val="24"/>
          <w:lang w:val="en-GB"/>
        </w:rPr>
        <w:t xml:space="preserve"> (plan</w:t>
      </w:r>
      <w:r w:rsidR="007126C6">
        <w:rPr>
          <w:rFonts w:ascii="Times New Roman" w:hAnsi="Times New Roman"/>
          <w:sz w:val="24"/>
          <w:szCs w:val="24"/>
          <w:lang w:val="en-GB"/>
        </w:rPr>
        <w:t>n</w:t>
      </w:r>
      <w:r w:rsidR="00042BBE">
        <w:rPr>
          <w:rFonts w:ascii="Times New Roman" w:hAnsi="Times New Roman"/>
          <w:sz w:val="24"/>
          <w:szCs w:val="24"/>
          <w:lang w:val="en-GB"/>
        </w:rPr>
        <w:t>ed for mid 2017), by using a multi-year GOP datasets and refined algorisms.</w:t>
      </w:r>
    </w:p>
    <w:p w14:paraId="75DA7ED4" w14:textId="523E5862"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lastRenderedPageBreak/>
        <w:t xml:space="preserve">The comparison with the SWH from the WWIII model has confirmed the excellent skill of C2 GOP in capturing the SWH over most of the global oceans. Differences between C2 GOP and WWIII are very small relative to the magnitude of the SWH (less than 20% of the SWH) over most areas of the ocean. However, we have also found that WWIII tends to yield </w:t>
      </w:r>
      <w:r w:rsidR="00AD3EAE">
        <w:rPr>
          <w:rFonts w:ascii="Times New Roman" w:hAnsi="Times New Roman"/>
          <w:sz w:val="24"/>
          <w:szCs w:val="24"/>
          <w:lang w:val="en-GB"/>
        </w:rPr>
        <w:t>higher</w:t>
      </w:r>
      <w:r>
        <w:rPr>
          <w:rFonts w:ascii="Times New Roman" w:hAnsi="Times New Roman"/>
          <w:sz w:val="24"/>
          <w:szCs w:val="24"/>
          <w:lang w:val="en-GB"/>
        </w:rPr>
        <w:t xml:space="preserve"> SWH values than both C2 GOP and C2 RADS in regions of high SWH, such as the Southern Ocean</w:t>
      </w:r>
      <w:r w:rsidR="004A2734">
        <w:rPr>
          <w:rFonts w:ascii="Times New Roman" w:hAnsi="Times New Roman"/>
          <w:sz w:val="24"/>
          <w:szCs w:val="24"/>
          <w:lang w:val="en-GB"/>
        </w:rPr>
        <w:t>,</w:t>
      </w:r>
      <w:r>
        <w:rPr>
          <w:rFonts w:ascii="Times New Roman" w:hAnsi="Times New Roman"/>
          <w:sz w:val="24"/>
          <w:szCs w:val="24"/>
          <w:lang w:val="en-GB"/>
        </w:rPr>
        <w:t xml:space="preserve"> and the North Atlantic and the North Pacific north of 45ºN, and </w:t>
      </w:r>
      <w:r w:rsidR="00AD3EAE">
        <w:rPr>
          <w:rFonts w:ascii="Times New Roman" w:hAnsi="Times New Roman"/>
          <w:sz w:val="24"/>
          <w:szCs w:val="24"/>
          <w:lang w:val="en-GB"/>
        </w:rPr>
        <w:t>lower</w:t>
      </w:r>
      <w:r>
        <w:rPr>
          <w:rFonts w:ascii="Times New Roman" w:hAnsi="Times New Roman"/>
          <w:sz w:val="24"/>
          <w:szCs w:val="24"/>
          <w:lang w:val="en-GB"/>
        </w:rPr>
        <w:t xml:space="preserve"> values in regions where low SWH values are predominant, such as the tropical zone.</w:t>
      </w:r>
      <w:r w:rsidR="00AD3EAE">
        <w:rPr>
          <w:rFonts w:ascii="Times New Roman" w:hAnsi="Times New Roman"/>
          <w:sz w:val="24"/>
          <w:szCs w:val="24"/>
          <w:lang w:val="en-GB"/>
        </w:rPr>
        <w:t xml:space="preserve"> This is very consistent with the results of Ardhuin et al. (2010), who found similar biases for WWIII when compared with data from Jason-1 and Envisat.</w:t>
      </w:r>
    </w:p>
    <w:p w14:paraId="5A406F91" w14:textId="36E4C8E1" w:rsidR="00830425" w:rsidRDefault="00830425" w:rsidP="00A42484">
      <w:pPr>
        <w:spacing w:line="480" w:lineRule="auto"/>
        <w:rPr>
          <w:rFonts w:ascii="Times New Roman" w:hAnsi="Times New Roman"/>
          <w:sz w:val="24"/>
          <w:szCs w:val="24"/>
          <w:lang w:val="en-GB"/>
        </w:rPr>
      </w:pPr>
      <w:r>
        <w:rPr>
          <w:rFonts w:ascii="Times New Roman" w:hAnsi="Times New Roman"/>
          <w:sz w:val="24"/>
          <w:szCs w:val="24"/>
          <w:lang w:val="en-GB"/>
        </w:rPr>
        <w:t>In conclusion, this study has provided a global quality assessment and validation of SSHA, SWH, and wind speed derived from the new CryoSat-2</w:t>
      </w:r>
      <w:r w:rsidRPr="0057170B">
        <w:rPr>
          <w:rFonts w:ascii="Times New Roman" w:hAnsi="Times New Roman"/>
          <w:sz w:val="24"/>
          <w:szCs w:val="24"/>
          <w:lang w:val="en-GB"/>
        </w:rPr>
        <w:t xml:space="preserve"> </w:t>
      </w:r>
      <w:r>
        <w:rPr>
          <w:rFonts w:ascii="Times New Roman" w:hAnsi="Times New Roman"/>
          <w:sz w:val="24"/>
          <w:szCs w:val="24"/>
          <w:lang w:val="en-GB"/>
        </w:rPr>
        <w:t>GOP, showing excellent performance for the SSHA and the SWH, comparable to that of Jason-2, demonstrating the potential applicability of the measurements acquired by CryoSat-2 over the ocean to a wide range of oceanographic problems.</w:t>
      </w:r>
      <w:r w:rsidRPr="00BD2140">
        <w:rPr>
          <w:lang w:val="en-GB"/>
        </w:rPr>
        <w:t xml:space="preserve"> </w:t>
      </w:r>
      <w:r w:rsidR="007126C6" w:rsidRPr="000002DD">
        <w:rPr>
          <w:rFonts w:ascii="Times New Roman" w:hAnsi="Times New Roman"/>
          <w:sz w:val="24"/>
          <w:szCs w:val="24"/>
          <w:lang w:val="en-GB"/>
        </w:rPr>
        <w:t xml:space="preserve">ESA plans to make available </w:t>
      </w:r>
      <w:r w:rsidR="007126C6">
        <w:rPr>
          <w:rFonts w:ascii="Times New Roman" w:hAnsi="Times New Roman"/>
          <w:sz w:val="24"/>
          <w:szCs w:val="24"/>
          <w:lang w:val="en-GB"/>
        </w:rPr>
        <w:t>t</w:t>
      </w:r>
      <w:r w:rsidR="007126C6" w:rsidRPr="009406C2">
        <w:rPr>
          <w:rFonts w:ascii="Times New Roman" w:hAnsi="Times New Roman"/>
          <w:sz w:val="24"/>
          <w:szCs w:val="24"/>
          <w:lang w:val="en-GB"/>
        </w:rPr>
        <w:t>he</w:t>
      </w:r>
      <w:r w:rsidR="007126C6">
        <w:rPr>
          <w:rFonts w:ascii="Times New Roman" w:hAnsi="Times New Roman"/>
          <w:sz w:val="24"/>
          <w:szCs w:val="24"/>
          <w:lang w:val="en-GB"/>
        </w:rPr>
        <w:t xml:space="preserve"> whole GOP </w:t>
      </w:r>
      <w:r w:rsidR="007126C6" w:rsidRPr="009406C2">
        <w:rPr>
          <w:rFonts w:ascii="Times New Roman" w:hAnsi="Times New Roman"/>
          <w:sz w:val="24"/>
          <w:szCs w:val="24"/>
          <w:lang w:val="en-GB"/>
        </w:rPr>
        <w:t>data</w:t>
      </w:r>
      <w:r w:rsidR="007126C6">
        <w:rPr>
          <w:rFonts w:ascii="Times New Roman" w:hAnsi="Times New Roman"/>
          <w:sz w:val="24"/>
          <w:szCs w:val="24"/>
          <w:lang w:val="en-GB"/>
        </w:rPr>
        <w:t xml:space="preserve">sets (i.e since the beginning of the mission) </w:t>
      </w:r>
      <w:r w:rsidR="007126C6" w:rsidRPr="001A50CA">
        <w:rPr>
          <w:rFonts w:ascii="Times New Roman" w:hAnsi="Times New Roman"/>
          <w:sz w:val="24"/>
          <w:szCs w:val="24"/>
          <w:lang w:val="en-GB"/>
        </w:rPr>
        <w:t xml:space="preserve">based on the current </w:t>
      </w:r>
      <w:r w:rsidR="007126C6">
        <w:rPr>
          <w:rFonts w:ascii="Times New Roman" w:hAnsi="Times New Roman"/>
          <w:sz w:val="24"/>
          <w:szCs w:val="24"/>
          <w:lang w:val="en-GB"/>
        </w:rPr>
        <w:t>CryoSat Ocean Processor b</w:t>
      </w:r>
      <w:r w:rsidR="007126C6" w:rsidRPr="001A50CA">
        <w:rPr>
          <w:rFonts w:ascii="Times New Roman" w:hAnsi="Times New Roman"/>
          <w:sz w:val="24"/>
          <w:szCs w:val="24"/>
          <w:lang w:val="en-GB"/>
        </w:rPr>
        <w:t>aseline</w:t>
      </w:r>
      <w:r w:rsidR="007126C6">
        <w:rPr>
          <w:rFonts w:ascii="Times New Roman" w:hAnsi="Times New Roman"/>
          <w:sz w:val="24"/>
          <w:szCs w:val="24"/>
          <w:lang w:val="en-GB"/>
        </w:rPr>
        <w:t xml:space="preserve"> towards the end</w:t>
      </w:r>
      <w:r w:rsidR="007126C6" w:rsidRPr="000A5BBB">
        <w:rPr>
          <w:rFonts w:ascii="Times New Roman" w:hAnsi="Times New Roman"/>
          <w:sz w:val="24"/>
          <w:szCs w:val="24"/>
          <w:lang w:val="en-GB"/>
        </w:rPr>
        <w:t xml:space="preserve"> of 2016</w:t>
      </w:r>
      <w:r w:rsidR="007126C6">
        <w:rPr>
          <w:rFonts w:ascii="Times New Roman" w:hAnsi="Times New Roman"/>
          <w:sz w:val="24"/>
          <w:szCs w:val="24"/>
          <w:lang w:val="en-GB"/>
        </w:rPr>
        <w:t>. These will</w:t>
      </w:r>
      <w:r w:rsidR="008F31AD">
        <w:rPr>
          <w:rFonts w:ascii="Times New Roman" w:hAnsi="Times New Roman"/>
          <w:sz w:val="24"/>
          <w:szCs w:val="24"/>
          <w:lang w:val="en-GB"/>
        </w:rPr>
        <w:t xml:space="preserve"> </w:t>
      </w:r>
      <w:r w:rsidRPr="009406C2">
        <w:rPr>
          <w:rFonts w:ascii="Times New Roman" w:hAnsi="Times New Roman"/>
          <w:sz w:val="24"/>
          <w:szCs w:val="24"/>
          <w:lang w:val="en-GB"/>
        </w:rPr>
        <w:t xml:space="preserve">help bridge the gap between previous ocean-oriented altimetry missions and the </w:t>
      </w:r>
      <w:r>
        <w:rPr>
          <w:rFonts w:ascii="Times New Roman" w:hAnsi="Times New Roman"/>
          <w:sz w:val="24"/>
          <w:szCs w:val="24"/>
          <w:lang w:val="en-GB"/>
        </w:rPr>
        <w:t xml:space="preserve">new </w:t>
      </w:r>
      <w:r w:rsidRPr="009406C2">
        <w:rPr>
          <w:rFonts w:ascii="Times New Roman" w:hAnsi="Times New Roman"/>
          <w:sz w:val="24"/>
          <w:szCs w:val="24"/>
          <w:lang w:val="en-GB"/>
        </w:rPr>
        <w:t>Sentinel-3 mission being developed for</w:t>
      </w:r>
      <w:r>
        <w:rPr>
          <w:rFonts w:ascii="Times New Roman" w:hAnsi="Times New Roman"/>
          <w:sz w:val="24"/>
          <w:szCs w:val="24"/>
          <w:lang w:val="en-GB"/>
        </w:rPr>
        <w:t xml:space="preserve"> Europe’s Copernicus programme</w:t>
      </w:r>
      <w:r w:rsidR="007126C6">
        <w:rPr>
          <w:rFonts w:ascii="Times New Roman" w:hAnsi="Times New Roman"/>
          <w:sz w:val="24"/>
          <w:szCs w:val="24"/>
          <w:lang w:val="en-GB"/>
        </w:rPr>
        <w:t>, which has been launched in February 2016</w:t>
      </w:r>
      <w:r>
        <w:rPr>
          <w:rFonts w:ascii="Times New Roman" w:hAnsi="Times New Roman"/>
          <w:sz w:val="24"/>
          <w:szCs w:val="24"/>
          <w:lang w:val="en-GB"/>
        </w:rPr>
        <w:t xml:space="preserve">. </w:t>
      </w:r>
      <w:r w:rsidRPr="009406C2">
        <w:rPr>
          <w:rFonts w:ascii="Times New Roman" w:hAnsi="Times New Roman"/>
          <w:sz w:val="24"/>
          <w:szCs w:val="24"/>
          <w:lang w:val="en-GB"/>
        </w:rPr>
        <w:t xml:space="preserve">Based on the outcomes from 2 years </w:t>
      </w:r>
      <w:r>
        <w:rPr>
          <w:rFonts w:ascii="Times New Roman" w:hAnsi="Times New Roman"/>
          <w:sz w:val="24"/>
          <w:szCs w:val="24"/>
          <w:lang w:val="en-GB"/>
        </w:rPr>
        <w:t xml:space="preserve">of </w:t>
      </w:r>
      <w:r w:rsidRPr="009406C2">
        <w:rPr>
          <w:rFonts w:ascii="Times New Roman" w:hAnsi="Times New Roman"/>
          <w:sz w:val="24"/>
          <w:szCs w:val="24"/>
          <w:lang w:val="en-GB"/>
        </w:rPr>
        <w:t>quality con</w:t>
      </w:r>
      <w:r>
        <w:rPr>
          <w:rFonts w:ascii="Times New Roman" w:hAnsi="Times New Roman"/>
          <w:sz w:val="24"/>
          <w:szCs w:val="24"/>
          <w:lang w:val="en-GB"/>
        </w:rPr>
        <w:t xml:space="preserve">trol and validation activities performed by the NOC and </w:t>
      </w:r>
      <w:r w:rsidRPr="009406C2">
        <w:rPr>
          <w:rFonts w:ascii="Times New Roman" w:hAnsi="Times New Roman"/>
          <w:sz w:val="24"/>
          <w:szCs w:val="24"/>
          <w:lang w:val="en-GB"/>
        </w:rPr>
        <w:t>the</w:t>
      </w:r>
      <w:r>
        <w:rPr>
          <w:rFonts w:ascii="Times New Roman" w:hAnsi="Times New Roman"/>
          <w:sz w:val="24"/>
          <w:szCs w:val="24"/>
          <w:lang w:val="en-GB"/>
        </w:rPr>
        <w:t xml:space="preserve"> first</w:t>
      </w:r>
      <w:r w:rsidRPr="009406C2">
        <w:rPr>
          <w:rFonts w:ascii="Times New Roman" w:hAnsi="Times New Roman"/>
          <w:sz w:val="24"/>
          <w:szCs w:val="24"/>
          <w:lang w:val="en-GB"/>
        </w:rPr>
        <w:t xml:space="preserve"> scientific exploitations of CryoSat data over the ocean, ESA intends to upgrade the CryoSat Ocean processing chain with a set of </w:t>
      </w:r>
      <w:r>
        <w:rPr>
          <w:rFonts w:ascii="Times New Roman" w:hAnsi="Times New Roman"/>
          <w:sz w:val="24"/>
          <w:szCs w:val="24"/>
          <w:lang w:val="en-GB"/>
        </w:rPr>
        <w:t>improvements</w:t>
      </w:r>
      <w:r w:rsidRPr="009406C2">
        <w:rPr>
          <w:rFonts w:ascii="Times New Roman" w:hAnsi="Times New Roman"/>
          <w:sz w:val="24"/>
          <w:szCs w:val="24"/>
          <w:lang w:val="en-GB"/>
        </w:rPr>
        <w:t xml:space="preserve"> </w:t>
      </w:r>
      <w:r>
        <w:rPr>
          <w:rFonts w:ascii="Times New Roman" w:hAnsi="Times New Roman"/>
          <w:sz w:val="24"/>
          <w:szCs w:val="24"/>
          <w:lang w:val="en-GB"/>
        </w:rPr>
        <w:t xml:space="preserve">including new corrections and algorithms such as a full </w:t>
      </w:r>
      <w:r w:rsidRPr="009406C2">
        <w:rPr>
          <w:rFonts w:ascii="Times New Roman" w:hAnsi="Times New Roman"/>
          <w:sz w:val="24"/>
          <w:szCs w:val="24"/>
          <w:lang w:val="en-GB"/>
        </w:rPr>
        <w:t>SAR altimetry</w:t>
      </w:r>
      <w:r>
        <w:rPr>
          <w:rFonts w:ascii="Times New Roman" w:hAnsi="Times New Roman"/>
          <w:sz w:val="24"/>
          <w:szCs w:val="24"/>
          <w:lang w:val="en-GB"/>
        </w:rPr>
        <w:t xml:space="preserve"> processing dedicated to the ocean. The resulting high resolution o</w:t>
      </w:r>
      <w:r w:rsidRPr="009406C2">
        <w:rPr>
          <w:rFonts w:ascii="Times New Roman" w:hAnsi="Times New Roman"/>
          <w:sz w:val="24"/>
          <w:szCs w:val="24"/>
          <w:lang w:val="en-GB"/>
        </w:rPr>
        <w:t>cean products</w:t>
      </w:r>
      <w:r>
        <w:rPr>
          <w:rFonts w:ascii="Times New Roman" w:hAnsi="Times New Roman"/>
          <w:sz w:val="24"/>
          <w:szCs w:val="24"/>
          <w:lang w:val="en-GB"/>
        </w:rPr>
        <w:t>,</w:t>
      </w:r>
      <w:r w:rsidRPr="009406C2">
        <w:rPr>
          <w:rFonts w:ascii="Times New Roman" w:hAnsi="Times New Roman"/>
          <w:sz w:val="24"/>
          <w:szCs w:val="24"/>
          <w:lang w:val="en-GB"/>
        </w:rPr>
        <w:t xml:space="preserve"> </w:t>
      </w:r>
      <w:r>
        <w:rPr>
          <w:rFonts w:ascii="Times New Roman" w:hAnsi="Times New Roman"/>
          <w:sz w:val="24"/>
          <w:szCs w:val="24"/>
          <w:lang w:val="en-GB"/>
        </w:rPr>
        <w:t xml:space="preserve">reprocessed </w:t>
      </w:r>
      <w:r w:rsidR="008F31AD">
        <w:rPr>
          <w:rFonts w:ascii="Times New Roman" w:hAnsi="Times New Roman"/>
          <w:sz w:val="24"/>
          <w:szCs w:val="24"/>
          <w:lang w:val="en-GB"/>
        </w:rPr>
        <w:t xml:space="preserve">with a new processing baseline </w:t>
      </w:r>
      <w:r>
        <w:rPr>
          <w:rFonts w:ascii="Times New Roman" w:hAnsi="Times New Roman"/>
          <w:sz w:val="24"/>
          <w:szCs w:val="24"/>
          <w:lang w:val="en-GB"/>
        </w:rPr>
        <w:t xml:space="preserve">over the whole mission period, will </w:t>
      </w:r>
      <w:r w:rsidRPr="009406C2">
        <w:rPr>
          <w:rFonts w:ascii="Times New Roman" w:hAnsi="Times New Roman"/>
          <w:sz w:val="24"/>
          <w:szCs w:val="24"/>
          <w:lang w:val="en-GB"/>
        </w:rPr>
        <w:t xml:space="preserve">help scientists to better address key </w:t>
      </w:r>
      <w:r>
        <w:rPr>
          <w:rFonts w:ascii="Times New Roman" w:hAnsi="Times New Roman"/>
          <w:sz w:val="24"/>
          <w:szCs w:val="24"/>
          <w:lang w:val="en-GB"/>
        </w:rPr>
        <w:t xml:space="preserve">operational and scientific </w:t>
      </w:r>
      <w:r w:rsidRPr="009406C2">
        <w:rPr>
          <w:rFonts w:ascii="Times New Roman" w:hAnsi="Times New Roman"/>
          <w:sz w:val="24"/>
          <w:szCs w:val="24"/>
          <w:lang w:val="en-GB"/>
        </w:rPr>
        <w:t xml:space="preserve">issues, ranging from regional sub-mesoscale to </w:t>
      </w:r>
      <w:r w:rsidR="008F31AD">
        <w:rPr>
          <w:rFonts w:ascii="Times New Roman" w:hAnsi="Times New Roman"/>
          <w:sz w:val="24"/>
          <w:szCs w:val="24"/>
          <w:lang w:val="en-GB"/>
        </w:rPr>
        <w:t xml:space="preserve">climate and </w:t>
      </w:r>
      <w:r w:rsidRPr="009406C2">
        <w:rPr>
          <w:rFonts w:ascii="Times New Roman" w:hAnsi="Times New Roman"/>
          <w:sz w:val="24"/>
          <w:szCs w:val="24"/>
          <w:lang w:val="en-GB"/>
        </w:rPr>
        <w:t>open-ocean large-scale processes.</w:t>
      </w:r>
    </w:p>
    <w:p w14:paraId="00E8ECCF" w14:textId="77777777" w:rsidR="00830425" w:rsidRDefault="00830425" w:rsidP="00A42484">
      <w:pPr>
        <w:spacing w:after="120" w:line="480" w:lineRule="auto"/>
        <w:rPr>
          <w:rFonts w:ascii="Times New Roman" w:hAnsi="Times New Roman"/>
          <w:b/>
          <w:sz w:val="24"/>
          <w:szCs w:val="24"/>
          <w:lang w:val="en-GB"/>
        </w:rPr>
      </w:pPr>
      <w:r>
        <w:rPr>
          <w:rFonts w:ascii="Times New Roman" w:hAnsi="Times New Roman"/>
          <w:b/>
          <w:sz w:val="24"/>
          <w:szCs w:val="24"/>
          <w:lang w:val="en-GB"/>
        </w:rPr>
        <w:lastRenderedPageBreak/>
        <w:t>Acknowledgements</w:t>
      </w:r>
    </w:p>
    <w:p w14:paraId="02D17068" w14:textId="7DB4CFA4" w:rsidR="00830425" w:rsidRPr="00C7012A" w:rsidRDefault="00830425" w:rsidP="00A42484">
      <w:pPr>
        <w:spacing w:line="480" w:lineRule="auto"/>
        <w:rPr>
          <w:rFonts w:ascii="Times New Roman" w:hAnsi="Times New Roman"/>
          <w:sz w:val="24"/>
          <w:szCs w:val="24"/>
          <w:lang w:val="en-US"/>
        </w:rPr>
      </w:pPr>
      <w:r>
        <w:rPr>
          <w:rFonts w:ascii="Times New Roman" w:hAnsi="Times New Roman"/>
          <w:sz w:val="24"/>
          <w:szCs w:val="24"/>
          <w:lang w:val="en-GB"/>
        </w:rPr>
        <w:t>This work has been funded by the European Space Agency within the framework of the CryOcean-QCV (CryoSat Ocean Data Scientific Quality Control and Validation) project (</w:t>
      </w:r>
      <w:r w:rsidRPr="00C924C4">
        <w:rPr>
          <w:rFonts w:ascii="Times New Roman" w:hAnsi="Times New Roman"/>
          <w:sz w:val="24"/>
          <w:szCs w:val="24"/>
          <w:lang w:val="en-GB"/>
        </w:rPr>
        <w:t>ESRIN/Contract No. 4000111795/14/I-LG</w:t>
      </w:r>
      <w:r>
        <w:rPr>
          <w:rFonts w:ascii="Times New Roman" w:hAnsi="Times New Roman"/>
          <w:sz w:val="24"/>
          <w:szCs w:val="24"/>
          <w:lang w:val="en-GB"/>
        </w:rPr>
        <w:t>). This research would have not been possible without the Jason-2 data from RADS, the tide gauge records from BODC and the UHSLC, the EN4 T and S profile data hosted at the Met Office Hadley Centre, the buoy data from NDBC, and the Wavewatch III wave data from PacIOOS.</w:t>
      </w:r>
      <w:r w:rsidR="00AB5329">
        <w:rPr>
          <w:rFonts w:ascii="Times New Roman" w:hAnsi="Times New Roman"/>
          <w:sz w:val="24"/>
          <w:szCs w:val="24"/>
          <w:lang w:val="en-GB"/>
        </w:rPr>
        <w:t xml:space="preserve"> </w:t>
      </w:r>
      <w:r w:rsidR="00AB5329" w:rsidRPr="00AB5329">
        <w:rPr>
          <w:rFonts w:ascii="Times New Roman" w:hAnsi="Times New Roman"/>
          <w:sz w:val="24"/>
          <w:szCs w:val="24"/>
          <w:lang w:val="en-GB"/>
        </w:rPr>
        <w:t>This work has been partially supported by the Natural Environment Research Council (NERC) National Capability funding</w:t>
      </w:r>
      <w:r w:rsidR="00AB5329">
        <w:rPr>
          <w:rFonts w:ascii="Times New Roman" w:hAnsi="Times New Roman"/>
          <w:sz w:val="24"/>
          <w:szCs w:val="24"/>
          <w:lang w:val="en-GB"/>
        </w:rPr>
        <w:t>.</w:t>
      </w:r>
      <w:bookmarkStart w:id="0" w:name="_GoBack"/>
      <w:bookmarkEnd w:id="0"/>
    </w:p>
    <w:p w14:paraId="37D209E5" w14:textId="77777777" w:rsidR="00830425" w:rsidRPr="00E2503D" w:rsidRDefault="00830425" w:rsidP="00A42484">
      <w:pPr>
        <w:spacing w:line="480" w:lineRule="auto"/>
        <w:rPr>
          <w:rFonts w:ascii="Times New Roman" w:hAnsi="Times New Roman"/>
          <w:sz w:val="24"/>
          <w:szCs w:val="24"/>
          <w:lang w:val="en-GB"/>
        </w:rPr>
      </w:pPr>
    </w:p>
    <w:p w14:paraId="0FD25971" w14:textId="77777777" w:rsidR="00830425" w:rsidRDefault="00830425" w:rsidP="00A42484">
      <w:pPr>
        <w:spacing w:line="480" w:lineRule="auto"/>
        <w:rPr>
          <w:rFonts w:ascii="Times New Roman" w:hAnsi="Times New Roman"/>
          <w:sz w:val="24"/>
          <w:szCs w:val="24"/>
          <w:lang w:val="en-US"/>
        </w:rPr>
      </w:pPr>
      <w:r w:rsidRPr="00C35C4A">
        <w:rPr>
          <w:rFonts w:ascii="Times New Roman" w:hAnsi="Times New Roman"/>
          <w:b/>
          <w:sz w:val="24"/>
          <w:szCs w:val="24"/>
          <w:lang w:val="en-GB"/>
        </w:rPr>
        <w:t>References</w:t>
      </w:r>
    </w:p>
    <w:p w14:paraId="13BDF49B" w14:textId="78EF8D9F" w:rsidR="00830425" w:rsidRDefault="00830425" w:rsidP="00A42484">
      <w:pPr>
        <w:widowControl w:val="0"/>
        <w:autoSpaceDE w:val="0"/>
        <w:autoSpaceDN w:val="0"/>
        <w:adjustRightInd w:val="0"/>
        <w:spacing w:after="120" w:line="480" w:lineRule="auto"/>
        <w:ind w:left="709" w:hanging="709"/>
        <w:rPr>
          <w:rFonts w:ascii="Times New Roman" w:hAnsi="Times New Roman"/>
          <w:sz w:val="24"/>
          <w:szCs w:val="24"/>
          <w:lang w:val="en-US"/>
        </w:rPr>
      </w:pPr>
      <w:r w:rsidRPr="001F79B7">
        <w:rPr>
          <w:rFonts w:ascii="Times New Roman" w:hAnsi="Times New Roman"/>
          <w:sz w:val="24"/>
          <w:szCs w:val="24"/>
          <w:lang w:val="en-US"/>
        </w:rPr>
        <w:t>Andersen, O. B.</w:t>
      </w:r>
      <w:r w:rsidR="00516465">
        <w:rPr>
          <w:rFonts w:ascii="Times New Roman" w:hAnsi="Times New Roman"/>
          <w:sz w:val="24"/>
          <w:szCs w:val="24"/>
          <w:lang w:val="en-US"/>
        </w:rPr>
        <w:t>,</w:t>
      </w:r>
      <w:r>
        <w:rPr>
          <w:rFonts w:ascii="Times New Roman" w:hAnsi="Times New Roman"/>
          <w:sz w:val="24"/>
          <w:szCs w:val="24"/>
          <w:lang w:val="en-US"/>
        </w:rPr>
        <w:t xml:space="preserve"> 201</w:t>
      </w:r>
      <w:r w:rsidR="008312ED">
        <w:rPr>
          <w:rFonts w:ascii="Times New Roman" w:hAnsi="Times New Roman"/>
          <w:sz w:val="24"/>
          <w:szCs w:val="24"/>
          <w:lang w:val="en-US"/>
        </w:rPr>
        <w:t>0</w:t>
      </w:r>
      <w:r>
        <w:rPr>
          <w:rFonts w:ascii="Times New Roman" w:hAnsi="Times New Roman"/>
          <w:sz w:val="24"/>
          <w:szCs w:val="24"/>
          <w:lang w:val="en-US"/>
        </w:rPr>
        <w:t>.</w:t>
      </w:r>
      <w:r w:rsidRPr="001F79B7">
        <w:rPr>
          <w:rFonts w:ascii="Times New Roman" w:hAnsi="Times New Roman"/>
          <w:sz w:val="24"/>
          <w:szCs w:val="24"/>
          <w:lang w:val="en-US"/>
        </w:rPr>
        <w:t xml:space="preserve"> The DTU10 Gravi</w:t>
      </w:r>
      <w:r>
        <w:rPr>
          <w:rFonts w:ascii="Times New Roman" w:hAnsi="Times New Roman"/>
          <w:sz w:val="24"/>
          <w:szCs w:val="24"/>
          <w:lang w:val="en-US"/>
        </w:rPr>
        <w:t>ty field and Mean sea surface</w:t>
      </w:r>
      <w:r w:rsidR="00516465">
        <w:rPr>
          <w:rFonts w:ascii="Times New Roman" w:hAnsi="Times New Roman"/>
          <w:sz w:val="24"/>
          <w:szCs w:val="24"/>
          <w:lang w:val="en-US"/>
        </w:rPr>
        <w:t>.</w:t>
      </w:r>
      <w:r w:rsidRPr="001F79B7">
        <w:rPr>
          <w:rFonts w:ascii="Times New Roman" w:hAnsi="Times New Roman"/>
          <w:sz w:val="24"/>
          <w:szCs w:val="24"/>
          <w:lang w:val="en-US"/>
        </w:rPr>
        <w:t xml:space="preserve"> Second international symposium of the gravity field of the Earth (IGFS2), Fairbanks, Alaska.</w:t>
      </w:r>
    </w:p>
    <w:p w14:paraId="5C220335" w14:textId="5FB79541" w:rsidR="00AD3EAE" w:rsidRDefault="00516465" w:rsidP="00A42484">
      <w:pPr>
        <w:widowControl w:val="0"/>
        <w:autoSpaceDE w:val="0"/>
        <w:autoSpaceDN w:val="0"/>
        <w:adjustRightInd w:val="0"/>
        <w:spacing w:after="120" w:line="480" w:lineRule="auto"/>
        <w:ind w:left="709" w:hanging="709"/>
        <w:rPr>
          <w:rFonts w:ascii="Times New Roman" w:hAnsi="Times New Roman"/>
          <w:sz w:val="24"/>
          <w:szCs w:val="24"/>
          <w:lang w:val="en-US"/>
        </w:rPr>
      </w:pPr>
      <w:r>
        <w:rPr>
          <w:rFonts w:ascii="Times New Roman" w:hAnsi="Times New Roman"/>
          <w:sz w:val="24"/>
          <w:szCs w:val="24"/>
          <w:lang w:val="en-US"/>
        </w:rPr>
        <w:t>Ardhuin, F. et al., 2010.</w:t>
      </w:r>
      <w:r w:rsidR="00AD3EAE" w:rsidRPr="00AD3EAE">
        <w:rPr>
          <w:rFonts w:ascii="Times New Roman" w:hAnsi="Times New Roman"/>
          <w:sz w:val="24"/>
          <w:szCs w:val="24"/>
          <w:lang w:val="en-US"/>
        </w:rPr>
        <w:t xml:space="preserve"> Semi-empirical dissipation source functions for wind-wave models: Part I, definit</w:t>
      </w:r>
      <w:r>
        <w:rPr>
          <w:rFonts w:ascii="Times New Roman" w:hAnsi="Times New Roman"/>
          <w:sz w:val="24"/>
          <w:szCs w:val="24"/>
          <w:lang w:val="en-US"/>
        </w:rPr>
        <w:t>ion, calibration and validation.</w:t>
      </w:r>
      <w:r w:rsidR="00AD3EAE" w:rsidRPr="00AD3EAE">
        <w:rPr>
          <w:rFonts w:ascii="Times New Roman" w:hAnsi="Times New Roman"/>
          <w:sz w:val="24"/>
          <w:szCs w:val="24"/>
          <w:lang w:val="en-US"/>
        </w:rPr>
        <w:t xml:space="preserve"> J. Phys. Oceanogr., 40, 1917–1941.</w:t>
      </w:r>
    </w:p>
    <w:p w14:paraId="795DACC1" w14:textId="59A06D08" w:rsidR="00830425" w:rsidRDefault="00830425" w:rsidP="00A42484">
      <w:pPr>
        <w:widowControl w:val="0"/>
        <w:autoSpaceDE w:val="0"/>
        <w:autoSpaceDN w:val="0"/>
        <w:adjustRightInd w:val="0"/>
        <w:spacing w:after="120" w:line="480" w:lineRule="auto"/>
        <w:ind w:left="709" w:hanging="709"/>
        <w:rPr>
          <w:rFonts w:ascii="Times New Roman" w:hAnsi="Times New Roman"/>
          <w:color w:val="000000"/>
          <w:sz w:val="24"/>
          <w:szCs w:val="24"/>
          <w:lang w:val="en-US"/>
        </w:rPr>
      </w:pPr>
      <w:r w:rsidRPr="00E13952">
        <w:rPr>
          <w:rFonts w:ascii="Times New Roman" w:hAnsi="Times New Roman"/>
          <w:sz w:val="24"/>
          <w:szCs w:val="24"/>
          <w:lang w:val="en-US"/>
        </w:rPr>
        <w:t>Behnisch, M., Macrander</w:t>
      </w:r>
      <w:r w:rsidR="00516465">
        <w:rPr>
          <w:rFonts w:ascii="Times New Roman" w:hAnsi="Times New Roman"/>
          <w:sz w:val="24"/>
          <w:szCs w:val="24"/>
          <w:lang w:val="en-US"/>
        </w:rPr>
        <w:t>, A.</w:t>
      </w:r>
      <w:r w:rsidRPr="00E13952">
        <w:rPr>
          <w:rFonts w:ascii="Times New Roman" w:hAnsi="Times New Roman"/>
          <w:sz w:val="24"/>
          <w:szCs w:val="24"/>
          <w:lang w:val="en-US"/>
        </w:rPr>
        <w:t>, Boebel</w:t>
      </w:r>
      <w:r>
        <w:rPr>
          <w:rFonts w:ascii="Times New Roman" w:hAnsi="Times New Roman"/>
          <w:sz w:val="24"/>
          <w:szCs w:val="24"/>
          <w:lang w:val="en-US"/>
        </w:rPr>
        <w:t>,</w:t>
      </w:r>
      <w:r w:rsidR="00516465">
        <w:rPr>
          <w:rFonts w:ascii="Times New Roman" w:hAnsi="Times New Roman"/>
          <w:sz w:val="24"/>
          <w:szCs w:val="24"/>
          <w:lang w:val="en-US"/>
        </w:rPr>
        <w:t xml:space="preserve"> O.,</w:t>
      </w:r>
      <w:r>
        <w:rPr>
          <w:rFonts w:ascii="Times New Roman" w:hAnsi="Times New Roman"/>
          <w:sz w:val="24"/>
          <w:szCs w:val="24"/>
          <w:lang w:val="en-US"/>
        </w:rPr>
        <w:t xml:space="preserve"> Wolff,</w:t>
      </w:r>
      <w:r w:rsidR="00516465">
        <w:rPr>
          <w:rFonts w:ascii="Times New Roman" w:hAnsi="Times New Roman"/>
          <w:sz w:val="24"/>
          <w:szCs w:val="24"/>
          <w:lang w:val="en-US"/>
        </w:rPr>
        <w:t xml:space="preserve"> J.-O.,</w:t>
      </w:r>
      <w:r>
        <w:rPr>
          <w:rFonts w:ascii="Times New Roman" w:hAnsi="Times New Roman"/>
          <w:sz w:val="24"/>
          <w:szCs w:val="24"/>
          <w:lang w:val="en-US"/>
        </w:rPr>
        <w:t xml:space="preserve"> Schröter,</w:t>
      </w:r>
      <w:r w:rsidR="00516465">
        <w:rPr>
          <w:rFonts w:ascii="Times New Roman" w:hAnsi="Times New Roman"/>
          <w:sz w:val="24"/>
          <w:szCs w:val="24"/>
          <w:lang w:val="en-US"/>
        </w:rPr>
        <w:t xml:space="preserve"> J.,</w:t>
      </w:r>
      <w:r>
        <w:rPr>
          <w:rFonts w:ascii="Times New Roman" w:hAnsi="Times New Roman"/>
          <w:sz w:val="24"/>
          <w:szCs w:val="24"/>
          <w:lang w:val="en-US"/>
        </w:rPr>
        <w:t xml:space="preserve"> 2013</w:t>
      </w:r>
      <w:r w:rsidRPr="00E13952">
        <w:rPr>
          <w:rFonts w:ascii="Times New Roman" w:hAnsi="Times New Roman"/>
          <w:sz w:val="24"/>
          <w:szCs w:val="24"/>
          <w:lang w:val="en-US"/>
        </w:rPr>
        <w:t>, Barotropic and deep-referenced baroclinic SSH variability derived from Pressure Inverted Echo Sounders (PIES) south of Africa</w:t>
      </w:r>
      <w:r w:rsidR="00C322D3">
        <w:rPr>
          <w:rFonts w:ascii="Times New Roman" w:hAnsi="Times New Roman"/>
          <w:sz w:val="24"/>
          <w:szCs w:val="24"/>
          <w:lang w:val="en-US"/>
        </w:rPr>
        <w:t>.</w:t>
      </w:r>
      <w:r w:rsidRPr="00E13952">
        <w:rPr>
          <w:rFonts w:ascii="Times New Roman" w:hAnsi="Times New Roman"/>
          <w:sz w:val="24"/>
          <w:szCs w:val="24"/>
          <w:lang w:val="en-US"/>
        </w:rPr>
        <w:t xml:space="preserve"> J. Geophys. Res. Oceans, 118, 3046–3058, doi:</w:t>
      </w:r>
      <w:hyperlink r:id="rId48" w:history="1">
        <w:r w:rsidRPr="00E13952">
          <w:rPr>
            <w:rFonts w:ascii="Times New Roman" w:hAnsi="Times New Roman"/>
            <w:color w:val="000000"/>
            <w:sz w:val="24"/>
            <w:szCs w:val="24"/>
            <w:lang w:val="en-US"/>
          </w:rPr>
          <w:t>10.1002/jgrc.20195</w:t>
        </w:r>
      </w:hyperlink>
      <w:r w:rsidRPr="00E13952">
        <w:rPr>
          <w:rFonts w:ascii="Times New Roman" w:hAnsi="Times New Roman"/>
          <w:color w:val="000000"/>
          <w:sz w:val="24"/>
          <w:szCs w:val="24"/>
          <w:lang w:val="en-US"/>
        </w:rPr>
        <w:t>.</w:t>
      </w:r>
    </w:p>
    <w:p w14:paraId="2DFD74E6" w14:textId="22FA2091" w:rsidR="00ED2693" w:rsidRDefault="00ED2693" w:rsidP="00A42484">
      <w:pPr>
        <w:widowControl w:val="0"/>
        <w:autoSpaceDE w:val="0"/>
        <w:autoSpaceDN w:val="0"/>
        <w:adjustRightInd w:val="0"/>
        <w:spacing w:after="120" w:line="480" w:lineRule="auto"/>
        <w:ind w:left="709" w:hanging="709"/>
        <w:rPr>
          <w:rFonts w:ascii="Times New Roman" w:hAnsi="Times New Roman"/>
          <w:color w:val="000000"/>
          <w:sz w:val="24"/>
          <w:szCs w:val="24"/>
          <w:lang w:val="en-US"/>
        </w:rPr>
      </w:pPr>
      <w:r w:rsidRPr="00ED2693">
        <w:rPr>
          <w:rFonts w:ascii="Times New Roman" w:hAnsi="Times New Roman"/>
          <w:color w:val="000000"/>
          <w:sz w:val="24"/>
          <w:szCs w:val="24"/>
          <w:lang w:val="en-US"/>
        </w:rPr>
        <w:t>Bouffard</w:t>
      </w:r>
      <w:r>
        <w:rPr>
          <w:rFonts w:ascii="Times New Roman" w:hAnsi="Times New Roman"/>
          <w:color w:val="000000"/>
          <w:sz w:val="24"/>
          <w:szCs w:val="24"/>
          <w:lang w:val="en-US"/>
        </w:rPr>
        <w:t>,</w:t>
      </w:r>
      <w:r w:rsidRPr="00ED2693">
        <w:rPr>
          <w:rFonts w:ascii="Times New Roman" w:hAnsi="Times New Roman"/>
          <w:color w:val="000000"/>
          <w:sz w:val="24"/>
          <w:szCs w:val="24"/>
          <w:lang w:val="en-US"/>
        </w:rPr>
        <w:t xml:space="preserve"> J</w:t>
      </w:r>
      <w:r>
        <w:rPr>
          <w:rFonts w:ascii="Times New Roman" w:hAnsi="Times New Roman"/>
          <w:color w:val="000000"/>
          <w:sz w:val="24"/>
          <w:szCs w:val="24"/>
          <w:lang w:val="en-US"/>
        </w:rPr>
        <w:t>.</w:t>
      </w:r>
      <w:r w:rsidR="00516465">
        <w:rPr>
          <w:rFonts w:ascii="Times New Roman" w:hAnsi="Times New Roman"/>
          <w:color w:val="000000"/>
          <w:sz w:val="24"/>
          <w:szCs w:val="24"/>
          <w:lang w:val="en-US"/>
        </w:rPr>
        <w:t>,</w:t>
      </w:r>
      <w:r>
        <w:rPr>
          <w:rFonts w:ascii="Times New Roman" w:hAnsi="Times New Roman"/>
          <w:color w:val="000000"/>
          <w:sz w:val="24"/>
          <w:szCs w:val="24"/>
          <w:lang w:val="en-US"/>
        </w:rPr>
        <w:t xml:space="preserve"> 2007.</w:t>
      </w:r>
      <w:r w:rsidRPr="00ED2693">
        <w:rPr>
          <w:rFonts w:ascii="Times New Roman" w:hAnsi="Times New Roman"/>
          <w:color w:val="000000"/>
          <w:sz w:val="24"/>
          <w:szCs w:val="24"/>
          <w:lang w:val="en-US"/>
        </w:rPr>
        <w:t xml:space="preserve"> Amélioration de l’altimétrie côtière appliquée à l’étude de la circulation dans la partie nord du bassin occidental méditerranéen (in French). PhD thesis under the supervision of Y. Ménard and P. De Mey</w:t>
      </w:r>
    </w:p>
    <w:p w14:paraId="7111E46A" w14:textId="27B6B1C7" w:rsidR="006634F7" w:rsidRDefault="006634F7" w:rsidP="00A42484">
      <w:pPr>
        <w:widowControl w:val="0"/>
        <w:autoSpaceDE w:val="0"/>
        <w:autoSpaceDN w:val="0"/>
        <w:adjustRightInd w:val="0"/>
        <w:spacing w:after="120" w:line="480" w:lineRule="auto"/>
        <w:ind w:left="709" w:hanging="709"/>
        <w:rPr>
          <w:rFonts w:ascii="Times New Roman" w:hAnsi="Times New Roman"/>
          <w:color w:val="000000"/>
          <w:sz w:val="24"/>
          <w:szCs w:val="24"/>
          <w:lang w:val="en-US"/>
        </w:rPr>
      </w:pPr>
      <w:r w:rsidRPr="006634F7">
        <w:rPr>
          <w:rFonts w:ascii="Times New Roman" w:hAnsi="Times New Roman"/>
          <w:color w:val="000000"/>
          <w:sz w:val="24"/>
          <w:szCs w:val="24"/>
          <w:lang w:val="en-US"/>
        </w:rPr>
        <w:t>Bouffard J., Roblou,</w:t>
      </w:r>
      <w:r w:rsidR="00516465">
        <w:rPr>
          <w:rFonts w:ascii="Times New Roman" w:hAnsi="Times New Roman"/>
          <w:color w:val="000000"/>
          <w:sz w:val="24"/>
          <w:szCs w:val="24"/>
          <w:lang w:val="en-US"/>
        </w:rPr>
        <w:t xml:space="preserve"> L.,</w:t>
      </w:r>
      <w:r w:rsidRPr="006634F7">
        <w:rPr>
          <w:rFonts w:ascii="Times New Roman" w:hAnsi="Times New Roman"/>
          <w:color w:val="000000"/>
          <w:sz w:val="24"/>
          <w:szCs w:val="24"/>
          <w:lang w:val="en-US"/>
        </w:rPr>
        <w:t xml:space="preserve"> Birol,</w:t>
      </w:r>
      <w:r w:rsidR="00516465">
        <w:rPr>
          <w:rFonts w:ascii="Times New Roman" w:hAnsi="Times New Roman"/>
          <w:color w:val="000000"/>
          <w:sz w:val="24"/>
          <w:szCs w:val="24"/>
          <w:lang w:val="en-US"/>
        </w:rPr>
        <w:t xml:space="preserve"> F.,</w:t>
      </w:r>
      <w:r w:rsidRPr="006634F7">
        <w:rPr>
          <w:rFonts w:ascii="Times New Roman" w:hAnsi="Times New Roman"/>
          <w:color w:val="000000"/>
          <w:sz w:val="24"/>
          <w:szCs w:val="24"/>
          <w:lang w:val="en-US"/>
        </w:rPr>
        <w:t xml:space="preserve"> Pascual,</w:t>
      </w:r>
      <w:r w:rsidR="00516465">
        <w:rPr>
          <w:rFonts w:ascii="Times New Roman" w:hAnsi="Times New Roman"/>
          <w:color w:val="000000"/>
          <w:sz w:val="24"/>
          <w:szCs w:val="24"/>
          <w:lang w:val="en-US"/>
        </w:rPr>
        <w:t xml:space="preserve"> A.,</w:t>
      </w:r>
      <w:r w:rsidRPr="006634F7">
        <w:rPr>
          <w:rFonts w:ascii="Times New Roman" w:hAnsi="Times New Roman"/>
          <w:color w:val="000000"/>
          <w:sz w:val="24"/>
          <w:szCs w:val="24"/>
          <w:lang w:val="en-US"/>
        </w:rPr>
        <w:t xml:space="preserve"> Fenoglio-Marc,</w:t>
      </w:r>
      <w:r w:rsidR="00516465">
        <w:rPr>
          <w:rFonts w:ascii="Times New Roman" w:hAnsi="Times New Roman"/>
          <w:color w:val="000000"/>
          <w:sz w:val="24"/>
          <w:szCs w:val="24"/>
          <w:lang w:val="en-US"/>
        </w:rPr>
        <w:t xml:space="preserve"> L.,</w:t>
      </w:r>
      <w:r w:rsidRPr="006634F7">
        <w:rPr>
          <w:rFonts w:ascii="Times New Roman" w:hAnsi="Times New Roman"/>
          <w:color w:val="000000"/>
          <w:sz w:val="24"/>
          <w:szCs w:val="24"/>
          <w:lang w:val="en-US"/>
        </w:rPr>
        <w:t xml:space="preserve"> Cancet,</w:t>
      </w:r>
      <w:r w:rsidR="00740B44">
        <w:rPr>
          <w:rFonts w:ascii="Times New Roman" w:hAnsi="Times New Roman"/>
          <w:color w:val="000000"/>
          <w:sz w:val="24"/>
          <w:szCs w:val="24"/>
          <w:lang w:val="en-US"/>
        </w:rPr>
        <w:t xml:space="preserve"> M.,</w:t>
      </w:r>
      <w:r w:rsidRPr="006634F7">
        <w:rPr>
          <w:rFonts w:ascii="Times New Roman" w:hAnsi="Times New Roman"/>
          <w:color w:val="000000"/>
          <w:sz w:val="24"/>
          <w:szCs w:val="24"/>
          <w:lang w:val="en-US"/>
        </w:rPr>
        <w:t xml:space="preserve"> Morrow,</w:t>
      </w:r>
      <w:r w:rsidR="00740B44">
        <w:rPr>
          <w:rFonts w:ascii="Times New Roman" w:hAnsi="Times New Roman"/>
          <w:color w:val="000000"/>
          <w:sz w:val="24"/>
          <w:szCs w:val="24"/>
          <w:lang w:val="en-US"/>
        </w:rPr>
        <w:t xml:space="preserve"> R.,</w:t>
      </w:r>
      <w:r w:rsidRPr="006634F7">
        <w:rPr>
          <w:rFonts w:ascii="Times New Roman" w:hAnsi="Times New Roman"/>
          <w:color w:val="000000"/>
          <w:sz w:val="24"/>
          <w:szCs w:val="24"/>
          <w:lang w:val="en-US"/>
        </w:rPr>
        <w:t xml:space="preserve"> </w:t>
      </w:r>
      <w:r w:rsidRPr="006634F7">
        <w:rPr>
          <w:rFonts w:ascii="Times New Roman" w:hAnsi="Times New Roman"/>
          <w:color w:val="000000"/>
          <w:sz w:val="24"/>
          <w:szCs w:val="24"/>
          <w:lang w:val="en-US"/>
        </w:rPr>
        <w:lastRenderedPageBreak/>
        <w:t>Ménard,</w:t>
      </w:r>
      <w:r w:rsidR="00740B44">
        <w:rPr>
          <w:rFonts w:ascii="Times New Roman" w:hAnsi="Times New Roman"/>
          <w:color w:val="000000"/>
          <w:sz w:val="24"/>
          <w:szCs w:val="24"/>
          <w:lang w:val="en-US"/>
        </w:rPr>
        <w:t xml:space="preserve"> Y.,</w:t>
      </w:r>
      <w:r w:rsidRPr="006634F7">
        <w:rPr>
          <w:rFonts w:ascii="Times New Roman" w:hAnsi="Times New Roman"/>
          <w:color w:val="000000"/>
          <w:sz w:val="24"/>
          <w:szCs w:val="24"/>
          <w:lang w:val="en-US"/>
        </w:rPr>
        <w:t xml:space="preserve"> 2011. Introduction and assessment of improved coastal altimetry strategies: case study over the North Western Mediterranean Sea, in: Vignudelli, S., A. Kostianoy, P. Cipollini, J. Benveniste (Eds.), Coastal Altimetry. Springer.</w:t>
      </w:r>
    </w:p>
    <w:p w14:paraId="089CEF61" w14:textId="24D6584F" w:rsidR="00C44CFB" w:rsidRPr="00E13952" w:rsidRDefault="00C44CFB" w:rsidP="00A42484">
      <w:pPr>
        <w:widowControl w:val="0"/>
        <w:autoSpaceDE w:val="0"/>
        <w:autoSpaceDN w:val="0"/>
        <w:adjustRightInd w:val="0"/>
        <w:spacing w:after="120" w:line="480" w:lineRule="auto"/>
        <w:ind w:left="709" w:hanging="709"/>
        <w:rPr>
          <w:rFonts w:ascii="Times New Roman" w:hAnsi="Times New Roman"/>
          <w:sz w:val="24"/>
          <w:szCs w:val="24"/>
          <w:lang w:val="en-US"/>
        </w:rPr>
      </w:pPr>
      <w:r w:rsidRPr="00C44CFB">
        <w:rPr>
          <w:rFonts w:ascii="Times New Roman" w:hAnsi="Times New Roman"/>
          <w:sz w:val="24"/>
          <w:szCs w:val="24"/>
          <w:lang w:val="en-US"/>
        </w:rPr>
        <w:t>Bouffard J., Femenias,</w:t>
      </w:r>
      <w:r w:rsidR="00C322D3">
        <w:rPr>
          <w:rFonts w:ascii="Times New Roman" w:hAnsi="Times New Roman"/>
          <w:sz w:val="24"/>
          <w:szCs w:val="24"/>
          <w:lang w:val="en-US"/>
        </w:rPr>
        <w:t xml:space="preserve"> P.,</w:t>
      </w:r>
      <w:r w:rsidRPr="00C44CFB">
        <w:rPr>
          <w:rFonts w:ascii="Times New Roman" w:hAnsi="Times New Roman"/>
          <w:sz w:val="24"/>
          <w:szCs w:val="24"/>
          <w:lang w:val="en-US"/>
        </w:rPr>
        <w:t xml:space="preserve"> Parrinello</w:t>
      </w:r>
      <w:r w:rsidR="00C322D3">
        <w:rPr>
          <w:rFonts w:ascii="Times New Roman" w:hAnsi="Times New Roman"/>
          <w:sz w:val="24"/>
          <w:szCs w:val="24"/>
          <w:lang w:val="en-US"/>
        </w:rPr>
        <w:t xml:space="preserve">, T., </w:t>
      </w:r>
      <w:r w:rsidRPr="00C44CFB">
        <w:rPr>
          <w:rFonts w:ascii="Times New Roman" w:hAnsi="Times New Roman"/>
          <w:sz w:val="24"/>
          <w:szCs w:val="24"/>
          <w:lang w:val="en-US"/>
        </w:rPr>
        <w:t>Bojkov</w:t>
      </w:r>
      <w:r w:rsidR="00C322D3">
        <w:rPr>
          <w:rFonts w:ascii="Times New Roman" w:hAnsi="Times New Roman"/>
          <w:sz w:val="24"/>
          <w:szCs w:val="24"/>
          <w:lang w:val="en-US"/>
        </w:rPr>
        <w:t>, B., 2016.</w:t>
      </w:r>
      <w:r w:rsidRPr="00C44CFB">
        <w:rPr>
          <w:rFonts w:ascii="Times New Roman" w:hAnsi="Times New Roman"/>
          <w:sz w:val="24"/>
          <w:szCs w:val="24"/>
          <w:lang w:val="en-US"/>
        </w:rPr>
        <w:t xml:space="preserve"> CryoSat Mission: Data Quality Status and Next Product Evolutions, 6th CryoSat User Workshop, 9-13 May 2016, Prague, Czech Republic.</w:t>
      </w:r>
    </w:p>
    <w:p w14:paraId="19B96F23" w14:textId="6DC4E719" w:rsidR="00830425" w:rsidRDefault="00830425" w:rsidP="00A42484">
      <w:pPr>
        <w:widowControl w:val="0"/>
        <w:autoSpaceDE w:val="0"/>
        <w:autoSpaceDN w:val="0"/>
        <w:adjustRightInd w:val="0"/>
        <w:spacing w:after="120" w:line="480" w:lineRule="auto"/>
        <w:ind w:left="709" w:hanging="709"/>
        <w:rPr>
          <w:rFonts w:ascii="Times New Roman" w:hAnsi="Times New Roman"/>
          <w:sz w:val="24"/>
          <w:szCs w:val="24"/>
          <w:lang w:val="en-US"/>
        </w:rPr>
      </w:pPr>
      <w:r w:rsidRPr="00F42A1F">
        <w:rPr>
          <w:rFonts w:ascii="Times New Roman" w:hAnsi="Times New Roman"/>
          <w:sz w:val="24"/>
          <w:szCs w:val="24"/>
          <w:lang w:val="en-US"/>
        </w:rPr>
        <w:t>Calafat, F. M</w:t>
      </w:r>
      <w:r>
        <w:rPr>
          <w:rFonts w:ascii="Times New Roman" w:hAnsi="Times New Roman"/>
          <w:sz w:val="24"/>
          <w:szCs w:val="24"/>
          <w:lang w:val="en-US"/>
        </w:rPr>
        <w:t>.,</w:t>
      </w:r>
      <w:r w:rsidR="00C322D3">
        <w:rPr>
          <w:rFonts w:ascii="Times New Roman" w:hAnsi="Times New Roman"/>
          <w:sz w:val="24"/>
          <w:szCs w:val="24"/>
          <w:lang w:val="en-US"/>
        </w:rPr>
        <w:t xml:space="preserve"> </w:t>
      </w:r>
      <w:r>
        <w:rPr>
          <w:rFonts w:ascii="Times New Roman" w:hAnsi="Times New Roman"/>
          <w:sz w:val="24"/>
          <w:szCs w:val="24"/>
          <w:lang w:val="en-US"/>
        </w:rPr>
        <w:t>Marcos,</w:t>
      </w:r>
      <w:r w:rsidR="00C322D3">
        <w:rPr>
          <w:rFonts w:ascii="Times New Roman" w:hAnsi="Times New Roman"/>
          <w:sz w:val="24"/>
          <w:szCs w:val="24"/>
          <w:lang w:val="en-US"/>
        </w:rPr>
        <w:t xml:space="preserve"> M.,</w:t>
      </w:r>
      <w:r>
        <w:rPr>
          <w:rFonts w:ascii="Times New Roman" w:hAnsi="Times New Roman"/>
          <w:sz w:val="24"/>
          <w:szCs w:val="24"/>
          <w:lang w:val="en-US"/>
        </w:rPr>
        <w:t xml:space="preserve"> 2012.</w:t>
      </w:r>
      <w:r w:rsidRPr="00F42A1F">
        <w:rPr>
          <w:rFonts w:ascii="Times New Roman" w:hAnsi="Times New Roman"/>
          <w:sz w:val="24"/>
          <w:szCs w:val="24"/>
          <w:lang w:val="en-US"/>
        </w:rPr>
        <w:t xml:space="preserve"> Comparison of satellite altimetry sea level anomalies</w:t>
      </w:r>
      <w:r>
        <w:rPr>
          <w:rFonts w:ascii="Times New Roman" w:hAnsi="Times New Roman"/>
          <w:sz w:val="24"/>
          <w:szCs w:val="24"/>
          <w:lang w:val="en-US"/>
        </w:rPr>
        <w:t xml:space="preserve"> </w:t>
      </w:r>
      <w:r w:rsidRPr="00F42A1F">
        <w:rPr>
          <w:rFonts w:ascii="Times New Roman" w:hAnsi="Times New Roman"/>
          <w:sz w:val="24"/>
          <w:szCs w:val="24"/>
          <w:lang w:val="en-US"/>
        </w:rPr>
        <w:t>and hydrographic observ</w:t>
      </w:r>
      <w:r>
        <w:rPr>
          <w:rFonts w:ascii="Times New Roman" w:hAnsi="Times New Roman"/>
          <w:sz w:val="24"/>
          <w:szCs w:val="24"/>
          <w:lang w:val="en-US"/>
        </w:rPr>
        <w:t>ations in the Mediterranean Sea</w:t>
      </w:r>
      <w:r w:rsidR="00C322D3">
        <w:rPr>
          <w:rFonts w:ascii="Times New Roman" w:hAnsi="Times New Roman"/>
          <w:sz w:val="24"/>
          <w:szCs w:val="24"/>
          <w:lang w:val="en-US"/>
        </w:rPr>
        <w:t>.</w:t>
      </w:r>
      <w:r w:rsidRPr="00F42A1F">
        <w:rPr>
          <w:rFonts w:ascii="Times New Roman" w:hAnsi="Times New Roman"/>
          <w:sz w:val="24"/>
          <w:szCs w:val="24"/>
          <w:lang w:val="en-US"/>
        </w:rPr>
        <w:t xml:space="preserve"> Scientia Marina, 76(3), 429-439.</w:t>
      </w:r>
    </w:p>
    <w:p w14:paraId="6DF4199A" w14:textId="03CAB5F1" w:rsidR="00C44CFB" w:rsidRDefault="00C44CFB" w:rsidP="00C44CFB">
      <w:pPr>
        <w:widowControl w:val="0"/>
        <w:autoSpaceDE w:val="0"/>
        <w:autoSpaceDN w:val="0"/>
        <w:adjustRightInd w:val="0"/>
        <w:spacing w:after="120" w:line="480" w:lineRule="auto"/>
        <w:ind w:left="709" w:hanging="709"/>
        <w:rPr>
          <w:rFonts w:ascii="Times New Roman" w:hAnsi="Times New Roman"/>
          <w:sz w:val="24"/>
          <w:szCs w:val="24"/>
          <w:lang w:val="en-US"/>
        </w:rPr>
      </w:pPr>
      <w:r w:rsidRPr="00C44CFB">
        <w:rPr>
          <w:rFonts w:ascii="Times New Roman" w:hAnsi="Times New Roman"/>
          <w:sz w:val="24"/>
          <w:szCs w:val="24"/>
          <w:lang w:val="en-US"/>
        </w:rPr>
        <w:t>Carrere,</w:t>
      </w:r>
      <w:r>
        <w:rPr>
          <w:rFonts w:ascii="Times New Roman" w:hAnsi="Times New Roman"/>
          <w:sz w:val="24"/>
          <w:szCs w:val="24"/>
          <w:lang w:val="en-US"/>
        </w:rPr>
        <w:t xml:space="preserve"> L., Lyard,</w:t>
      </w:r>
      <w:r w:rsidR="00C322D3">
        <w:rPr>
          <w:rFonts w:ascii="Times New Roman" w:hAnsi="Times New Roman"/>
          <w:sz w:val="24"/>
          <w:szCs w:val="24"/>
          <w:lang w:val="en-US"/>
        </w:rPr>
        <w:t xml:space="preserve"> F.,</w:t>
      </w:r>
      <w:r>
        <w:rPr>
          <w:rFonts w:ascii="Times New Roman" w:hAnsi="Times New Roman"/>
          <w:sz w:val="24"/>
          <w:szCs w:val="24"/>
          <w:lang w:val="en-US"/>
        </w:rPr>
        <w:t xml:space="preserve"> 2003. Modeling the </w:t>
      </w:r>
      <w:r w:rsidRPr="00C44CFB">
        <w:rPr>
          <w:rFonts w:ascii="Times New Roman" w:hAnsi="Times New Roman"/>
          <w:sz w:val="24"/>
          <w:szCs w:val="24"/>
          <w:lang w:val="en-US"/>
        </w:rPr>
        <w:t>barotropic response of the globa</w:t>
      </w:r>
      <w:r>
        <w:rPr>
          <w:rFonts w:ascii="Times New Roman" w:hAnsi="Times New Roman"/>
          <w:sz w:val="24"/>
          <w:szCs w:val="24"/>
          <w:lang w:val="en-US"/>
        </w:rPr>
        <w:t xml:space="preserve">l ocean to atmospheric wind and </w:t>
      </w:r>
      <w:r w:rsidRPr="00C44CFB">
        <w:rPr>
          <w:rFonts w:ascii="Times New Roman" w:hAnsi="Times New Roman"/>
          <w:sz w:val="24"/>
          <w:szCs w:val="24"/>
          <w:lang w:val="en-US"/>
        </w:rPr>
        <w:t>pressure forcing -</w:t>
      </w:r>
      <w:r>
        <w:rPr>
          <w:rFonts w:ascii="Times New Roman" w:hAnsi="Times New Roman"/>
          <w:sz w:val="24"/>
          <w:szCs w:val="24"/>
          <w:lang w:val="en-US"/>
        </w:rPr>
        <w:t xml:space="preserve"> comparisons with observations</w:t>
      </w:r>
      <w:r w:rsidR="00C322D3">
        <w:rPr>
          <w:rFonts w:ascii="Times New Roman" w:hAnsi="Times New Roman"/>
          <w:sz w:val="24"/>
          <w:szCs w:val="24"/>
          <w:lang w:val="en-US"/>
        </w:rPr>
        <w:t>.</w:t>
      </w:r>
      <w:r>
        <w:rPr>
          <w:rFonts w:ascii="Times New Roman" w:hAnsi="Times New Roman"/>
          <w:sz w:val="24"/>
          <w:szCs w:val="24"/>
          <w:lang w:val="en-US"/>
        </w:rPr>
        <w:t xml:space="preserve"> Geophys. Res. Lett.</w:t>
      </w:r>
      <w:r w:rsidRPr="00C44CFB">
        <w:rPr>
          <w:rFonts w:ascii="Times New Roman" w:hAnsi="Times New Roman"/>
          <w:sz w:val="24"/>
          <w:szCs w:val="24"/>
          <w:lang w:val="en-US"/>
        </w:rPr>
        <w:t xml:space="preserve">, </w:t>
      </w:r>
      <w:r>
        <w:rPr>
          <w:rFonts w:ascii="Times New Roman" w:hAnsi="Times New Roman"/>
          <w:sz w:val="24"/>
          <w:szCs w:val="24"/>
          <w:lang w:val="en-US"/>
        </w:rPr>
        <w:t>30 (6), 1275, doi:10.1029/2002GL016473.</w:t>
      </w:r>
    </w:p>
    <w:p w14:paraId="79E9517A" w14:textId="64CA488B" w:rsidR="00830425" w:rsidRDefault="00830425" w:rsidP="00A42484">
      <w:pPr>
        <w:widowControl w:val="0"/>
        <w:autoSpaceDE w:val="0"/>
        <w:autoSpaceDN w:val="0"/>
        <w:adjustRightInd w:val="0"/>
        <w:spacing w:after="120" w:line="480" w:lineRule="auto"/>
        <w:ind w:left="709" w:hanging="709"/>
        <w:rPr>
          <w:rFonts w:ascii="Times New Roman" w:hAnsi="Times New Roman"/>
          <w:sz w:val="24"/>
          <w:szCs w:val="24"/>
          <w:lang w:val="en-US"/>
        </w:rPr>
      </w:pPr>
      <w:r w:rsidRPr="00C3629B">
        <w:rPr>
          <w:rFonts w:ascii="Times New Roman" w:hAnsi="Times New Roman"/>
          <w:sz w:val="24"/>
          <w:szCs w:val="24"/>
          <w:lang w:val="en-US"/>
        </w:rPr>
        <w:t xml:space="preserve">Cartwright, D.E., </w:t>
      </w:r>
      <w:r>
        <w:rPr>
          <w:rFonts w:ascii="Times New Roman" w:hAnsi="Times New Roman"/>
          <w:sz w:val="24"/>
          <w:szCs w:val="24"/>
          <w:lang w:val="en-US"/>
        </w:rPr>
        <w:t>Edden,</w:t>
      </w:r>
      <w:r w:rsidR="00C322D3">
        <w:rPr>
          <w:rFonts w:ascii="Times New Roman" w:hAnsi="Times New Roman"/>
          <w:sz w:val="24"/>
          <w:szCs w:val="24"/>
          <w:lang w:val="en-US"/>
        </w:rPr>
        <w:t xml:space="preserve"> A.C.,</w:t>
      </w:r>
      <w:r>
        <w:rPr>
          <w:rFonts w:ascii="Times New Roman" w:hAnsi="Times New Roman"/>
          <w:sz w:val="24"/>
          <w:szCs w:val="24"/>
          <w:lang w:val="en-US"/>
        </w:rPr>
        <w:t xml:space="preserve"> 1973.</w:t>
      </w:r>
      <w:r w:rsidRPr="00C3629B">
        <w:rPr>
          <w:rFonts w:ascii="Times New Roman" w:hAnsi="Times New Roman"/>
          <w:sz w:val="24"/>
          <w:szCs w:val="24"/>
          <w:lang w:val="en-US"/>
        </w:rPr>
        <w:t xml:space="preserve"> Corr</w:t>
      </w:r>
      <w:r>
        <w:rPr>
          <w:rFonts w:ascii="Times New Roman" w:hAnsi="Times New Roman"/>
          <w:sz w:val="24"/>
          <w:szCs w:val="24"/>
          <w:lang w:val="en-US"/>
        </w:rPr>
        <w:t>ected tables of tidal harmonics</w:t>
      </w:r>
      <w:r w:rsidR="00C322D3">
        <w:rPr>
          <w:rFonts w:ascii="Times New Roman" w:hAnsi="Times New Roman"/>
          <w:sz w:val="24"/>
          <w:szCs w:val="24"/>
          <w:lang w:val="en-US"/>
        </w:rPr>
        <w:t>.</w:t>
      </w:r>
      <w:r w:rsidRPr="00C3629B">
        <w:rPr>
          <w:rFonts w:ascii="Times New Roman" w:hAnsi="Times New Roman"/>
          <w:sz w:val="24"/>
          <w:szCs w:val="24"/>
          <w:lang w:val="en-US"/>
        </w:rPr>
        <w:t xml:space="preserve"> Geophys. J. R.</w:t>
      </w:r>
      <w:r>
        <w:rPr>
          <w:rFonts w:ascii="Times New Roman" w:hAnsi="Times New Roman"/>
          <w:sz w:val="24"/>
          <w:szCs w:val="24"/>
          <w:lang w:val="en-US"/>
        </w:rPr>
        <w:t xml:space="preserve"> Astron. Soc. 33, 253–264.</w:t>
      </w:r>
    </w:p>
    <w:p w14:paraId="06E7A544" w14:textId="55485450" w:rsidR="00830425" w:rsidRDefault="00830425" w:rsidP="00A42484">
      <w:pPr>
        <w:widowControl w:val="0"/>
        <w:autoSpaceDE w:val="0"/>
        <w:autoSpaceDN w:val="0"/>
        <w:adjustRightInd w:val="0"/>
        <w:spacing w:after="120" w:line="480" w:lineRule="auto"/>
        <w:ind w:left="709" w:hanging="709"/>
        <w:rPr>
          <w:rFonts w:ascii="Times New Roman" w:hAnsi="Times New Roman"/>
          <w:sz w:val="24"/>
          <w:szCs w:val="24"/>
          <w:lang w:val="en-US"/>
        </w:rPr>
      </w:pPr>
      <w:r w:rsidRPr="00513E91">
        <w:rPr>
          <w:rFonts w:ascii="Times New Roman" w:hAnsi="Times New Roman"/>
          <w:sz w:val="24"/>
          <w:szCs w:val="24"/>
          <w:lang w:val="en-US"/>
        </w:rPr>
        <w:t>Chelton, D.B., deSzoeke,</w:t>
      </w:r>
      <w:r w:rsidR="00C322D3">
        <w:rPr>
          <w:rFonts w:ascii="Times New Roman" w:hAnsi="Times New Roman"/>
          <w:sz w:val="24"/>
          <w:szCs w:val="24"/>
          <w:lang w:val="en-US"/>
        </w:rPr>
        <w:t xml:space="preserve"> R.A.,</w:t>
      </w:r>
      <w:r w:rsidRPr="00513E91">
        <w:rPr>
          <w:rFonts w:ascii="Times New Roman" w:hAnsi="Times New Roman"/>
          <w:sz w:val="24"/>
          <w:szCs w:val="24"/>
          <w:lang w:val="en-US"/>
        </w:rPr>
        <w:t xml:space="preserve"> Schlax,</w:t>
      </w:r>
      <w:r w:rsidR="00C322D3">
        <w:rPr>
          <w:rFonts w:ascii="Times New Roman" w:hAnsi="Times New Roman"/>
          <w:sz w:val="24"/>
          <w:szCs w:val="24"/>
          <w:lang w:val="en-US"/>
        </w:rPr>
        <w:t xml:space="preserve"> M.G.,</w:t>
      </w:r>
      <w:r w:rsidRPr="00513E91">
        <w:rPr>
          <w:rFonts w:ascii="Times New Roman" w:hAnsi="Times New Roman"/>
          <w:sz w:val="24"/>
          <w:szCs w:val="24"/>
          <w:lang w:val="en-US"/>
        </w:rPr>
        <w:t xml:space="preserve"> El Naggar</w:t>
      </w:r>
      <w:r w:rsidR="00C322D3">
        <w:rPr>
          <w:rFonts w:ascii="Times New Roman" w:hAnsi="Times New Roman"/>
          <w:sz w:val="24"/>
          <w:szCs w:val="24"/>
          <w:lang w:val="en-US"/>
        </w:rPr>
        <w:t>, K.,</w:t>
      </w:r>
      <w:r w:rsidRPr="00513E91">
        <w:rPr>
          <w:rFonts w:ascii="Times New Roman" w:hAnsi="Times New Roman"/>
          <w:sz w:val="24"/>
          <w:szCs w:val="24"/>
          <w:lang w:val="en-US"/>
        </w:rPr>
        <w:t xml:space="preserve"> Siwertz,</w:t>
      </w:r>
      <w:r w:rsidR="00C322D3">
        <w:rPr>
          <w:rFonts w:ascii="Times New Roman" w:hAnsi="Times New Roman"/>
          <w:sz w:val="24"/>
          <w:szCs w:val="24"/>
          <w:lang w:val="en-US"/>
        </w:rPr>
        <w:t xml:space="preserve"> N.,</w:t>
      </w:r>
      <w:r w:rsidRPr="00513E91">
        <w:rPr>
          <w:rFonts w:ascii="Times New Roman" w:hAnsi="Times New Roman"/>
          <w:sz w:val="24"/>
          <w:szCs w:val="24"/>
          <w:lang w:val="en-US"/>
        </w:rPr>
        <w:t xml:space="preserve"> 1998:  Geographical variability of the first-baroclinic Rossby radius of deformation.  J. Phys. Oceanogr., 28, 433-460.</w:t>
      </w:r>
    </w:p>
    <w:p w14:paraId="6615FE8D" w14:textId="4D04F89F" w:rsidR="00830425" w:rsidRPr="006C4AD1" w:rsidRDefault="00830425" w:rsidP="00A42484">
      <w:pPr>
        <w:widowControl w:val="0"/>
        <w:autoSpaceDE w:val="0"/>
        <w:autoSpaceDN w:val="0"/>
        <w:adjustRightInd w:val="0"/>
        <w:spacing w:after="120" w:line="480" w:lineRule="auto"/>
        <w:ind w:left="709" w:hanging="709"/>
        <w:rPr>
          <w:rFonts w:ascii="Times New Roman" w:hAnsi="Times New Roman"/>
          <w:position w:val="10"/>
          <w:sz w:val="24"/>
          <w:szCs w:val="24"/>
          <w:lang w:val="en-US"/>
        </w:rPr>
      </w:pPr>
      <w:r w:rsidRPr="00BD2140">
        <w:rPr>
          <w:rFonts w:ascii="Times New Roman" w:hAnsi="Times New Roman"/>
          <w:bCs/>
          <w:sz w:val="24"/>
          <w:szCs w:val="24"/>
          <w:lang w:val="fr-FR"/>
        </w:rPr>
        <w:t>Dhomps, A. -L. , Guinehut,</w:t>
      </w:r>
      <w:r w:rsidR="00C322D3">
        <w:rPr>
          <w:rFonts w:ascii="Times New Roman" w:hAnsi="Times New Roman"/>
          <w:bCs/>
          <w:sz w:val="24"/>
          <w:szCs w:val="24"/>
          <w:lang w:val="fr-FR"/>
        </w:rPr>
        <w:t xml:space="preserve"> S.,</w:t>
      </w:r>
      <w:r w:rsidRPr="00BD2140">
        <w:rPr>
          <w:rFonts w:ascii="Times New Roman" w:hAnsi="Times New Roman"/>
          <w:bCs/>
          <w:sz w:val="24"/>
          <w:szCs w:val="24"/>
          <w:lang w:val="fr-FR"/>
        </w:rPr>
        <w:t xml:space="preserve"> Le Traon,</w:t>
      </w:r>
      <w:r w:rsidR="00C322D3">
        <w:rPr>
          <w:rFonts w:ascii="Times New Roman" w:hAnsi="Times New Roman"/>
          <w:bCs/>
          <w:sz w:val="24"/>
          <w:szCs w:val="24"/>
          <w:lang w:val="fr-FR"/>
        </w:rPr>
        <w:t xml:space="preserve"> P.-Y., </w:t>
      </w:r>
      <w:r w:rsidRPr="00BD2140">
        <w:rPr>
          <w:rFonts w:ascii="Times New Roman" w:hAnsi="Times New Roman"/>
          <w:bCs/>
          <w:sz w:val="24"/>
          <w:szCs w:val="24"/>
          <w:lang w:val="fr-FR"/>
        </w:rPr>
        <w:t>Larnicol,</w:t>
      </w:r>
      <w:r w:rsidR="00C322D3">
        <w:rPr>
          <w:rFonts w:ascii="Times New Roman" w:hAnsi="Times New Roman"/>
          <w:bCs/>
          <w:sz w:val="24"/>
          <w:szCs w:val="24"/>
          <w:lang w:val="fr-FR"/>
        </w:rPr>
        <w:t xml:space="preserve"> G.,</w:t>
      </w:r>
      <w:r w:rsidRPr="00BD2140">
        <w:rPr>
          <w:rFonts w:ascii="Times New Roman" w:hAnsi="Times New Roman"/>
          <w:bCs/>
          <w:sz w:val="24"/>
          <w:szCs w:val="24"/>
          <w:lang w:val="fr-FR"/>
        </w:rPr>
        <w:t xml:space="preserve"> 2011. </w:t>
      </w:r>
      <w:r w:rsidRPr="006C4AD1">
        <w:rPr>
          <w:rFonts w:ascii="Times New Roman" w:hAnsi="Times New Roman"/>
          <w:bCs/>
          <w:sz w:val="24"/>
          <w:szCs w:val="24"/>
          <w:lang w:val="en-US"/>
        </w:rPr>
        <w:t>A global comparison of Argo and satellite altimetry observations</w:t>
      </w:r>
      <w:r w:rsidR="00C322D3">
        <w:rPr>
          <w:rFonts w:ascii="Times New Roman" w:hAnsi="Times New Roman"/>
          <w:bCs/>
          <w:sz w:val="24"/>
          <w:szCs w:val="24"/>
          <w:lang w:val="en-US"/>
        </w:rPr>
        <w:t>.</w:t>
      </w:r>
      <w:r>
        <w:rPr>
          <w:rFonts w:ascii="Times New Roman" w:hAnsi="Times New Roman"/>
          <w:bCs/>
          <w:sz w:val="24"/>
          <w:szCs w:val="24"/>
          <w:lang w:val="en-US"/>
        </w:rPr>
        <w:t xml:space="preserve"> Ocean Sciences, 7, 175-183.</w:t>
      </w:r>
    </w:p>
    <w:p w14:paraId="74D34F25" w14:textId="31C27802" w:rsidR="00830425" w:rsidRDefault="00830425" w:rsidP="00A42484">
      <w:pPr>
        <w:spacing w:after="240" w:line="480" w:lineRule="auto"/>
        <w:ind w:left="709" w:hanging="709"/>
        <w:rPr>
          <w:rFonts w:ascii="Times New Roman" w:hAnsi="Times New Roman"/>
          <w:color w:val="000000"/>
          <w:sz w:val="24"/>
          <w:szCs w:val="24"/>
          <w:lang w:val="en-US"/>
        </w:rPr>
      </w:pPr>
      <w:r w:rsidRPr="00BD2140">
        <w:rPr>
          <w:rFonts w:ascii="Times New Roman" w:hAnsi="Times New Roman"/>
          <w:color w:val="000000"/>
          <w:sz w:val="24"/>
          <w:szCs w:val="24"/>
          <w:lang w:val="fr-FR"/>
        </w:rPr>
        <w:t>Dibarboure, G., Renaudie,</w:t>
      </w:r>
      <w:r w:rsidR="00C322D3">
        <w:rPr>
          <w:rFonts w:ascii="Times New Roman" w:hAnsi="Times New Roman"/>
          <w:color w:val="000000"/>
          <w:sz w:val="24"/>
          <w:szCs w:val="24"/>
          <w:lang w:val="fr-FR"/>
        </w:rPr>
        <w:t xml:space="preserve"> C.,</w:t>
      </w:r>
      <w:r w:rsidRPr="00BD2140">
        <w:rPr>
          <w:rFonts w:ascii="Times New Roman" w:hAnsi="Times New Roman"/>
          <w:color w:val="000000"/>
          <w:sz w:val="24"/>
          <w:szCs w:val="24"/>
          <w:lang w:val="fr-FR"/>
        </w:rPr>
        <w:t xml:space="preserve"> Pujol,</w:t>
      </w:r>
      <w:r w:rsidR="00C322D3">
        <w:rPr>
          <w:rFonts w:ascii="Times New Roman" w:hAnsi="Times New Roman"/>
          <w:color w:val="000000"/>
          <w:sz w:val="24"/>
          <w:szCs w:val="24"/>
          <w:lang w:val="fr-FR"/>
        </w:rPr>
        <w:t xml:space="preserve"> M.-I., </w:t>
      </w:r>
      <w:r w:rsidRPr="00BD2140">
        <w:rPr>
          <w:rFonts w:ascii="Times New Roman" w:hAnsi="Times New Roman"/>
          <w:color w:val="000000"/>
          <w:sz w:val="24"/>
          <w:szCs w:val="24"/>
          <w:lang w:val="fr-FR"/>
        </w:rPr>
        <w:t>Labroue,</w:t>
      </w:r>
      <w:r w:rsidR="00C322D3">
        <w:rPr>
          <w:rFonts w:ascii="Times New Roman" w:hAnsi="Times New Roman"/>
          <w:color w:val="000000"/>
          <w:sz w:val="24"/>
          <w:szCs w:val="24"/>
          <w:lang w:val="fr-FR"/>
        </w:rPr>
        <w:t xml:space="preserve"> S.,</w:t>
      </w:r>
      <w:r w:rsidRPr="00BD2140">
        <w:rPr>
          <w:rFonts w:ascii="Times New Roman" w:hAnsi="Times New Roman"/>
          <w:color w:val="000000"/>
          <w:sz w:val="24"/>
          <w:szCs w:val="24"/>
          <w:lang w:val="fr-FR"/>
        </w:rPr>
        <w:t xml:space="preserve"> Picot,</w:t>
      </w:r>
      <w:r w:rsidR="00C322D3">
        <w:rPr>
          <w:rFonts w:ascii="Times New Roman" w:hAnsi="Times New Roman"/>
          <w:color w:val="000000"/>
          <w:sz w:val="24"/>
          <w:szCs w:val="24"/>
          <w:lang w:val="fr-FR"/>
        </w:rPr>
        <w:t xml:space="preserve"> N.</w:t>
      </w:r>
      <w:r w:rsidRPr="00BD2140">
        <w:rPr>
          <w:rFonts w:ascii="Times New Roman" w:hAnsi="Times New Roman"/>
          <w:color w:val="000000"/>
          <w:sz w:val="24"/>
          <w:szCs w:val="24"/>
          <w:lang w:val="fr-FR"/>
        </w:rPr>
        <w:t xml:space="preserve"> 2012. </w:t>
      </w:r>
      <w:r w:rsidRPr="001D4421">
        <w:rPr>
          <w:rFonts w:ascii="Times New Roman" w:hAnsi="Times New Roman"/>
          <w:color w:val="000000"/>
          <w:sz w:val="24"/>
          <w:szCs w:val="24"/>
          <w:lang w:val="en-US"/>
        </w:rPr>
        <w:t>A demonstration of the potential of Cryosat-2 to contribute to mesoscale observation</w:t>
      </w:r>
      <w:r w:rsidR="00C322D3">
        <w:rPr>
          <w:rFonts w:ascii="Times New Roman" w:hAnsi="Times New Roman"/>
          <w:color w:val="000000"/>
          <w:sz w:val="24"/>
          <w:szCs w:val="24"/>
          <w:lang w:val="en-US"/>
        </w:rPr>
        <w:t>.</w:t>
      </w:r>
      <w:r>
        <w:rPr>
          <w:rFonts w:ascii="Times New Roman" w:hAnsi="Times New Roman"/>
          <w:color w:val="000000"/>
          <w:sz w:val="24"/>
          <w:szCs w:val="24"/>
          <w:lang w:val="en-US"/>
        </w:rPr>
        <w:t xml:space="preserve"> </w:t>
      </w:r>
      <w:r w:rsidRPr="00A21879">
        <w:rPr>
          <w:rFonts w:ascii="Times New Roman" w:hAnsi="Times New Roman"/>
          <w:color w:val="000000"/>
          <w:sz w:val="24"/>
          <w:szCs w:val="24"/>
          <w:lang w:val="en-US"/>
        </w:rPr>
        <w:t>Advances in Space Re</w:t>
      </w:r>
      <w:r>
        <w:rPr>
          <w:rFonts w:ascii="Times New Roman" w:hAnsi="Times New Roman"/>
          <w:color w:val="000000"/>
          <w:sz w:val="24"/>
          <w:szCs w:val="24"/>
          <w:lang w:val="en-US"/>
        </w:rPr>
        <w:t>search 50, 1046-1061.</w:t>
      </w:r>
    </w:p>
    <w:p w14:paraId="69903C2B" w14:textId="57A1FECF" w:rsidR="00830425" w:rsidRPr="00385F95" w:rsidRDefault="00830425" w:rsidP="00A42484">
      <w:pPr>
        <w:widowControl w:val="0"/>
        <w:autoSpaceDE w:val="0"/>
        <w:autoSpaceDN w:val="0"/>
        <w:adjustRightInd w:val="0"/>
        <w:spacing w:after="0" w:line="480" w:lineRule="auto"/>
        <w:ind w:left="709" w:hanging="709"/>
        <w:rPr>
          <w:rFonts w:ascii="Times New Roman" w:hAnsi="Times New Roman"/>
          <w:color w:val="000000"/>
          <w:sz w:val="24"/>
          <w:szCs w:val="24"/>
          <w:lang w:val="en-US"/>
        </w:rPr>
      </w:pPr>
      <w:r w:rsidRPr="00385F95">
        <w:rPr>
          <w:rFonts w:ascii="Times New Roman" w:hAnsi="Times New Roman"/>
          <w:color w:val="000000"/>
          <w:sz w:val="24"/>
          <w:szCs w:val="24"/>
          <w:lang w:val="en-US"/>
        </w:rPr>
        <w:t>Dibarboure,</w:t>
      </w:r>
      <w:r>
        <w:rPr>
          <w:rFonts w:ascii="Times New Roman" w:hAnsi="Times New Roman"/>
          <w:color w:val="000000"/>
          <w:sz w:val="24"/>
          <w:szCs w:val="24"/>
          <w:lang w:val="en-US"/>
        </w:rPr>
        <w:t xml:space="preserve"> G.,</w:t>
      </w:r>
      <w:r w:rsidRPr="00385F95">
        <w:rPr>
          <w:rFonts w:ascii="Times New Roman" w:hAnsi="Times New Roman"/>
          <w:color w:val="000000"/>
          <w:sz w:val="24"/>
          <w:szCs w:val="24"/>
          <w:lang w:val="en-US"/>
        </w:rPr>
        <w:t xml:space="preserve"> Boy,</w:t>
      </w:r>
      <w:r w:rsidR="00507F7A">
        <w:rPr>
          <w:rFonts w:ascii="Times New Roman" w:hAnsi="Times New Roman"/>
          <w:color w:val="000000"/>
          <w:sz w:val="24"/>
          <w:szCs w:val="24"/>
          <w:lang w:val="en-US"/>
        </w:rPr>
        <w:t xml:space="preserve"> F.,</w:t>
      </w:r>
      <w:r w:rsidRPr="00385F95">
        <w:rPr>
          <w:rFonts w:ascii="Times New Roman" w:hAnsi="Times New Roman"/>
          <w:color w:val="000000"/>
          <w:sz w:val="24"/>
          <w:szCs w:val="24"/>
          <w:lang w:val="en-US"/>
        </w:rPr>
        <w:t xml:space="preserve"> Desjonqueres,</w:t>
      </w:r>
      <w:r w:rsidR="00507F7A">
        <w:rPr>
          <w:rFonts w:ascii="Times New Roman" w:hAnsi="Times New Roman"/>
          <w:color w:val="000000"/>
          <w:sz w:val="24"/>
          <w:szCs w:val="24"/>
          <w:lang w:val="en-US"/>
        </w:rPr>
        <w:t xml:space="preserve"> J.D.,</w:t>
      </w:r>
      <w:r w:rsidRPr="00385F95">
        <w:rPr>
          <w:rFonts w:ascii="Times New Roman" w:hAnsi="Times New Roman"/>
          <w:color w:val="000000"/>
          <w:sz w:val="24"/>
          <w:szCs w:val="24"/>
          <w:lang w:val="en-US"/>
        </w:rPr>
        <w:t xml:space="preserve"> Labroue,</w:t>
      </w:r>
      <w:r w:rsidR="00507F7A">
        <w:rPr>
          <w:rFonts w:ascii="Times New Roman" w:hAnsi="Times New Roman"/>
          <w:color w:val="000000"/>
          <w:sz w:val="24"/>
          <w:szCs w:val="24"/>
          <w:lang w:val="en-US"/>
        </w:rPr>
        <w:t xml:space="preserve"> S.,</w:t>
      </w:r>
      <w:r w:rsidRPr="00385F95">
        <w:rPr>
          <w:rFonts w:ascii="Times New Roman" w:hAnsi="Times New Roman"/>
          <w:color w:val="000000"/>
          <w:sz w:val="24"/>
          <w:szCs w:val="24"/>
          <w:lang w:val="en-US"/>
        </w:rPr>
        <w:t xml:space="preserve"> Lasne,</w:t>
      </w:r>
      <w:r w:rsidR="00507F7A">
        <w:rPr>
          <w:rFonts w:ascii="Times New Roman" w:hAnsi="Times New Roman"/>
          <w:color w:val="000000"/>
          <w:sz w:val="24"/>
          <w:szCs w:val="24"/>
          <w:lang w:val="en-US"/>
        </w:rPr>
        <w:t xml:space="preserve"> Y.,</w:t>
      </w:r>
      <w:r w:rsidRPr="00385F95">
        <w:rPr>
          <w:rFonts w:ascii="Times New Roman" w:hAnsi="Times New Roman"/>
          <w:color w:val="000000"/>
          <w:sz w:val="24"/>
          <w:szCs w:val="24"/>
          <w:lang w:val="en-US"/>
        </w:rPr>
        <w:t xml:space="preserve"> Picot,</w:t>
      </w:r>
      <w:r w:rsidR="00507F7A">
        <w:rPr>
          <w:rFonts w:ascii="Times New Roman" w:hAnsi="Times New Roman"/>
          <w:color w:val="000000"/>
          <w:sz w:val="24"/>
          <w:szCs w:val="24"/>
          <w:lang w:val="en-US"/>
        </w:rPr>
        <w:t xml:space="preserve"> N.,</w:t>
      </w:r>
      <w:r w:rsidRPr="00385F95">
        <w:rPr>
          <w:rFonts w:ascii="Times New Roman" w:hAnsi="Times New Roman"/>
          <w:color w:val="000000"/>
          <w:sz w:val="24"/>
          <w:szCs w:val="24"/>
          <w:lang w:val="en-US"/>
        </w:rPr>
        <w:t xml:space="preserve"> </w:t>
      </w:r>
      <w:r>
        <w:rPr>
          <w:rFonts w:ascii="Times New Roman" w:hAnsi="Times New Roman"/>
          <w:color w:val="000000"/>
          <w:sz w:val="24"/>
          <w:szCs w:val="24"/>
          <w:lang w:val="en-US"/>
        </w:rPr>
        <w:t>Poisson,</w:t>
      </w:r>
      <w:r w:rsidR="00507F7A">
        <w:rPr>
          <w:rFonts w:ascii="Times New Roman" w:hAnsi="Times New Roman"/>
          <w:color w:val="000000"/>
          <w:sz w:val="24"/>
          <w:szCs w:val="24"/>
          <w:lang w:val="en-US"/>
        </w:rPr>
        <w:t xml:space="preserve"> J.C.,</w:t>
      </w:r>
      <w:r>
        <w:rPr>
          <w:rFonts w:ascii="Times New Roman" w:hAnsi="Times New Roman"/>
          <w:color w:val="000000"/>
          <w:sz w:val="24"/>
          <w:szCs w:val="24"/>
          <w:lang w:val="en-US"/>
        </w:rPr>
        <w:t xml:space="preserve"> Thibaut,</w:t>
      </w:r>
      <w:r w:rsidR="00507F7A">
        <w:rPr>
          <w:rFonts w:ascii="Times New Roman" w:hAnsi="Times New Roman"/>
          <w:color w:val="000000"/>
          <w:sz w:val="24"/>
          <w:szCs w:val="24"/>
          <w:lang w:val="en-US"/>
        </w:rPr>
        <w:t xml:space="preserve"> P.,</w:t>
      </w:r>
      <w:r>
        <w:rPr>
          <w:rFonts w:ascii="Times New Roman" w:hAnsi="Times New Roman"/>
          <w:color w:val="000000"/>
          <w:sz w:val="24"/>
          <w:szCs w:val="24"/>
          <w:lang w:val="en-US"/>
        </w:rPr>
        <w:t xml:space="preserve"> 2014.</w:t>
      </w:r>
      <w:r w:rsidRPr="00385F95">
        <w:rPr>
          <w:rFonts w:ascii="Times New Roman" w:hAnsi="Times New Roman"/>
          <w:color w:val="000000"/>
          <w:sz w:val="24"/>
          <w:szCs w:val="24"/>
          <w:lang w:val="en-US"/>
        </w:rPr>
        <w:t xml:space="preserve"> Investigating Short-Wavelength Correlated Errors on Low-</w:t>
      </w:r>
      <w:r w:rsidRPr="00385F95">
        <w:rPr>
          <w:rFonts w:ascii="Times New Roman" w:hAnsi="Times New Roman"/>
          <w:color w:val="000000"/>
          <w:sz w:val="24"/>
          <w:szCs w:val="24"/>
          <w:lang w:val="en-US"/>
        </w:rPr>
        <w:lastRenderedPageBreak/>
        <w:t xml:space="preserve">Resolution Mode Altimetry. </w:t>
      </w:r>
      <w:r w:rsidRPr="001F3149">
        <w:rPr>
          <w:rFonts w:ascii="Times New Roman" w:hAnsi="Times New Roman"/>
          <w:iCs/>
          <w:color w:val="000000"/>
          <w:sz w:val="24"/>
          <w:szCs w:val="24"/>
          <w:lang w:val="en-US"/>
        </w:rPr>
        <w:t>J. Atmos. Oceanic Technol.</w:t>
      </w:r>
      <w:r w:rsidRPr="00385F95">
        <w:rPr>
          <w:rFonts w:ascii="Times New Roman" w:hAnsi="Times New Roman"/>
          <w:color w:val="000000"/>
          <w:sz w:val="24"/>
          <w:szCs w:val="24"/>
          <w:lang w:val="en-US"/>
        </w:rPr>
        <w:t xml:space="preserve">, </w:t>
      </w:r>
      <w:r w:rsidRPr="001F3149">
        <w:rPr>
          <w:rFonts w:ascii="Times New Roman" w:hAnsi="Times New Roman"/>
          <w:bCs/>
          <w:color w:val="000000"/>
          <w:sz w:val="24"/>
          <w:szCs w:val="24"/>
          <w:lang w:val="en-US"/>
        </w:rPr>
        <w:t>31</w:t>
      </w:r>
      <w:r w:rsidRPr="00385F95">
        <w:rPr>
          <w:rFonts w:ascii="Times New Roman" w:hAnsi="Times New Roman"/>
          <w:color w:val="000000"/>
          <w:sz w:val="24"/>
          <w:szCs w:val="24"/>
          <w:lang w:val="en-US"/>
        </w:rPr>
        <w:t>, 1337–1362.</w:t>
      </w:r>
      <w:r>
        <w:rPr>
          <w:rFonts w:ascii="Times New Roman" w:hAnsi="Times New Roman"/>
          <w:color w:val="000000"/>
          <w:sz w:val="24"/>
          <w:szCs w:val="24"/>
          <w:lang w:val="en-US"/>
        </w:rPr>
        <w:t xml:space="preserve"> </w:t>
      </w:r>
      <w:r w:rsidRPr="00385F95">
        <w:rPr>
          <w:rFonts w:ascii="Times New Roman" w:hAnsi="Times New Roman"/>
          <w:color w:val="000000"/>
          <w:sz w:val="24"/>
          <w:szCs w:val="24"/>
          <w:lang w:val="en-US"/>
        </w:rPr>
        <w:t>doi: http://dx.doi.org/10.1175/JTECH-D-13-00081.1</w:t>
      </w:r>
      <w:r>
        <w:rPr>
          <w:rFonts w:ascii="Times New Roman" w:hAnsi="Times New Roman"/>
          <w:color w:val="000000"/>
          <w:sz w:val="24"/>
          <w:szCs w:val="24"/>
          <w:lang w:val="en-US"/>
        </w:rPr>
        <w:t>.</w:t>
      </w:r>
    </w:p>
    <w:p w14:paraId="5D613608" w14:textId="3D1A1837" w:rsidR="00830425" w:rsidRPr="00B9152C" w:rsidRDefault="00830425" w:rsidP="00A42484">
      <w:pPr>
        <w:spacing w:after="240" w:line="480" w:lineRule="auto"/>
        <w:ind w:left="709" w:hanging="709"/>
        <w:rPr>
          <w:rFonts w:ascii="Times New Roman" w:hAnsi="Times New Roman"/>
          <w:color w:val="000000"/>
          <w:sz w:val="24"/>
          <w:szCs w:val="24"/>
          <w:lang w:val="en-US"/>
        </w:rPr>
      </w:pPr>
      <w:r w:rsidRPr="00B6447A">
        <w:rPr>
          <w:rFonts w:ascii="Times New Roman" w:hAnsi="Times New Roman"/>
          <w:color w:val="000000"/>
          <w:sz w:val="24"/>
          <w:szCs w:val="24"/>
          <w:lang w:val="en-US"/>
        </w:rPr>
        <w:t xml:space="preserve">Drinkwater, M.R., </w:t>
      </w:r>
      <w:r>
        <w:rPr>
          <w:rFonts w:ascii="Times New Roman" w:hAnsi="Times New Roman"/>
          <w:color w:val="000000"/>
          <w:sz w:val="24"/>
          <w:szCs w:val="24"/>
          <w:lang w:val="en-US"/>
        </w:rPr>
        <w:t>Francis</w:t>
      </w:r>
      <w:r w:rsidRPr="00B6447A">
        <w:rPr>
          <w:rFonts w:ascii="Times New Roman" w:hAnsi="Times New Roman"/>
          <w:color w:val="000000"/>
          <w:sz w:val="24"/>
          <w:szCs w:val="24"/>
          <w:lang w:val="en-US"/>
        </w:rPr>
        <w:t>,</w:t>
      </w:r>
      <w:r w:rsidR="00507F7A">
        <w:rPr>
          <w:rFonts w:ascii="Times New Roman" w:hAnsi="Times New Roman"/>
          <w:color w:val="000000"/>
          <w:sz w:val="24"/>
          <w:szCs w:val="24"/>
          <w:lang w:val="en-US"/>
        </w:rPr>
        <w:t xml:space="preserve"> R.,</w:t>
      </w:r>
      <w:r>
        <w:rPr>
          <w:rFonts w:ascii="Times New Roman" w:hAnsi="Times New Roman"/>
          <w:color w:val="000000"/>
          <w:sz w:val="24"/>
          <w:szCs w:val="24"/>
          <w:lang w:val="en-US"/>
        </w:rPr>
        <w:t xml:space="preserve"> Ratier</w:t>
      </w:r>
      <w:r w:rsidR="00507F7A">
        <w:rPr>
          <w:rFonts w:ascii="Times New Roman" w:hAnsi="Times New Roman"/>
          <w:color w:val="000000"/>
          <w:sz w:val="24"/>
          <w:szCs w:val="24"/>
          <w:lang w:val="en-US"/>
        </w:rPr>
        <w:t>, G.,</w:t>
      </w:r>
      <w:r w:rsidRPr="00B6447A">
        <w:rPr>
          <w:rFonts w:ascii="Times New Roman" w:hAnsi="Times New Roman"/>
          <w:color w:val="000000"/>
          <w:sz w:val="24"/>
          <w:szCs w:val="24"/>
          <w:lang w:val="en-US"/>
        </w:rPr>
        <w:t xml:space="preserve"> </w:t>
      </w:r>
      <w:r>
        <w:rPr>
          <w:rFonts w:ascii="Times New Roman" w:hAnsi="Times New Roman"/>
          <w:color w:val="000000"/>
          <w:sz w:val="24"/>
          <w:szCs w:val="24"/>
          <w:lang w:val="en-US"/>
        </w:rPr>
        <w:t>Wingham,</w:t>
      </w:r>
      <w:r w:rsidR="00507F7A">
        <w:rPr>
          <w:rFonts w:ascii="Times New Roman" w:hAnsi="Times New Roman"/>
          <w:color w:val="000000"/>
          <w:sz w:val="24"/>
          <w:szCs w:val="24"/>
          <w:lang w:val="en-US"/>
        </w:rPr>
        <w:t xml:space="preserve"> D.,</w:t>
      </w:r>
      <w:r>
        <w:rPr>
          <w:rFonts w:ascii="Times New Roman" w:hAnsi="Times New Roman"/>
          <w:color w:val="000000"/>
          <w:sz w:val="24"/>
          <w:szCs w:val="24"/>
          <w:lang w:val="en-US"/>
        </w:rPr>
        <w:t xml:space="preserve"> 2004.</w:t>
      </w:r>
      <w:r w:rsidRPr="00B6447A">
        <w:rPr>
          <w:rFonts w:ascii="Times New Roman" w:hAnsi="Times New Roman"/>
          <w:color w:val="000000"/>
          <w:sz w:val="24"/>
          <w:szCs w:val="24"/>
          <w:lang w:val="en-US"/>
        </w:rPr>
        <w:t xml:space="preserve"> </w:t>
      </w:r>
      <w:hyperlink r:id="rId49" w:history="1">
        <w:r w:rsidRPr="00B6447A">
          <w:rPr>
            <w:rFonts w:ascii="Times New Roman" w:hAnsi="Times New Roman"/>
            <w:color w:val="000000"/>
            <w:sz w:val="24"/>
            <w:szCs w:val="24"/>
            <w:lang w:val="en-US"/>
          </w:rPr>
          <w:t>The European Space Agency's Earth Explorer Mission CryoSat: Measuring Variability in the Cryosphere.</w:t>
        </w:r>
      </w:hyperlink>
      <w:r w:rsidRPr="00B6447A">
        <w:rPr>
          <w:rFonts w:ascii="Times New Roman" w:hAnsi="Times New Roman"/>
          <w:color w:val="000000"/>
          <w:sz w:val="24"/>
          <w:szCs w:val="24"/>
          <w:lang w:val="en-US"/>
        </w:rPr>
        <w:t xml:space="preserve"> </w:t>
      </w:r>
      <w:r w:rsidRPr="00B9152C">
        <w:rPr>
          <w:rFonts w:ascii="Times New Roman" w:hAnsi="Times New Roman"/>
          <w:color w:val="000000"/>
          <w:sz w:val="24"/>
          <w:szCs w:val="24"/>
          <w:lang w:val="en-US"/>
        </w:rPr>
        <w:t>Annals of Glaciology, 39, 313-320.</w:t>
      </w:r>
    </w:p>
    <w:p w14:paraId="7562A6C5" w14:textId="7428BE5E" w:rsidR="00830425" w:rsidRPr="00B9152C" w:rsidRDefault="00830425" w:rsidP="00A42484">
      <w:pPr>
        <w:widowControl w:val="0"/>
        <w:autoSpaceDE w:val="0"/>
        <w:autoSpaceDN w:val="0"/>
        <w:adjustRightInd w:val="0"/>
        <w:spacing w:after="0" w:line="480" w:lineRule="auto"/>
        <w:ind w:left="709" w:hanging="709"/>
        <w:rPr>
          <w:rFonts w:ascii="Times New Roman" w:hAnsi="Times New Roman"/>
          <w:color w:val="000000"/>
          <w:sz w:val="24"/>
          <w:szCs w:val="24"/>
          <w:lang w:val="en-US"/>
        </w:rPr>
      </w:pPr>
      <w:r>
        <w:rPr>
          <w:rFonts w:ascii="Times New Roman" w:hAnsi="Times New Roman"/>
          <w:color w:val="000000"/>
          <w:sz w:val="24"/>
          <w:szCs w:val="24"/>
          <w:lang w:val="en-US"/>
        </w:rPr>
        <w:t>Faug</w:t>
      </w:r>
      <w:r w:rsidRPr="00E8311D">
        <w:rPr>
          <w:rFonts w:ascii="Times New Roman" w:hAnsi="Times New Roman"/>
          <w:bCs/>
          <w:color w:val="1C1C1C"/>
          <w:sz w:val="24"/>
          <w:szCs w:val="24"/>
          <w:lang w:val="en-US"/>
        </w:rPr>
        <w:t>è</w:t>
      </w:r>
      <w:r w:rsidRPr="00B9152C">
        <w:rPr>
          <w:rFonts w:ascii="Times New Roman" w:hAnsi="Times New Roman"/>
          <w:color w:val="000000"/>
          <w:sz w:val="24"/>
          <w:szCs w:val="24"/>
          <w:lang w:val="en-US"/>
        </w:rPr>
        <w:t>re, Y., Dorandeu,</w:t>
      </w:r>
      <w:r w:rsidR="00507F7A">
        <w:rPr>
          <w:rFonts w:ascii="Times New Roman" w:hAnsi="Times New Roman"/>
          <w:color w:val="000000"/>
          <w:sz w:val="24"/>
          <w:szCs w:val="24"/>
          <w:lang w:val="en-US"/>
        </w:rPr>
        <w:t xml:space="preserve"> J.,</w:t>
      </w:r>
      <w:r w:rsidRPr="00B9152C">
        <w:rPr>
          <w:rFonts w:ascii="Times New Roman" w:hAnsi="Times New Roman"/>
          <w:color w:val="000000"/>
          <w:sz w:val="24"/>
          <w:szCs w:val="24"/>
          <w:lang w:val="en-US"/>
        </w:rPr>
        <w:t xml:space="preserve"> Lefevre,</w:t>
      </w:r>
      <w:r w:rsidR="00507F7A">
        <w:rPr>
          <w:rFonts w:ascii="Times New Roman" w:hAnsi="Times New Roman"/>
          <w:color w:val="000000"/>
          <w:sz w:val="24"/>
          <w:szCs w:val="24"/>
          <w:lang w:val="en-US"/>
        </w:rPr>
        <w:t xml:space="preserve"> F.,</w:t>
      </w:r>
      <w:r w:rsidRPr="00B9152C">
        <w:rPr>
          <w:rFonts w:ascii="Times New Roman" w:hAnsi="Times New Roman"/>
          <w:color w:val="000000"/>
          <w:sz w:val="24"/>
          <w:szCs w:val="24"/>
          <w:lang w:val="en-US"/>
        </w:rPr>
        <w:t xml:space="preserve"> Picot,</w:t>
      </w:r>
      <w:r w:rsidR="00507F7A">
        <w:rPr>
          <w:rFonts w:ascii="Times New Roman" w:hAnsi="Times New Roman"/>
          <w:color w:val="000000"/>
          <w:sz w:val="24"/>
          <w:szCs w:val="24"/>
          <w:lang w:val="en-US"/>
        </w:rPr>
        <w:t xml:space="preserve"> N.,</w:t>
      </w:r>
      <w:r w:rsidRPr="00B9152C">
        <w:rPr>
          <w:rFonts w:ascii="Times New Roman" w:hAnsi="Times New Roman"/>
          <w:color w:val="000000"/>
          <w:sz w:val="24"/>
          <w:szCs w:val="24"/>
          <w:lang w:val="en-US"/>
        </w:rPr>
        <w:t xml:space="preserve"> Femenias,</w:t>
      </w:r>
      <w:r w:rsidR="00507F7A">
        <w:rPr>
          <w:rFonts w:ascii="Times New Roman" w:hAnsi="Times New Roman"/>
          <w:color w:val="000000"/>
          <w:sz w:val="24"/>
          <w:szCs w:val="24"/>
          <w:lang w:val="en-US"/>
        </w:rPr>
        <w:t xml:space="preserve"> P.,</w:t>
      </w:r>
      <w:r>
        <w:rPr>
          <w:rFonts w:ascii="Times New Roman" w:hAnsi="Times New Roman"/>
          <w:color w:val="000000"/>
          <w:sz w:val="24"/>
          <w:szCs w:val="24"/>
          <w:lang w:val="en-US"/>
        </w:rPr>
        <w:t xml:space="preserve"> 2006.</w:t>
      </w:r>
      <w:r w:rsidRPr="00B9152C">
        <w:rPr>
          <w:rFonts w:ascii="Times New Roman" w:hAnsi="Times New Roman"/>
          <w:color w:val="000000"/>
          <w:sz w:val="24"/>
          <w:szCs w:val="24"/>
          <w:lang w:val="en-US"/>
        </w:rPr>
        <w:t xml:space="preserve"> Envisat ocean altimetry performance assessment and</w:t>
      </w:r>
      <w:r>
        <w:rPr>
          <w:rFonts w:ascii="Times New Roman" w:hAnsi="Times New Roman"/>
          <w:color w:val="000000"/>
          <w:sz w:val="24"/>
          <w:szCs w:val="24"/>
          <w:lang w:val="en-US"/>
        </w:rPr>
        <w:t xml:space="preserve"> </w:t>
      </w:r>
      <w:r w:rsidRPr="00B9152C">
        <w:rPr>
          <w:rFonts w:ascii="Times New Roman" w:hAnsi="Times New Roman"/>
          <w:color w:val="000000"/>
          <w:sz w:val="24"/>
          <w:szCs w:val="24"/>
          <w:lang w:val="en-US"/>
        </w:rPr>
        <w:t>cross-calibration. Sensors, 6, 100–130, doi:</w:t>
      </w:r>
      <w:r w:rsidRPr="00E8311D">
        <w:rPr>
          <w:rFonts w:ascii="Times New Roman" w:hAnsi="Times New Roman"/>
          <w:color w:val="000000"/>
          <w:sz w:val="24"/>
          <w:szCs w:val="24"/>
          <w:lang w:val="en-US"/>
        </w:rPr>
        <w:t>10.3390/s6030100.</w:t>
      </w:r>
    </w:p>
    <w:p w14:paraId="64A4D9E9" w14:textId="4B600969" w:rsidR="00830425" w:rsidRDefault="00830425" w:rsidP="00A42484">
      <w:pPr>
        <w:spacing w:after="240" w:line="480" w:lineRule="auto"/>
        <w:ind w:left="709" w:hanging="709"/>
        <w:rPr>
          <w:rFonts w:ascii="Times New Roman" w:hAnsi="Times New Roman" w:cs="Arial"/>
          <w:color w:val="232323"/>
          <w:sz w:val="24"/>
          <w:szCs w:val="24"/>
          <w:lang w:val="en-US"/>
        </w:rPr>
      </w:pPr>
      <w:r w:rsidRPr="0031283D">
        <w:rPr>
          <w:rFonts w:ascii="Times New Roman" w:hAnsi="Times New Roman" w:cs="Arial"/>
          <w:color w:val="000000"/>
          <w:sz w:val="24"/>
          <w:szCs w:val="24"/>
          <w:lang w:val="en-US"/>
        </w:rPr>
        <w:t>Fenoglio-Marc, L., Dinardo,</w:t>
      </w:r>
      <w:r w:rsidR="008E064D">
        <w:rPr>
          <w:rFonts w:ascii="Times New Roman" w:hAnsi="Times New Roman" w:cs="Arial"/>
          <w:color w:val="000000"/>
          <w:sz w:val="24"/>
          <w:szCs w:val="24"/>
          <w:lang w:val="en-US"/>
        </w:rPr>
        <w:t xml:space="preserve"> S.,</w:t>
      </w:r>
      <w:r w:rsidRPr="0031283D">
        <w:rPr>
          <w:rFonts w:ascii="Times New Roman" w:hAnsi="Times New Roman" w:cs="Arial"/>
          <w:color w:val="000000"/>
          <w:sz w:val="24"/>
          <w:szCs w:val="24"/>
          <w:lang w:val="en-US"/>
        </w:rPr>
        <w:t xml:space="preserve"> Scharroo,</w:t>
      </w:r>
      <w:r w:rsidR="008E064D">
        <w:rPr>
          <w:rFonts w:ascii="Times New Roman" w:hAnsi="Times New Roman" w:cs="Arial"/>
          <w:color w:val="000000"/>
          <w:sz w:val="24"/>
          <w:szCs w:val="24"/>
          <w:lang w:val="en-US"/>
        </w:rPr>
        <w:t xml:space="preserve"> R.,</w:t>
      </w:r>
      <w:r w:rsidRPr="0031283D">
        <w:rPr>
          <w:rFonts w:ascii="Times New Roman" w:hAnsi="Times New Roman" w:cs="Arial"/>
          <w:color w:val="000000"/>
          <w:sz w:val="24"/>
          <w:szCs w:val="24"/>
          <w:lang w:val="en-US"/>
        </w:rPr>
        <w:t xml:space="preserve"> Roland,</w:t>
      </w:r>
      <w:r w:rsidR="008E064D">
        <w:rPr>
          <w:rFonts w:ascii="Times New Roman" w:hAnsi="Times New Roman" w:cs="Arial"/>
          <w:color w:val="000000"/>
          <w:sz w:val="24"/>
          <w:szCs w:val="24"/>
          <w:lang w:val="en-US"/>
        </w:rPr>
        <w:t xml:space="preserve"> A.,</w:t>
      </w:r>
      <w:r w:rsidRPr="0031283D">
        <w:rPr>
          <w:rFonts w:ascii="Times New Roman" w:hAnsi="Times New Roman" w:cs="Arial"/>
          <w:color w:val="000000"/>
          <w:sz w:val="24"/>
          <w:szCs w:val="24"/>
          <w:lang w:val="en-US"/>
        </w:rPr>
        <w:t xml:space="preserve"> Dutour Sikiric,</w:t>
      </w:r>
      <w:r w:rsidR="008E064D">
        <w:rPr>
          <w:rFonts w:ascii="Times New Roman" w:hAnsi="Times New Roman" w:cs="Arial"/>
          <w:color w:val="000000"/>
          <w:sz w:val="24"/>
          <w:szCs w:val="24"/>
          <w:lang w:val="en-US"/>
        </w:rPr>
        <w:t xml:space="preserve"> M.,</w:t>
      </w:r>
      <w:r w:rsidRPr="0031283D">
        <w:rPr>
          <w:rFonts w:ascii="Times New Roman" w:hAnsi="Times New Roman" w:cs="Arial"/>
          <w:color w:val="000000"/>
          <w:sz w:val="24"/>
          <w:szCs w:val="24"/>
          <w:lang w:val="en-US"/>
        </w:rPr>
        <w:t xml:space="preserve"> Lucas,</w:t>
      </w:r>
      <w:r w:rsidR="008E064D">
        <w:rPr>
          <w:rFonts w:ascii="Times New Roman" w:hAnsi="Times New Roman" w:cs="Arial"/>
          <w:color w:val="000000"/>
          <w:sz w:val="24"/>
          <w:szCs w:val="24"/>
          <w:lang w:val="en-US"/>
        </w:rPr>
        <w:t xml:space="preserve"> B.,</w:t>
      </w:r>
      <w:r w:rsidRPr="0031283D">
        <w:rPr>
          <w:rFonts w:ascii="Times New Roman" w:hAnsi="Times New Roman" w:cs="Arial"/>
          <w:color w:val="000000"/>
          <w:sz w:val="24"/>
          <w:szCs w:val="24"/>
          <w:lang w:val="en-US"/>
        </w:rPr>
        <w:t xml:space="preserve"> Becker,</w:t>
      </w:r>
      <w:r w:rsidR="008E064D">
        <w:rPr>
          <w:rFonts w:ascii="Times New Roman" w:hAnsi="Times New Roman" w:cs="Arial"/>
          <w:color w:val="000000"/>
          <w:sz w:val="24"/>
          <w:szCs w:val="24"/>
          <w:lang w:val="en-US"/>
        </w:rPr>
        <w:t xml:space="preserve"> M.,</w:t>
      </w:r>
      <w:r w:rsidRPr="0031283D">
        <w:rPr>
          <w:rFonts w:ascii="Times New Roman" w:hAnsi="Times New Roman" w:cs="Arial"/>
          <w:color w:val="000000"/>
          <w:sz w:val="24"/>
          <w:szCs w:val="24"/>
          <w:lang w:val="en-US"/>
        </w:rPr>
        <w:t xml:space="preserve"> Benveniste,</w:t>
      </w:r>
      <w:r w:rsidR="008E064D">
        <w:rPr>
          <w:rFonts w:ascii="Times New Roman" w:hAnsi="Times New Roman" w:cs="Arial"/>
          <w:color w:val="000000"/>
          <w:sz w:val="24"/>
          <w:szCs w:val="24"/>
          <w:lang w:val="en-US"/>
        </w:rPr>
        <w:t xml:space="preserve"> J.,</w:t>
      </w:r>
      <w:r w:rsidRPr="0031283D">
        <w:rPr>
          <w:rFonts w:ascii="Times New Roman" w:hAnsi="Times New Roman" w:cs="Arial"/>
          <w:color w:val="000000"/>
          <w:sz w:val="24"/>
          <w:szCs w:val="24"/>
          <w:lang w:val="en-US"/>
        </w:rPr>
        <w:t xml:space="preserve"> Weiss</w:t>
      </w:r>
      <w:r>
        <w:rPr>
          <w:rFonts w:ascii="Times New Roman" w:hAnsi="Times New Roman" w:cs="Arial"/>
          <w:color w:val="000000"/>
          <w:sz w:val="24"/>
          <w:szCs w:val="24"/>
          <w:lang w:val="en-US"/>
        </w:rPr>
        <w:t>,</w:t>
      </w:r>
      <w:r w:rsidR="008E064D">
        <w:rPr>
          <w:rFonts w:ascii="Times New Roman" w:hAnsi="Times New Roman" w:cs="Arial"/>
          <w:color w:val="000000"/>
          <w:sz w:val="24"/>
          <w:szCs w:val="24"/>
          <w:lang w:val="en-US"/>
        </w:rPr>
        <w:t xml:space="preserve"> R.,</w:t>
      </w:r>
      <w:r>
        <w:rPr>
          <w:rFonts w:ascii="Times New Roman" w:hAnsi="Times New Roman" w:cs="Arial"/>
          <w:color w:val="000000"/>
          <w:sz w:val="24"/>
          <w:szCs w:val="24"/>
          <w:lang w:val="en-US"/>
        </w:rPr>
        <w:t xml:space="preserve"> 2015. </w:t>
      </w:r>
      <w:r w:rsidRPr="005E6B62">
        <w:rPr>
          <w:rFonts w:ascii="Times New Roman" w:hAnsi="Times New Roman" w:cs="Arial"/>
          <w:color w:val="232323"/>
          <w:sz w:val="24"/>
          <w:szCs w:val="24"/>
          <w:lang w:val="en-US"/>
        </w:rPr>
        <w:t>The German Bight: A validation of CryoSat-2 altimeter data in SAR mode</w:t>
      </w:r>
      <w:r w:rsidR="008E064D">
        <w:rPr>
          <w:rFonts w:ascii="Times New Roman" w:hAnsi="Times New Roman" w:cs="Arial"/>
          <w:color w:val="232323"/>
          <w:sz w:val="24"/>
          <w:szCs w:val="24"/>
          <w:lang w:val="en-US"/>
        </w:rPr>
        <w:t>.</w:t>
      </w:r>
      <w:r>
        <w:rPr>
          <w:rFonts w:ascii="Times New Roman" w:hAnsi="Times New Roman" w:cs="Arial"/>
          <w:color w:val="232323"/>
          <w:sz w:val="24"/>
          <w:szCs w:val="24"/>
          <w:lang w:val="en-US"/>
        </w:rPr>
        <w:t xml:space="preserve"> Advances in Space Research, 55, 1641-2656.</w:t>
      </w:r>
    </w:p>
    <w:p w14:paraId="2348B3B6" w14:textId="3E55D2D1" w:rsidR="00830425" w:rsidRDefault="00830425" w:rsidP="00CC2A60">
      <w:pPr>
        <w:spacing w:after="240" w:line="480" w:lineRule="auto"/>
        <w:ind w:left="709" w:hanging="709"/>
        <w:rPr>
          <w:rFonts w:ascii="Times New Roman" w:hAnsi="Times New Roman"/>
          <w:color w:val="000000"/>
          <w:sz w:val="24"/>
          <w:szCs w:val="24"/>
          <w:lang w:val="en-US"/>
        </w:rPr>
      </w:pPr>
      <w:r w:rsidRPr="00CC2A60">
        <w:rPr>
          <w:rFonts w:ascii="Times New Roman" w:hAnsi="Times New Roman"/>
          <w:color w:val="000000"/>
          <w:sz w:val="24"/>
          <w:szCs w:val="24"/>
          <w:lang w:val="en-US"/>
        </w:rPr>
        <w:t>Garcia, E.S., Sandwell, D.T., Smith, W.H.F., 2014. Retracking CryoSat-2, Envisat, and Jason-1</w:t>
      </w:r>
      <w:r>
        <w:rPr>
          <w:rFonts w:ascii="Times New Roman" w:hAnsi="Times New Roman"/>
          <w:color w:val="000000"/>
          <w:sz w:val="24"/>
          <w:szCs w:val="24"/>
          <w:lang w:val="en-US"/>
        </w:rPr>
        <w:t xml:space="preserve"> </w:t>
      </w:r>
      <w:r w:rsidRPr="00CC2A60">
        <w:rPr>
          <w:rFonts w:ascii="Times New Roman" w:hAnsi="Times New Roman"/>
          <w:color w:val="000000"/>
          <w:sz w:val="24"/>
          <w:szCs w:val="24"/>
          <w:lang w:val="en-US"/>
        </w:rPr>
        <w:t>radar altimetry waveforms for improved gravity fiel</w:t>
      </w:r>
      <w:r>
        <w:rPr>
          <w:rFonts w:ascii="Times New Roman" w:hAnsi="Times New Roman"/>
          <w:color w:val="000000"/>
          <w:sz w:val="24"/>
          <w:szCs w:val="24"/>
          <w:lang w:val="en-US"/>
        </w:rPr>
        <w:t>d recovery</w:t>
      </w:r>
      <w:r w:rsidR="008E064D">
        <w:rPr>
          <w:rFonts w:ascii="Times New Roman" w:hAnsi="Times New Roman"/>
          <w:color w:val="000000"/>
          <w:sz w:val="24"/>
          <w:szCs w:val="24"/>
          <w:lang w:val="en-US"/>
        </w:rPr>
        <w:t>.</w:t>
      </w:r>
      <w:r>
        <w:rPr>
          <w:rFonts w:ascii="Times New Roman" w:hAnsi="Times New Roman"/>
          <w:color w:val="000000"/>
          <w:sz w:val="24"/>
          <w:szCs w:val="24"/>
          <w:lang w:val="en-US"/>
        </w:rPr>
        <w:t xml:space="preserve"> Geophysical Journal </w:t>
      </w:r>
      <w:r w:rsidRPr="00CC2A60">
        <w:rPr>
          <w:rFonts w:ascii="Times New Roman" w:hAnsi="Times New Roman"/>
          <w:color w:val="000000"/>
          <w:sz w:val="24"/>
          <w:szCs w:val="24"/>
          <w:lang w:val="en-US"/>
        </w:rPr>
        <w:t>International,</w:t>
      </w:r>
      <w:r>
        <w:rPr>
          <w:rFonts w:ascii="Times New Roman" w:hAnsi="Times New Roman"/>
          <w:color w:val="000000"/>
          <w:sz w:val="24"/>
          <w:szCs w:val="24"/>
          <w:lang w:val="en-US"/>
        </w:rPr>
        <w:t xml:space="preserve"> </w:t>
      </w:r>
      <w:r w:rsidRPr="00CC2A60">
        <w:rPr>
          <w:rFonts w:ascii="Times New Roman" w:hAnsi="Times New Roman"/>
          <w:color w:val="000000"/>
          <w:sz w:val="24"/>
          <w:szCs w:val="24"/>
          <w:lang w:val="en-US"/>
        </w:rPr>
        <w:t>196(3): 1402-1422.</w:t>
      </w:r>
    </w:p>
    <w:p w14:paraId="37230E75" w14:textId="3A8BC736" w:rsidR="008F5D8E" w:rsidRPr="00CC2A60" w:rsidRDefault="008F5D8E" w:rsidP="00CC2A60">
      <w:pPr>
        <w:spacing w:after="240" w:line="480" w:lineRule="auto"/>
        <w:ind w:left="709" w:hanging="709"/>
        <w:rPr>
          <w:rFonts w:ascii="Times New Roman" w:hAnsi="Times New Roman"/>
          <w:color w:val="000000"/>
          <w:sz w:val="24"/>
          <w:szCs w:val="24"/>
          <w:lang w:val="en-US"/>
        </w:rPr>
      </w:pPr>
      <w:r w:rsidRPr="008F5D8E">
        <w:rPr>
          <w:rFonts w:ascii="Times New Roman" w:hAnsi="Times New Roman"/>
          <w:color w:val="000000"/>
          <w:sz w:val="24"/>
          <w:szCs w:val="24"/>
          <w:lang w:val="en-US"/>
        </w:rPr>
        <w:t>Gaspar, P., Florens,</w:t>
      </w:r>
      <w:r w:rsidR="001B6182">
        <w:rPr>
          <w:rFonts w:ascii="Times New Roman" w:hAnsi="Times New Roman"/>
          <w:color w:val="000000"/>
          <w:sz w:val="24"/>
          <w:szCs w:val="24"/>
          <w:lang w:val="en-US"/>
        </w:rPr>
        <w:t xml:space="preserve"> J.P.,</w:t>
      </w:r>
      <w:r w:rsidRPr="008F5D8E">
        <w:rPr>
          <w:rFonts w:ascii="Times New Roman" w:hAnsi="Times New Roman"/>
          <w:color w:val="000000"/>
          <w:sz w:val="24"/>
          <w:szCs w:val="24"/>
          <w:lang w:val="en-US"/>
        </w:rPr>
        <w:t xml:space="preserve"> 1998</w:t>
      </w:r>
      <w:r>
        <w:rPr>
          <w:rFonts w:ascii="Times New Roman" w:hAnsi="Times New Roman"/>
          <w:color w:val="000000"/>
          <w:sz w:val="24"/>
          <w:szCs w:val="24"/>
          <w:lang w:val="en-US"/>
        </w:rPr>
        <w:t>.</w:t>
      </w:r>
      <w:r w:rsidRPr="008F5D8E">
        <w:rPr>
          <w:rFonts w:ascii="Times New Roman" w:hAnsi="Times New Roman"/>
          <w:color w:val="000000"/>
          <w:sz w:val="24"/>
          <w:szCs w:val="24"/>
          <w:lang w:val="en-US"/>
        </w:rPr>
        <w:t xml:space="preserve"> Estimation of the sea state bias in radar altimeter measurements of sea level : Results from a new nonparametric method.</w:t>
      </w:r>
      <w:r w:rsidRPr="008F5D8E">
        <w:rPr>
          <w:rFonts w:ascii="Times New Roman" w:hAnsi="Times New Roman"/>
          <w:sz w:val="24"/>
          <w:szCs w:val="24"/>
          <w:lang w:val="en-US"/>
        </w:rPr>
        <w:t xml:space="preserve"> </w:t>
      </w:r>
      <w:r w:rsidRPr="0016303B">
        <w:rPr>
          <w:rFonts w:ascii="Times New Roman" w:hAnsi="Times New Roman"/>
          <w:sz w:val="24"/>
          <w:szCs w:val="24"/>
          <w:lang w:val="en-US"/>
        </w:rPr>
        <w:t>Journal of Geophysical Research: Oceans</w:t>
      </w:r>
      <w:r>
        <w:rPr>
          <w:rFonts w:ascii="Times New Roman" w:hAnsi="Times New Roman"/>
          <w:sz w:val="24"/>
          <w:szCs w:val="24"/>
          <w:lang w:val="en-US"/>
        </w:rPr>
        <w:t>,</w:t>
      </w:r>
      <w:r w:rsidRPr="008F5D8E">
        <w:rPr>
          <w:rFonts w:ascii="Times New Roman" w:hAnsi="Times New Roman"/>
          <w:color w:val="000000"/>
          <w:sz w:val="24"/>
          <w:szCs w:val="24"/>
          <w:lang w:val="en-US"/>
        </w:rPr>
        <w:t xml:space="preserve"> 103, NO. C8, 15803-15814.</w:t>
      </w:r>
    </w:p>
    <w:p w14:paraId="56EE60F7" w14:textId="154DD1E8" w:rsidR="00830425" w:rsidRPr="00F42A1F" w:rsidRDefault="00830425" w:rsidP="00A42484">
      <w:pPr>
        <w:spacing w:after="240" w:line="480" w:lineRule="auto"/>
        <w:ind w:left="709" w:hanging="709"/>
        <w:rPr>
          <w:rFonts w:ascii="Times New Roman" w:hAnsi="Times New Roman"/>
          <w:sz w:val="24"/>
          <w:szCs w:val="24"/>
          <w:lang w:val="en-US"/>
        </w:rPr>
      </w:pPr>
      <w:r w:rsidRPr="0016303B">
        <w:rPr>
          <w:rFonts w:ascii="Times New Roman" w:hAnsi="Times New Roman"/>
          <w:sz w:val="24"/>
          <w:szCs w:val="24"/>
          <w:lang w:val="en-US"/>
        </w:rPr>
        <w:t xml:space="preserve">Good, S. A., </w:t>
      </w:r>
      <w:r>
        <w:rPr>
          <w:rFonts w:ascii="Times New Roman" w:hAnsi="Times New Roman"/>
          <w:sz w:val="24"/>
          <w:szCs w:val="24"/>
          <w:lang w:val="en-US"/>
        </w:rPr>
        <w:t>Martin</w:t>
      </w:r>
      <w:r w:rsidR="001B6182">
        <w:rPr>
          <w:rFonts w:ascii="Times New Roman" w:hAnsi="Times New Roman"/>
          <w:sz w:val="24"/>
          <w:szCs w:val="24"/>
          <w:lang w:val="en-US"/>
        </w:rPr>
        <w:t>, M.J.,</w:t>
      </w:r>
      <w:r>
        <w:rPr>
          <w:rFonts w:ascii="Times New Roman" w:hAnsi="Times New Roman"/>
          <w:sz w:val="24"/>
          <w:szCs w:val="24"/>
          <w:lang w:val="en-US"/>
        </w:rPr>
        <w:t xml:space="preserve"> Rayner,</w:t>
      </w:r>
      <w:r w:rsidR="001B6182">
        <w:rPr>
          <w:rFonts w:ascii="Times New Roman" w:hAnsi="Times New Roman"/>
          <w:sz w:val="24"/>
          <w:szCs w:val="24"/>
          <w:lang w:val="en-US"/>
        </w:rPr>
        <w:t xml:space="preserve"> N.A.,</w:t>
      </w:r>
      <w:r>
        <w:rPr>
          <w:rFonts w:ascii="Times New Roman" w:hAnsi="Times New Roman"/>
          <w:sz w:val="24"/>
          <w:szCs w:val="24"/>
          <w:lang w:val="en-US"/>
        </w:rPr>
        <w:t xml:space="preserve"> 2013.</w:t>
      </w:r>
      <w:r w:rsidRPr="0016303B">
        <w:rPr>
          <w:rFonts w:ascii="Times New Roman" w:hAnsi="Times New Roman"/>
          <w:sz w:val="24"/>
          <w:szCs w:val="24"/>
          <w:lang w:val="en-US"/>
        </w:rPr>
        <w:t xml:space="preserve"> EN4: quality controlled ocean temperature and salinity profiles and monthly objective analyses with uncertainty estimates</w:t>
      </w:r>
      <w:r w:rsidR="001B6182">
        <w:rPr>
          <w:rFonts w:ascii="Times New Roman" w:hAnsi="Times New Roman"/>
          <w:sz w:val="24"/>
          <w:szCs w:val="24"/>
          <w:lang w:val="en-US"/>
        </w:rPr>
        <w:t>.</w:t>
      </w:r>
      <w:r w:rsidRPr="0016303B">
        <w:rPr>
          <w:rFonts w:ascii="Times New Roman" w:hAnsi="Times New Roman"/>
          <w:sz w:val="24"/>
          <w:szCs w:val="24"/>
          <w:lang w:val="en-US"/>
        </w:rPr>
        <w:t xml:space="preserve"> Journal of Geophysical Research: Oceans, 118, 6704-6716, </w:t>
      </w:r>
      <w:hyperlink r:id="rId50" w:history="1">
        <w:r w:rsidRPr="00F42A1F">
          <w:rPr>
            <w:rFonts w:ascii="Times New Roman" w:hAnsi="Times New Roman"/>
            <w:sz w:val="24"/>
            <w:szCs w:val="24"/>
            <w:lang w:val="en-US"/>
          </w:rPr>
          <w:t>doi:10.1002/2013JC009067</w:t>
        </w:r>
      </w:hyperlink>
    </w:p>
    <w:p w14:paraId="120AC1FE" w14:textId="013CBCC8" w:rsidR="00830425" w:rsidRPr="00BD2140" w:rsidRDefault="00830425" w:rsidP="00A42484">
      <w:pPr>
        <w:pStyle w:val="Pa14"/>
        <w:spacing w:after="240" w:line="480" w:lineRule="auto"/>
        <w:ind w:left="709" w:hanging="709"/>
        <w:jc w:val="both"/>
        <w:rPr>
          <w:rFonts w:ascii="Times New Roman" w:hAnsi="Times New Roman"/>
          <w:color w:val="000000"/>
          <w:lang w:val="fr-FR"/>
        </w:rPr>
      </w:pPr>
      <w:r w:rsidRPr="00F42A1F">
        <w:rPr>
          <w:rFonts w:ascii="Times New Roman" w:hAnsi="Times New Roman"/>
          <w:color w:val="000000"/>
        </w:rPr>
        <w:t>Guinehut S.,</w:t>
      </w:r>
      <w:r w:rsidR="001B6182">
        <w:rPr>
          <w:rFonts w:ascii="Times New Roman" w:hAnsi="Times New Roman"/>
          <w:color w:val="000000"/>
        </w:rPr>
        <w:t xml:space="preserve"> </w:t>
      </w:r>
      <w:r>
        <w:rPr>
          <w:rFonts w:ascii="Times New Roman" w:hAnsi="Times New Roman"/>
          <w:color w:val="000000"/>
        </w:rPr>
        <w:t>Le Traon</w:t>
      </w:r>
      <w:r w:rsidRPr="00F42A1F">
        <w:rPr>
          <w:rFonts w:ascii="Times New Roman" w:hAnsi="Times New Roman"/>
          <w:color w:val="000000"/>
        </w:rPr>
        <w:t>,</w:t>
      </w:r>
      <w:r w:rsidR="001B6182">
        <w:rPr>
          <w:rFonts w:ascii="Times New Roman" w:hAnsi="Times New Roman"/>
          <w:color w:val="000000"/>
        </w:rPr>
        <w:t xml:space="preserve"> P.-Y.,</w:t>
      </w:r>
      <w:r>
        <w:rPr>
          <w:rFonts w:ascii="Times New Roman" w:hAnsi="Times New Roman"/>
          <w:color w:val="000000"/>
        </w:rPr>
        <w:t xml:space="preserve"> Larnicol,</w:t>
      </w:r>
      <w:r w:rsidR="001B6182">
        <w:rPr>
          <w:rFonts w:ascii="Times New Roman" w:hAnsi="Times New Roman"/>
          <w:color w:val="000000"/>
        </w:rPr>
        <w:t xml:space="preserve"> G.,</w:t>
      </w:r>
      <w:r w:rsidRPr="00F42A1F">
        <w:rPr>
          <w:rFonts w:ascii="Times New Roman" w:hAnsi="Times New Roman"/>
          <w:color w:val="000000"/>
        </w:rPr>
        <w:t xml:space="preserve"> 2006. What can we learn from Global Altimetry/Hydrography comparisons? </w:t>
      </w:r>
      <w:r w:rsidRPr="00BD2140">
        <w:rPr>
          <w:rFonts w:ascii="Times New Roman" w:hAnsi="Times New Roman"/>
          <w:iCs/>
          <w:color w:val="000000"/>
          <w:lang w:val="fr-FR"/>
        </w:rPr>
        <w:t>Geophys. Res. Lett.</w:t>
      </w:r>
      <w:r w:rsidRPr="00BD2140">
        <w:rPr>
          <w:rFonts w:ascii="Times New Roman" w:hAnsi="Times New Roman"/>
          <w:i/>
          <w:iCs/>
          <w:color w:val="000000"/>
          <w:lang w:val="fr-FR"/>
        </w:rPr>
        <w:t xml:space="preserve"> </w:t>
      </w:r>
      <w:r w:rsidRPr="00BD2140">
        <w:rPr>
          <w:rFonts w:ascii="Times New Roman" w:hAnsi="Times New Roman"/>
          <w:color w:val="000000"/>
          <w:lang w:val="fr-FR"/>
        </w:rPr>
        <w:t>33: L10604.</w:t>
      </w:r>
    </w:p>
    <w:p w14:paraId="41C0F415" w14:textId="7E658744" w:rsidR="00830425" w:rsidRPr="00BD2140" w:rsidRDefault="00830425" w:rsidP="00A42484">
      <w:pPr>
        <w:spacing w:after="240" w:line="480" w:lineRule="auto"/>
        <w:ind w:left="709" w:hanging="709"/>
        <w:rPr>
          <w:rFonts w:ascii="Times New Roman" w:hAnsi="Times New Roman"/>
          <w:color w:val="000000"/>
          <w:sz w:val="24"/>
          <w:szCs w:val="24"/>
          <w:lang w:val="en-GB"/>
        </w:rPr>
      </w:pPr>
      <w:r w:rsidRPr="00BD2140">
        <w:rPr>
          <w:rFonts w:ascii="Times New Roman" w:hAnsi="Times New Roman"/>
          <w:color w:val="000000"/>
          <w:sz w:val="24"/>
          <w:szCs w:val="24"/>
          <w:lang w:val="fr-FR"/>
        </w:rPr>
        <w:lastRenderedPageBreak/>
        <w:t>Guinehut S., Coatanoan,</w:t>
      </w:r>
      <w:r w:rsidR="001B6182">
        <w:rPr>
          <w:rFonts w:ascii="Times New Roman" w:hAnsi="Times New Roman"/>
          <w:color w:val="000000"/>
          <w:sz w:val="24"/>
          <w:szCs w:val="24"/>
          <w:lang w:val="fr-FR"/>
        </w:rPr>
        <w:t xml:space="preserve"> C.,</w:t>
      </w:r>
      <w:r w:rsidRPr="00BD2140">
        <w:rPr>
          <w:rFonts w:ascii="Times New Roman" w:hAnsi="Times New Roman"/>
          <w:color w:val="000000"/>
          <w:sz w:val="24"/>
          <w:szCs w:val="24"/>
          <w:lang w:val="fr-FR"/>
        </w:rPr>
        <w:t xml:space="preserve"> Dhomps,</w:t>
      </w:r>
      <w:r w:rsidR="001B6182">
        <w:rPr>
          <w:rFonts w:ascii="Times New Roman" w:hAnsi="Times New Roman"/>
          <w:color w:val="000000"/>
          <w:sz w:val="24"/>
          <w:szCs w:val="24"/>
          <w:lang w:val="fr-FR"/>
        </w:rPr>
        <w:t xml:space="preserve"> A.L.,</w:t>
      </w:r>
      <w:r w:rsidRPr="00BD2140">
        <w:rPr>
          <w:rFonts w:ascii="Times New Roman" w:hAnsi="Times New Roman"/>
          <w:color w:val="000000"/>
          <w:sz w:val="24"/>
          <w:szCs w:val="24"/>
          <w:lang w:val="fr-FR"/>
        </w:rPr>
        <w:t xml:space="preserve"> Le Traon,</w:t>
      </w:r>
      <w:r w:rsidR="001B6182">
        <w:rPr>
          <w:rFonts w:ascii="Times New Roman" w:hAnsi="Times New Roman"/>
          <w:color w:val="000000"/>
          <w:sz w:val="24"/>
          <w:szCs w:val="24"/>
          <w:lang w:val="fr-FR"/>
        </w:rPr>
        <w:t xml:space="preserve"> P.-Y.,</w:t>
      </w:r>
      <w:r w:rsidRPr="00BD2140">
        <w:rPr>
          <w:rFonts w:ascii="Times New Roman" w:hAnsi="Times New Roman"/>
          <w:color w:val="000000"/>
          <w:sz w:val="24"/>
          <w:szCs w:val="24"/>
          <w:lang w:val="fr-FR"/>
        </w:rPr>
        <w:t xml:space="preserve"> Larnicol, </w:t>
      </w:r>
      <w:r w:rsidR="001B6182">
        <w:rPr>
          <w:rFonts w:ascii="Times New Roman" w:hAnsi="Times New Roman"/>
          <w:color w:val="000000"/>
          <w:sz w:val="24"/>
          <w:szCs w:val="24"/>
          <w:lang w:val="fr-FR"/>
        </w:rPr>
        <w:t xml:space="preserve">G., </w:t>
      </w:r>
      <w:r w:rsidRPr="00BD2140">
        <w:rPr>
          <w:rFonts w:ascii="Times New Roman" w:hAnsi="Times New Roman"/>
          <w:color w:val="000000"/>
          <w:sz w:val="24"/>
          <w:szCs w:val="24"/>
          <w:lang w:val="fr-FR"/>
        </w:rPr>
        <w:t xml:space="preserve">2009. </w:t>
      </w:r>
      <w:r w:rsidRPr="00BD2140">
        <w:rPr>
          <w:rFonts w:ascii="Times New Roman" w:hAnsi="Times New Roman"/>
          <w:color w:val="000000"/>
          <w:sz w:val="24"/>
          <w:szCs w:val="24"/>
          <w:lang w:val="en-GB"/>
        </w:rPr>
        <w:t xml:space="preserve">On the use of satellite altimeter data in Argo quality control. </w:t>
      </w:r>
      <w:r w:rsidRPr="00BD2140">
        <w:rPr>
          <w:rFonts w:ascii="Times New Roman" w:hAnsi="Times New Roman"/>
          <w:iCs/>
          <w:color w:val="000000"/>
          <w:sz w:val="24"/>
          <w:szCs w:val="24"/>
          <w:lang w:val="en-GB"/>
        </w:rPr>
        <w:t>J. Atmos. Oceanic Technol.</w:t>
      </w:r>
      <w:r w:rsidRPr="00BD2140">
        <w:rPr>
          <w:rFonts w:ascii="Times New Roman" w:hAnsi="Times New Roman"/>
          <w:i/>
          <w:iCs/>
          <w:color w:val="000000"/>
          <w:sz w:val="24"/>
          <w:szCs w:val="24"/>
          <w:lang w:val="en-GB"/>
        </w:rPr>
        <w:t xml:space="preserve"> </w:t>
      </w:r>
      <w:r w:rsidRPr="00BD2140">
        <w:rPr>
          <w:rFonts w:ascii="Times New Roman" w:hAnsi="Times New Roman"/>
          <w:color w:val="000000"/>
          <w:sz w:val="24"/>
          <w:szCs w:val="24"/>
          <w:lang w:val="en-GB"/>
        </w:rPr>
        <w:t>26: 395-402.</w:t>
      </w:r>
    </w:p>
    <w:p w14:paraId="2260960F" w14:textId="1803408E" w:rsidR="00830425" w:rsidRPr="00BD2140" w:rsidRDefault="00830425" w:rsidP="00A42484">
      <w:pPr>
        <w:spacing w:after="240" w:line="480" w:lineRule="auto"/>
        <w:ind w:left="709" w:hanging="709"/>
        <w:rPr>
          <w:rFonts w:ascii="Times New Roman" w:hAnsi="Times New Roman"/>
          <w:color w:val="000000"/>
          <w:sz w:val="24"/>
          <w:szCs w:val="24"/>
          <w:lang w:val="en-GB"/>
        </w:rPr>
      </w:pPr>
      <w:r>
        <w:rPr>
          <w:rFonts w:ascii="Times New Roman" w:hAnsi="Times New Roman"/>
          <w:color w:val="000000"/>
          <w:sz w:val="24"/>
          <w:szCs w:val="24"/>
          <w:lang w:val="en-US"/>
        </w:rPr>
        <w:t>Hall, M. M., 1989.</w:t>
      </w:r>
      <w:r w:rsidRPr="009F7BF5">
        <w:rPr>
          <w:rFonts w:ascii="Times New Roman" w:hAnsi="Times New Roman"/>
          <w:color w:val="000000"/>
          <w:sz w:val="24"/>
          <w:szCs w:val="24"/>
          <w:lang w:val="en-US"/>
        </w:rPr>
        <w:t xml:space="preserve"> Velocity and transport structure of the Kuroshio Extension at 35°N, 152°E</w:t>
      </w:r>
      <w:r w:rsidR="001B6182">
        <w:rPr>
          <w:rFonts w:ascii="Times New Roman" w:hAnsi="Times New Roman"/>
          <w:color w:val="000000"/>
          <w:sz w:val="24"/>
          <w:szCs w:val="24"/>
          <w:lang w:val="en-US"/>
        </w:rPr>
        <w:t>.</w:t>
      </w:r>
      <w:r w:rsidRPr="009F7BF5">
        <w:rPr>
          <w:rFonts w:ascii="Times New Roman" w:hAnsi="Times New Roman"/>
          <w:color w:val="000000"/>
          <w:sz w:val="24"/>
          <w:szCs w:val="24"/>
          <w:lang w:val="en-US"/>
        </w:rPr>
        <w:t xml:space="preserve"> J. Geophys. Res., 94(C10), 14445–14459, doi:</w:t>
      </w:r>
      <w:hyperlink r:id="rId51" w:history="1">
        <w:r w:rsidRPr="009F7BF5">
          <w:rPr>
            <w:rFonts w:ascii="Times New Roman" w:hAnsi="Times New Roman"/>
            <w:color w:val="000000"/>
            <w:sz w:val="24"/>
            <w:szCs w:val="24"/>
            <w:lang w:val="en-US"/>
          </w:rPr>
          <w:t>10.1029/JC094iC10p14445</w:t>
        </w:r>
      </w:hyperlink>
      <w:r w:rsidRPr="009F7BF5">
        <w:rPr>
          <w:rFonts w:ascii="Times New Roman" w:hAnsi="Times New Roman"/>
          <w:color w:val="000000"/>
          <w:sz w:val="24"/>
          <w:szCs w:val="24"/>
          <w:lang w:val="en-US"/>
        </w:rPr>
        <w:t>.</w:t>
      </w:r>
    </w:p>
    <w:p w14:paraId="5FB073AA" w14:textId="5EB92CC9" w:rsidR="00830425" w:rsidRDefault="00830425" w:rsidP="00A42484">
      <w:pPr>
        <w:spacing w:after="240" w:line="480" w:lineRule="auto"/>
        <w:ind w:left="709" w:hanging="709"/>
        <w:rPr>
          <w:rFonts w:ascii="Times New Roman" w:hAnsi="Times New Roman"/>
          <w:sz w:val="24"/>
          <w:szCs w:val="24"/>
          <w:lang w:val="en-US"/>
        </w:rPr>
      </w:pPr>
      <w:r w:rsidRPr="00436877">
        <w:rPr>
          <w:rFonts w:ascii="Times New Roman" w:hAnsi="Times New Roman"/>
          <w:sz w:val="24"/>
          <w:szCs w:val="24"/>
          <w:lang w:val="en-US"/>
        </w:rPr>
        <w:t xml:space="preserve">Ivchenko, V.O., </w:t>
      </w:r>
      <w:r>
        <w:rPr>
          <w:rFonts w:ascii="Times New Roman" w:hAnsi="Times New Roman"/>
          <w:sz w:val="24"/>
          <w:szCs w:val="24"/>
          <w:lang w:val="en-US"/>
        </w:rPr>
        <w:t>Danilov</w:t>
      </w:r>
      <w:r w:rsidRPr="00436877">
        <w:rPr>
          <w:rFonts w:ascii="Times New Roman" w:hAnsi="Times New Roman"/>
          <w:sz w:val="24"/>
          <w:szCs w:val="24"/>
          <w:lang w:val="en-US"/>
        </w:rPr>
        <w:t>,</w:t>
      </w:r>
      <w:r w:rsidR="001B6182">
        <w:rPr>
          <w:rFonts w:ascii="Times New Roman" w:hAnsi="Times New Roman"/>
          <w:sz w:val="24"/>
          <w:szCs w:val="24"/>
          <w:lang w:val="en-US"/>
        </w:rPr>
        <w:t xml:space="preserve"> S.D.,</w:t>
      </w:r>
      <w:r>
        <w:rPr>
          <w:rFonts w:ascii="Times New Roman" w:hAnsi="Times New Roman"/>
          <w:sz w:val="24"/>
          <w:szCs w:val="24"/>
          <w:lang w:val="en-US"/>
        </w:rPr>
        <w:t xml:space="preserve"> Sidorenko</w:t>
      </w:r>
      <w:r w:rsidRPr="00436877">
        <w:rPr>
          <w:rFonts w:ascii="Times New Roman" w:hAnsi="Times New Roman"/>
          <w:sz w:val="24"/>
          <w:szCs w:val="24"/>
          <w:lang w:val="en-US"/>
        </w:rPr>
        <w:t>,</w:t>
      </w:r>
      <w:r w:rsidR="001B6182">
        <w:rPr>
          <w:rFonts w:ascii="Times New Roman" w:hAnsi="Times New Roman"/>
          <w:sz w:val="24"/>
          <w:szCs w:val="24"/>
          <w:lang w:val="en-US"/>
        </w:rPr>
        <w:t xml:space="preserve"> D.V.,</w:t>
      </w:r>
      <w:r>
        <w:rPr>
          <w:rFonts w:ascii="Times New Roman" w:hAnsi="Times New Roman"/>
          <w:sz w:val="24"/>
          <w:szCs w:val="24"/>
          <w:lang w:val="en-US"/>
        </w:rPr>
        <w:t xml:space="preserve"> Schroter</w:t>
      </w:r>
      <w:r w:rsidRPr="00436877">
        <w:rPr>
          <w:rFonts w:ascii="Times New Roman" w:hAnsi="Times New Roman"/>
          <w:sz w:val="24"/>
          <w:szCs w:val="24"/>
          <w:lang w:val="en-US"/>
        </w:rPr>
        <w:t>,</w:t>
      </w:r>
      <w:r w:rsidR="001B6182">
        <w:rPr>
          <w:rFonts w:ascii="Times New Roman" w:hAnsi="Times New Roman"/>
          <w:sz w:val="24"/>
          <w:szCs w:val="24"/>
          <w:lang w:val="en-US"/>
        </w:rPr>
        <w:t xml:space="preserve"> J.,</w:t>
      </w:r>
      <w:r>
        <w:rPr>
          <w:rFonts w:ascii="Times New Roman" w:hAnsi="Times New Roman"/>
          <w:sz w:val="24"/>
          <w:szCs w:val="24"/>
          <w:lang w:val="en-US"/>
        </w:rPr>
        <w:t xml:space="preserve"> </w:t>
      </w:r>
      <w:r w:rsidRPr="00436877">
        <w:rPr>
          <w:rFonts w:ascii="Times New Roman" w:hAnsi="Times New Roman"/>
          <w:sz w:val="24"/>
          <w:szCs w:val="24"/>
          <w:lang w:val="en-US"/>
        </w:rPr>
        <w:t>Wen</w:t>
      </w:r>
      <w:r>
        <w:rPr>
          <w:rFonts w:ascii="Times New Roman" w:hAnsi="Times New Roman"/>
          <w:sz w:val="24"/>
          <w:szCs w:val="24"/>
          <w:lang w:val="en-US"/>
        </w:rPr>
        <w:t>zel,</w:t>
      </w:r>
      <w:r w:rsidR="001B6182">
        <w:rPr>
          <w:rFonts w:ascii="Times New Roman" w:hAnsi="Times New Roman"/>
          <w:sz w:val="24"/>
          <w:szCs w:val="24"/>
          <w:lang w:val="en-US"/>
        </w:rPr>
        <w:t xml:space="preserve"> M.,</w:t>
      </w:r>
      <w:r>
        <w:rPr>
          <w:rFonts w:ascii="Times New Roman" w:hAnsi="Times New Roman"/>
          <w:sz w:val="24"/>
          <w:szCs w:val="24"/>
          <w:lang w:val="en-US"/>
        </w:rPr>
        <w:t xml:space="preserve"> Aleynik,</w:t>
      </w:r>
      <w:r w:rsidR="001B6182">
        <w:rPr>
          <w:rFonts w:ascii="Times New Roman" w:hAnsi="Times New Roman"/>
          <w:sz w:val="24"/>
          <w:szCs w:val="24"/>
          <w:lang w:val="en-US"/>
        </w:rPr>
        <w:t xml:space="preserve"> D.L.,</w:t>
      </w:r>
      <w:r>
        <w:rPr>
          <w:rFonts w:ascii="Times New Roman" w:hAnsi="Times New Roman"/>
          <w:sz w:val="24"/>
          <w:szCs w:val="24"/>
          <w:lang w:val="en-US"/>
        </w:rPr>
        <w:t xml:space="preserve"> 2007.</w:t>
      </w:r>
      <w:r w:rsidRPr="00436877">
        <w:rPr>
          <w:rFonts w:ascii="Times New Roman" w:hAnsi="Times New Roman"/>
          <w:sz w:val="24"/>
          <w:szCs w:val="24"/>
          <w:lang w:val="en-US"/>
        </w:rPr>
        <w:t xml:space="preserve"> Comparing the steric height in the northern Atlantic with satellite altimetry. </w:t>
      </w:r>
      <w:r w:rsidRPr="00436877">
        <w:rPr>
          <w:rFonts w:ascii="Times New Roman" w:hAnsi="Times New Roman"/>
          <w:iCs/>
          <w:sz w:val="24"/>
          <w:szCs w:val="24"/>
          <w:lang w:val="en-US"/>
        </w:rPr>
        <w:t>Ocean Science</w:t>
      </w:r>
      <w:r w:rsidRPr="00436877">
        <w:rPr>
          <w:rFonts w:ascii="Times New Roman" w:hAnsi="Times New Roman"/>
          <w:sz w:val="24"/>
          <w:szCs w:val="24"/>
          <w:lang w:val="en-US"/>
        </w:rPr>
        <w:t>, 3, (4), 485-490.</w:t>
      </w:r>
    </w:p>
    <w:p w14:paraId="0F5218CD" w14:textId="4536F98C" w:rsidR="00830425" w:rsidRPr="00E76B64" w:rsidRDefault="00830425" w:rsidP="00A42484">
      <w:pPr>
        <w:widowControl w:val="0"/>
        <w:autoSpaceDE w:val="0"/>
        <w:autoSpaceDN w:val="0"/>
        <w:adjustRightInd w:val="0"/>
        <w:spacing w:after="0" w:line="480" w:lineRule="auto"/>
        <w:ind w:left="709" w:hanging="709"/>
        <w:rPr>
          <w:rFonts w:ascii="Times New Roman" w:hAnsi="Times New Roman"/>
          <w:color w:val="000000"/>
          <w:sz w:val="24"/>
          <w:szCs w:val="24"/>
          <w:lang w:val="en-US"/>
        </w:rPr>
      </w:pPr>
      <w:r>
        <w:rPr>
          <w:rFonts w:ascii="Times New Roman" w:hAnsi="Times New Roman"/>
          <w:color w:val="000000"/>
          <w:sz w:val="24"/>
          <w:szCs w:val="24"/>
          <w:lang w:val="en-US"/>
        </w:rPr>
        <w:t>Kim, S. Y.</w:t>
      </w:r>
      <w:r w:rsidR="00172033">
        <w:rPr>
          <w:rFonts w:ascii="Times New Roman" w:hAnsi="Times New Roman"/>
          <w:color w:val="000000"/>
          <w:sz w:val="24"/>
          <w:szCs w:val="24"/>
          <w:lang w:val="en-US"/>
        </w:rPr>
        <w:t xml:space="preserve"> et al.,</w:t>
      </w:r>
      <w:r>
        <w:rPr>
          <w:rFonts w:ascii="Times New Roman" w:hAnsi="Times New Roman"/>
          <w:color w:val="000000"/>
          <w:sz w:val="24"/>
          <w:szCs w:val="24"/>
          <w:lang w:val="en-US"/>
        </w:rPr>
        <w:t>, 2011.</w:t>
      </w:r>
      <w:r w:rsidRPr="00E76B64">
        <w:rPr>
          <w:rFonts w:ascii="Times New Roman" w:hAnsi="Times New Roman"/>
          <w:color w:val="000000"/>
          <w:sz w:val="24"/>
          <w:szCs w:val="24"/>
          <w:lang w:val="en-US"/>
        </w:rPr>
        <w:t xml:space="preserve"> Mapping the U.S. West Coast surface circulation: A multiyear analysis of high-frequency radar observations. J. Geophys. Res., 116, C03011, doi:10.1029/2010JC006669.</w:t>
      </w:r>
    </w:p>
    <w:p w14:paraId="5B8E345B" w14:textId="77777777" w:rsidR="00830425" w:rsidRPr="00E76B64" w:rsidRDefault="00830425" w:rsidP="00A42484">
      <w:pPr>
        <w:widowControl w:val="0"/>
        <w:autoSpaceDE w:val="0"/>
        <w:autoSpaceDN w:val="0"/>
        <w:adjustRightInd w:val="0"/>
        <w:spacing w:after="0" w:line="480" w:lineRule="auto"/>
        <w:ind w:left="709" w:hanging="709"/>
        <w:rPr>
          <w:rFonts w:ascii="Times New Roman" w:hAnsi="Times New Roman"/>
          <w:color w:val="000000"/>
          <w:sz w:val="16"/>
          <w:szCs w:val="16"/>
          <w:lang w:val="en-US"/>
        </w:rPr>
      </w:pPr>
    </w:p>
    <w:p w14:paraId="797B76A0" w14:textId="057591FE" w:rsidR="00830425" w:rsidRPr="007A468D" w:rsidRDefault="00830425" w:rsidP="00A42484">
      <w:pPr>
        <w:widowControl w:val="0"/>
        <w:autoSpaceDE w:val="0"/>
        <w:autoSpaceDN w:val="0"/>
        <w:adjustRightInd w:val="0"/>
        <w:spacing w:after="240" w:line="480" w:lineRule="auto"/>
        <w:ind w:left="709" w:hanging="709"/>
        <w:rPr>
          <w:rFonts w:ascii="Times New Roman" w:hAnsi="Times New Roman"/>
          <w:color w:val="000000"/>
          <w:sz w:val="24"/>
          <w:szCs w:val="24"/>
          <w:lang w:val="en-US"/>
        </w:rPr>
      </w:pPr>
      <w:r w:rsidRPr="007A468D">
        <w:rPr>
          <w:rFonts w:ascii="Times New Roman" w:hAnsi="Times New Roman"/>
          <w:color w:val="000000"/>
          <w:sz w:val="24"/>
          <w:szCs w:val="24"/>
          <w:lang w:val="en-US"/>
        </w:rPr>
        <w:t>Labroue,</w:t>
      </w:r>
      <w:r>
        <w:rPr>
          <w:rFonts w:ascii="Times New Roman" w:hAnsi="Times New Roman"/>
          <w:color w:val="000000"/>
          <w:sz w:val="24"/>
          <w:szCs w:val="24"/>
          <w:lang w:val="en-US"/>
        </w:rPr>
        <w:t xml:space="preserve"> S.,</w:t>
      </w:r>
      <w:r w:rsidR="00172033">
        <w:rPr>
          <w:rFonts w:ascii="Times New Roman" w:hAnsi="Times New Roman"/>
          <w:color w:val="000000"/>
          <w:sz w:val="24"/>
          <w:szCs w:val="24"/>
          <w:lang w:val="en-US"/>
        </w:rPr>
        <w:t xml:space="preserve"> </w:t>
      </w:r>
      <w:r w:rsidRPr="007A468D">
        <w:rPr>
          <w:rFonts w:ascii="Times New Roman" w:hAnsi="Times New Roman"/>
          <w:color w:val="000000"/>
          <w:sz w:val="24"/>
          <w:szCs w:val="24"/>
          <w:lang w:val="en-US"/>
        </w:rPr>
        <w:t>Boy,</w:t>
      </w:r>
      <w:r w:rsidR="00172033">
        <w:rPr>
          <w:rFonts w:ascii="Times New Roman" w:hAnsi="Times New Roman"/>
          <w:color w:val="000000"/>
          <w:sz w:val="24"/>
          <w:szCs w:val="24"/>
          <w:lang w:val="en-US"/>
        </w:rPr>
        <w:t xml:space="preserve"> F.,</w:t>
      </w:r>
      <w:r w:rsidRPr="007A468D">
        <w:rPr>
          <w:rFonts w:ascii="Times New Roman" w:hAnsi="Times New Roman"/>
          <w:color w:val="000000"/>
          <w:sz w:val="24"/>
          <w:szCs w:val="24"/>
          <w:lang w:val="en-US"/>
        </w:rPr>
        <w:t xml:space="preserve"> Picot,</w:t>
      </w:r>
      <w:r w:rsidR="00172033">
        <w:rPr>
          <w:rFonts w:ascii="Times New Roman" w:hAnsi="Times New Roman"/>
          <w:color w:val="000000"/>
          <w:sz w:val="24"/>
          <w:szCs w:val="24"/>
          <w:lang w:val="en-US"/>
        </w:rPr>
        <w:t xml:space="preserve"> N.,</w:t>
      </w:r>
      <w:r w:rsidRPr="007A468D">
        <w:rPr>
          <w:rFonts w:ascii="Times New Roman" w:hAnsi="Times New Roman"/>
          <w:color w:val="000000"/>
          <w:sz w:val="24"/>
          <w:szCs w:val="24"/>
          <w:lang w:val="en-US"/>
        </w:rPr>
        <w:t xml:space="preserve"> Urvoy,</w:t>
      </w:r>
      <w:r w:rsidR="00172033">
        <w:rPr>
          <w:rFonts w:ascii="Times New Roman" w:hAnsi="Times New Roman"/>
          <w:color w:val="000000"/>
          <w:sz w:val="24"/>
          <w:szCs w:val="24"/>
          <w:lang w:val="en-US"/>
        </w:rPr>
        <w:t xml:space="preserve"> M.,</w:t>
      </w:r>
      <w:r w:rsidRPr="007A468D">
        <w:rPr>
          <w:rFonts w:ascii="Times New Roman" w:hAnsi="Times New Roman"/>
          <w:color w:val="000000"/>
          <w:sz w:val="24"/>
          <w:szCs w:val="24"/>
          <w:lang w:val="en-US"/>
        </w:rPr>
        <w:t xml:space="preserve"> Ablain</w:t>
      </w:r>
      <w:r>
        <w:rPr>
          <w:rFonts w:ascii="Times New Roman" w:hAnsi="Times New Roman"/>
          <w:color w:val="000000"/>
          <w:sz w:val="24"/>
          <w:szCs w:val="24"/>
          <w:lang w:val="en-US"/>
        </w:rPr>
        <w:t xml:space="preserve">, </w:t>
      </w:r>
      <w:r w:rsidR="00172033">
        <w:rPr>
          <w:rFonts w:ascii="Times New Roman" w:hAnsi="Times New Roman"/>
          <w:color w:val="000000"/>
          <w:sz w:val="24"/>
          <w:szCs w:val="24"/>
          <w:lang w:val="en-US"/>
        </w:rPr>
        <w:t xml:space="preserve">M., </w:t>
      </w:r>
      <w:r>
        <w:rPr>
          <w:rFonts w:ascii="Times New Roman" w:hAnsi="Times New Roman"/>
          <w:color w:val="000000"/>
          <w:sz w:val="24"/>
          <w:szCs w:val="24"/>
          <w:lang w:val="en-US"/>
        </w:rPr>
        <w:t>2012.</w:t>
      </w:r>
      <w:r w:rsidRPr="007A468D">
        <w:rPr>
          <w:rFonts w:ascii="Times New Roman" w:hAnsi="Times New Roman"/>
          <w:color w:val="000000"/>
          <w:sz w:val="24"/>
          <w:szCs w:val="24"/>
          <w:lang w:val="en-US"/>
        </w:rPr>
        <w:t xml:space="preserve"> First quality assessment of the Cryosat-2 altimetric system over ocean</w:t>
      </w:r>
      <w:r w:rsidR="00172033">
        <w:rPr>
          <w:rFonts w:ascii="Times New Roman" w:hAnsi="Times New Roman"/>
          <w:color w:val="000000"/>
          <w:sz w:val="24"/>
          <w:szCs w:val="24"/>
          <w:lang w:val="en-US"/>
        </w:rPr>
        <w:t>.</w:t>
      </w:r>
      <w:r>
        <w:rPr>
          <w:rFonts w:ascii="Times New Roman" w:hAnsi="Times New Roman"/>
          <w:color w:val="000000"/>
          <w:sz w:val="24"/>
          <w:szCs w:val="24"/>
          <w:lang w:val="en-US"/>
        </w:rPr>
        <w:t xml:space="preserve"> Advances in Space Reseach, 50, 1030-1045.</w:t>
      </w:r>
    </w:p>
    <w:p w14:paraId="13FEED7C" w14:textId="19E3B666" w:rsidR="00830425" w:rsidRPr="00BD2140" w:rsidRDefault="00830425" w:rsidP="00A42484">
      <w:pPr>
        <w:spacing w:after="240" w:line="480" w:lineRule="auto"/>
        <w:ind w:left="709" w:hanging="709"/>
        <w:rPr>
          <w:rFonts w:ascii="Times New Roman" w:hAnsi="Times New Roman"/>
          <w:color w:val="000000"/>
          <w:sz w:val="24"/>
          <w:szCs w:val="24"/>
          <w:lang w:val="en-GB"/>
        </w:rPr>
      </w:pPr>
      <w:r w:rsidRPr="00D64C17">
        <w:rPr>
          <w:rFonts w:ascii="Times New Roman" w:hAnsi="Times New Roman"/>
          <w:color w:val="000000"/>
          <w:sz w:val="24"/>
          <w:szCs w:val="24"/>
          <w:lang w:val="en-GB"/>
        </w:rPr>
        <w:t>Mitchum, G. T.</w:t>
      </w:r>
      <w:r w:rsidR="00172033">
        <w:rPr>
          <w:rFonts w:ascii="Times New Roman" w:hAnsi="Times New Roman"/>
          <w:color w:val="000000"/>
          <w:sz w:val="24"/>
          <w:szCs w:val="24"/>
          <w:lang w:val="en-GB"/>
        </w:rPr>
        <w:t>,</w:t>
      </w:r>
      <w:r w:rsidRPr="00D64C17">
        <w:rPr>
          <w:rFonts w:ascii="Times New Roman" w:hAnsi="Times New Roman"/>
          <w:color w:val="000000"/>
          <w:sz w:val="24"/>
          <w:szCs w:val="24"/>
          <w:lang w:val="en-GB"/>
        </w:rPr>
        <w:t xml:space="preserve"> 1994</w:t>
      </w:r>
      <w:r w:rsidR="00172033">
        <w:rPr>
          <w:rFonts w:ascii="Times New Roman" w:hAnsi="Times New Roman"/>
          <w:color w:val="000000"/>
          <w:sz w:val="24"/>
          <w:szCs w:val="24"/>
          <w:lang w:val="en-GB"/>
        </w:rPr>
        <w:t>.</w:t>
      </w:r>
      <w:r w:rsidRPr="00D64C17">
        <w:rPr>
          <w:rFonts w:ascii="Times New Roman" w:hAnsi="Times New Roman"/>
          <w:color w:val="000000"/>
          <w:sz w:val="24"/>
          <w:szCs w:val="24"/>
          <w:lang w:val="en-GB"/>
        </w:rPr>
        <w:t xml:space="preserve"> Comparison of TOPEX sea surface heights and tide gauge sea levels</w:t>
      </w:r>
      <w:r w:rsidR="00172033">
        <w:rPr>
          <w:rFonts w:ascii="Times New Roman" w:hAnsi="Times New Roman"/>
          <w:color w:val="000000"/>
          <w:sz w:val="24"/>
          <w:szCs w:val="24"/>
          <w:lang w:val="en-GB"/>
        </w:rPr>
        <w:t>.</w:t>
      </w:r>
      <w:r w:rsidRPr="00D64C17">
        <w:rPr>
          <w:rFonts w:ascii="Times New Roman" w:hAnsi="Times New Roman"/>
          <w:color w:val="000000"/>
          <w:sz w:val="24"/>
          <w:szCs w:val="24"/>
          <w:lang w:val="en-GB"/>
        </w:rPr>
        <w:t xml:space="preserve"> J. Geophys. Res., 99(C12), 24541–24553, doi:10.1029/94JC01640.</w:t>
      </w:r>
    </w:p>
    <w:p w14:paraId="35E95CE1" w14:textId="1DFEB960" w:rsidR="00830425" w:rsidRDefault="00830425" w:rsidP="00A42484">
      <w:pPr>
        <w:spacing w:after="240" w:line="480" w:lineRule="auto"/>
        <w:ind w:left="709" w:hanging="709"/>
        <w:rPr>
          <w:rFonts w:ascii="Times New Roman" w:hAnsi="Times New Roman"/>
          <w:color w:val="262626"/>
          <w:sz w:val="24"/>
          <w:szCs w:val="24"/>
          <w:lang w:val="it-IT"/>
        </w:rPr>
      </w:pPr>
      <w:r w:rsidRPr="004F3F2D">
        <w:rPr>
          <w:rFonts w:ascii="Times New Roman" w:hAnsi="Times New Roman"/>
          <w:color w:val="262626"/>
          <w:sz w:val="24"/>
          <w:szCs w:val="24"/>
          <w:lang w:val="en-US"/>
        </w:rPr>
        <w:t>Monaldo, F. M.</w:t>
      </w:r>
      <w:r w:rsidR="00172033">
        <w:rPr>
          <w:rFonts w:ascii="Times New Roman" w:hAnsi="Times New Roman"/>
          <w:color w:val="262626"/>
          <w:sz w:val="24"/>
          <w:szCs w:val="24"/>
          <w:lang w:val="en-US"/>
        </w:rPr>
        <w:t>, 1988.</w:t>
      </w:r>
      <w:r w:rsidRPr="004F3F2D">
        <w:rPr>
          <w:rFonts w:ascii="Times New Roman" w:hAnsi="Times New Roman"/>
          <w:color w:val="262626"/>
          <w:sz w:val="24"/>
          <w:szCs w:val="24"/>
          <w:lang w:val="en-US"/>
        </w:rPr>
        <w:t xml:space="preserve"> Expected differences between buoy and radar altimeter estimates of wind speed and significant wave height and their implications on buoy-altimeter comparisons</w:t>
      </w:r>
      <w:r w:rsidR="00172033">
        <w:rPr>
          <w:rFonts w:ascii="Times New Roman" w:hAnsi="Times New Roman"/>
          <w:color w:val="262626"/>
          <w:sz w:val="24"/>
          <w:szCs w:val="24"/>
          <w:lang w:val="en-US"/>
        </w:rPr>
        <w:t>.</w:t>
      </w:r>
      <w:r w:rsidRPr="004F3F2D">
        <w:rPr>
          <w:rFonts w:ascii="Times New Roman" w:hAnsi="Times New Roman"/>
          <w:color w:val="262626"/>
          <w:sz w:val="24"/>
          <w:szCs w:val="24"/>
          <w:lang w:val="en-US"/>
        </w:rPr>
        <w:t xml:space="preserve"> </w:t>
      </w:r>
      <w:r w:rsidRPr="00C0456B">
        <w:rPr>
          <w:rFonts w:ascii="Times New Roman" w:hAnsi="Times New Roman"/>
          <w:iCs/>
          <w:color w:val="262626"/>
          <w:sz w:val="24"/>
          <w:szCs w:val="24"/>
          <w:lang w:val="en-US"/>
        </w:rPr>
        <w:t xml:space="preserve">J. Geophys. </w:t>
      </w:r>
      <w:r w:rsidRPr="00BD2140">
        <w:rPr>
          <w:rFonts w:ascii="Times New Roman" w:hAnsi="Times New Roman"/>
          <w:iCs/>
          <w:color w:val="262626"/>
          <w:sz w:val="24"/>
          <w:szCs w:val="24"/>
          <w:lang w:val="it-IT"/>
        </w:rPr>
        <w:t>Res</w:t>
      </w:r>
      <w:r w:rsidRPr="00BD2140">
        <w:rPr>
          <w:rFonts w:ascii="Times New Roman" w:hAnsi="Times New Roman"/>
          <w:i/>
          <w:iCs/>
          <w:color w:val="262626"/>
          <w:sz w:val="24"/>
          <w:szCs w:val="24"/>
          <w:lang w:val="it-IT"/>
        </w:rPr>
        <w:t>.</w:t>
      </w:r>
      <w:r w:rsidRPr="00BD2140">
        <w:rPr>
          <w:rFonts w:ascii="Times New Roman" w:hAnsi="Times New Roman"/>
          <w:color w:val="262626"/>
          <w:sz w:val="24"/>
          <w:szCs w:val="24"/>
          <w:lang w:val="it-IT"/>
        </w:rPr>
        <w:t xml:space="preserve">, </w:t>
      </w:r>
      <w:r w:rsidRPr="00BD2140">
        <w:rPr>
          <w:rFonts w:ascii="Times New Roman" w:hAnsi="Times New Roman"/>
          <w:bCs/>
          <w:color w:val="262626"/>
          <w:sz w:val="24"/>
          <w:szCs w:val="24"/>
          <w:lang w:val="it-IT"/>
        </w:rPr>
        <w:t>93</w:t>
      </w:r>
      <w:r w:rsidRPr="00BD2140">
        <w:rPr>
          <w:rFonts w:ascii="Times New Roman" w:hAnsi="Times New Roman"/>
          <w:color w:val="262626"/>
          <w:sz w:val="24"/>
          <w:szCs w:val="24"/>
          <w:lang w:val="it-IT"/>
        </w:rPr>
        <w:t>, 2285</w:t>
      </w:r>
      <w:r w:rsidRPr="004A702A">
        <w:rPr>
          <w:rFonts w:ascii="Times New Roman" w:hAnsi="Times New Roman"/>
          <w:color w:val="262626"/>
          <w:sz w:val="24"/>
          <w:szCs w:val="24"/>
          <w:lang w:val="it-IT"/>
        </w:rPr>
        <w:t>–</w:t>
      </w:r>
      <w:r w:rsidRPr="00BD2140">
        <w:rPr>
          <w:rFonts w:ascii="Times New Roman" w:hAnsi="Times New Roman"/>
          <w:color w:val="262626"/>
          <w:sz w:val="24"/>
          <w:szCs w:val="24"/>
          <w:lang w:val="it-IT"/>
        </w:rPr>
        <w:t>2302.</w:t>
      </w:r>
    </w:p>
    <w:p w14:paraId="7EC0943C" w14:textId="28A0F653" w:rsidR="00A67E05" w:rsidRPr="00BD2140" w:rsidRDefault="00172033" w:rsidP="00A42484">
      <w:pPr>
        <w:spacing w:after="240" w:line="480" w:lineRule="auto"/>
        <w:ind w:left="709" w:hanging="709"/>
        <w:rPr>
          <w:rFonts w:ascii="Times New Roman" w:hAnsi="Times New Roman"/>
          <w:color w:val="262626"/>
          <w:sz w:val="24"/>
          <w:szCs w:val="24"/>
          <w:lang w:val="it-IT"/>
        </w:rPr>
      </w:pPr>
      <w:r>
        <w:rPr>
          <w:rFonts w:ascii="Times New Roman" w:hAnsi="Times New Roman"/>
          <w:color w:val="262626"/>
          <w:sz w:val="24"/>
          <w:szCs w:val="24"/>
          <w:lang w:val="it-IT"/>
        </w:rPr>
        <w:t xml:space="preserve">Pascual, A., </w:t>
      </w:r>
      <w:r w:rsidR="001B2044" w:rsidRPr="001B2044">
        <w:rPr>
          <w:rFonts w:ascii="Times New Roman" w:hAnsi="Times New Roman"/>
          <w:color w:val="262626"/>
          <w:sz w:val="24"/>
          <w:szCs w:val="24"/>
          <w:lang w:val="it-IT"/>
        </w:rPr>
        <w:t>Faugère,</w:t>
      </w:r>
      <w:r>
        <w:rPr>
          <w:rFonts w:ascii="Times New Roman" w:hAnsi="Times New Roman"/>
          <w:color w:val="262626"/>
          <w:sz w:val="24"/>
          <w:szCs w:val="24"/>
          <w:lang w:val="it-IT"/>
        </w:rPr>
        <w:t xml:space="preserve"> Y., </w:t>
      </w:r>
      <w:r w:rsidR="001B2044" w:rsidRPr="001B2044">
        <w:rPr>
          <w:rFonts w:ascii="Times New Roman" w:hAnsi="Times New Roman"/>
          <w:color w:val="262626"/>
          <w:sz w:val="24"/>
          <w:szCs w:val="24"/>
          <w:lang w:val="it-IT"/>
        </w:rPr>
        <w:t>Larnicol,</w:t>
      </w:r>
      <w:r>
        <w:rPr>
          <w:rFonts w:ascii="Times New Roman" w:hAnsi="Times New Roman"/>
          <w:color w:val="262626"/>
          <w:sz w:val="24"/>
          <w:szCs w:val="24"/>
          <w:lang w:val="it-IT"/>
        </w:rPr>
        <w:t xml:space="preserve"> G., </w:t>
      </w:r>
      <w:r w:rsidR="001B2044" w:rsidRPr="001B2044">
        <w:rPr>
          <w:rFonts w:ascii="Times New Roman" w:hAnsi="Times New Roman"/>
          <w:color w:val="262626"/>
          <w:sz w:val="24"/>
          <w:szCs w:val="24"/>
          <w:lang w:val="it-IT"/>
        </w:rPr>
        <w:t>Le Traon</w:t>
      </w:r>
      <w:r>
        <w:rPr>
          <w:rFonts w:ascii="Times New Roman" w:hAnsi="Times New Roman"/>
          <w:color w:val="262626"/>
          <w:sz w:val="24"/>
          <w:szCs w:val="24"/>
          <w:lang w:val="it-IT"/>
        </w:rPr>
        <w:t>, P.-Y., 2006.</w:t>
      </w:r>
      <w:r w:rsidR="001B2044" w:rsidRPr="001B2044">
        <w:rPr>
          <w:rFonts w:ascii="Times New Roman" w:hAnsi="Times New Roman"/>
          <w:color w:val="262626"/>
          <w:sz w:val="24"/>
          <w:szCs w:val="24"/>
          <w:lang w:val="it-IT"/>
        </w:rPr>
        <w:t xml:space="preserve"> Improved description of the ocean mesoscale variability by comb</w:t>
      </w:r>
      <w:r>
        <w:rPr>
          <w:rFonts w:ascii="Times New Roman" w:hAnsi="Times New Roman"/>
          <w:color w:val="262626"/>
          <w:sz w:val="24"/>
          <w:szCs w:val="24"/>
          <w:lang w:val="it-IT"/>
        </w:rPr>
        <w:t>ining four satellite altimeters.</w:t>
      </w:r>
      <w:r w:rsidR="001B2044" w:rsidRPr="001B2044">
        <w:rPr>
          <w:rFonts w:ascii="Times New Roman" w:hAnsi="Times New Roman"/>
          <w:color w:val="262626"/>
          <w:sz w:val="24"/>
          <w:szCs w:val="24"/>
          <w:lang w:val="it-IT"/>
        </w:rPr>
        <w:t xml:space="preserve"> Geophys. Res. Lett., 33, L</w:t>
      </w:r>
      <w:r w:rsidR="001B2044">
        <w:rPr>
          <w:rFonts w:ascii="Times New Roman" w:hAnsi="Times New Roman"/>
          <w:color w:val="262626"/>
          <w:sz w:val="24"/>
          <w:szCs w:val="24"/>
          <w:lang w:val="it-IT"/>
        </w:rPr>
        <w:t>02611, doi:10.1029/2005GL024633</w:t>
      </w:r>
      <w:r w:rsidR="00A67E05" w:rsidRPr="00A67E05">
        <w:rPr>
          <w:rFonts w:ascii="Times New Roman" w:hAnsi="Times New Roman"/>
          <w:color w:val="262626"/>
          <w:sz w:val="24"/>
          <w:szCs w:val="24"/>
          <w:lang w:val="it-IT"/>
        </w:rPr>
        <w:t>.</w:t>
      </w:r>
    </w:p>
    <w:p w14:paraId="549CEB5E" w14:textId="48E8AED4" w:rsidR="00830425" w:rsidRPr="00BD2140" w:rsidRDefault="00830425" w:rsidP="00A42484">
      <w:pPr>
        <w:spacing w:after="240" w:line="480" w:lineRule="auto"/>
        <w:ind w:left="709" w:hanging="709"/>
        <w:rPr>
          <w:rFonts w:ascii="Times New Roman" w:hAnsi="Times New Roman"/>
          <w:color w:val="000000"/>
          <w:sz w:val="24"/>
          <w:szCs w:val="24"/>
          <w:lang w:val="en-GB"/>
        </w:rPr>
      </w:pPr>
      <w:r w:rsidRPr="00BD2140">
        <w:rPr>
          <w:rFonts w:ascii="Times New Roman" w:hAnsi="Times New Roman"/>
          <w:color w:val="000000"/>
          <w:sz w:val="24"/>
          <w:szCs w:val="24"/>
          <w:lang w:val="it-IT"/>
        </w:rPr>
        <w:lastRenderedPageBreak/>
        <w:t>Passaro, M., Cipollini,</w:t>
      </w:r>
      <w:r w:rsidR="00172033">
        <w:rPr>
          <w:rFonts w:ascii="Times New Roman" w:hAnsi="Times New Roman"/>
          <w:color w:val="000000"/>
          <w:sz w:val="24"/>
          <w:szCs w:val="24"/>
          <w:lang w:val="it-IT"/>
        </w:rPr>
        <w:t xml:space="preserve"> P.,</w:t>
      </w:r>
      <w:r w:rsidRPr="00BD2140">
        <w:rPr>
          <w:rFonts w:ascii="Times New Roman" w:hAnsi="Times New Roman"/>
          <w:color w:val="000000"/>
          <w:sz w:val="24"/>
          <w:szCs w:val="24"/>
          <w:lang w:val="it-IT"/>
        </w:rPr>
        <w:t xml:space="preserve"> Vignudelli,</w:t>
      </w:r>
      <w:r w:rsidR="00172033">
        <w:rPr>
          <w:rFonts w:ascii="Times New Roman" w:hAnsi="Times New Roman"/>
          <w:color w:val="000000"/>
          <w:sz w:val="24"/>
          <w:szCs w:val="24"/>
          <w:lang w:val="it-IT"/>
        </w:rPr>
        <w:t xml:space="preserve"> S.,</w:t>
      </w:r>
      <w:r w:rsidRPr="00BD2140">
        <w:rPr>
          <w:rFonts w:ascii="Times New Roman" w:hAnsi="Times New Roman"/>
          <w:color w:val="000000"/>
          <w:sz w:val="24"/>
          <w:szCs w:val="24"/>
          <w:lang w:val="it-IT"/>
        </w:rPr>
        <w:t xml:space="preserve"> Quartly,</w:t>
      </w:r>
      <w:r w:rsidR="00172033">
        <w:rPr>
          <w:rFonts w:ascii="Times New Roman" w:hAnsi="Times New Roman"/>
          <w:color w:val="000000"/>
          <w:sz w:val="24"/>
          <w:szCs w:val="24"/>
          <w:lang w:val="it-IT"/>
        </w:rPr>
        <w:t xml:space="preserve"> G.,</w:t>
      </w:r>
      <w:r w:rsidRPr="00BD2140">
        <w:rPr>
          <w:rFonts w:ascii="Times New Roman" w:hAnsi="Times New Roman"/>
          <w:color w:val="000000"/>
          <w:sz w:val="24"/>
          <w:szCs w:val="24"/>
          <w:lang w:val="it-IT"/>
        </w:rPr>
        <w:t xml:space="preserve"> Snaith,</w:t>
      </w:r>
      <w:r w:rsidR="00172033">
        <w:rPr>
          <w:rFonts w:ascii="Times New Roman" w:hAnsi="Times New Roman"/>
          <w:color w:val="000000"/>
          <w:sz w:val="24"/>
          <w:szCs w:val="24"/>
          <w:lang w:val="it-IT"/>
        </w:rPr>
        <w:t xml:space="preserve"> H.,</w:t>
      </w:r>
      <w:r w:rsidRPr="00BD2140">
        <w:rPr>
          <w:rFonts w:ascii="Times New Roman" w:hAnsi="Times New Roman"/>
          <w:color w:val="000000"/>
          <w:sz w:val="24"/>
          <w:szCs w:val="24"/>
          <w:lang w:val="it-IT"/>
        </w:rPr>
        <w:t xml:space="preserve"> 2014. </w:t>
      </w:r>
      <w:r w:rsidRPr="00BD2140">
        <w:rPr>
          <w:rFonts w:ascii="Times New Roman" w:hAnsi="Times New Roman"/>
          <w:color w:val="000000"/>
          <w:sz w:val="24"/>
          <w:szCs w:val="24"/>
          <w:lang w:val="en-GB"/>
        </w:rPr>
        <w:t>ALES: A multi-mission subwaveform retracker for coastal and open ocean altimetry</w:t>
      </w:r>
      <w:r w:rsidR="00172033">
        <w:rPr>
          <w:rFonts w:ascii="Times New Roman" w:hAnsi="Times New Roman"/>
          <w:color w:val="000000"/>
          <w:sz w:val="24"/>
          <w:szCs w:val="24"/>
          <w:lang w:val="en-GB"/>
        </w:rPr>
        <w:t>.</w:t>
      </w:r>
      <w:r w:rsidRPr="00BD2140">
        <w:rPr>
          <w:rFonts w:ascii="Times New Roman" w:hAnsi="Times New Roman"/>
          <w:color w:val="000000"/>
          <w:sz w:val="24"/>
          <w:szCs w:val="24"/>
          <w:lang w:val="en-GB"/>
        </w:rPr>
        <w:t xml:space="preserve"> Remote Sens. Environ., 145, 173</w:t>
      </w:r>
      <w:r w:rsidRPr="004A702A">
        <w:rPr>
          <w:rFonts w:ascii="Times New Roman" w:hAnsi="Times New Roman"/>
          <w:color w:val="000000"/>
          <w:sz w:val="24"/>
          <w:szCs w:val="24"/>
          <w:lang w:val="en-GB"/>
        </w:rPr>
        <w:t>–</w:t>
      </w:r>
      <w:r w:rsidRPr="00BD2140">
        <w:rPr>
          <w:rFonts w:ascii="Times New Roman" w:hAnsi="Times New Roman"/>
          <w:color w:val="000000"/>
          <w:sz w:val="24"/>
          <w:szCs w:val="24"/>
          <w:lang w:val="en-GB"/>
        </w:rPr>
        <w:t>189, doi:10.1016/j.rse.2014.02.008.</w:t>
      </w:r>
    </w:p>
    <w:p w14:paraId="22FE67DE" w14:textId="69885C23" w:rsidR="00830425" w:rsidRDefault="00830425" w:rsidP="00A42484">
      <w:pPr>
        <w:spacing w:after="240" w:line="480" w:lineRule="auto"/>
        <w:ind w:left="709" w:hanging="709"/>
        <w:rPr>
          <w:rFonts w:ascii="Times New Roman" w:hAnsi="Times New Roman"/>
          <w:color w:val="262626"/>
          <w:sz w:val="24"/>
          <w:szCs w:val="24"/>
          <w:lang w:val="en-US"/>
        </w:rPr>
      </w:pPr>
      <w:r w:rsidRPr="00F01511">
        <w:rPr>
          <w:rFonts w:ascii="Times New Roman" w:hAnsi="Times New Roman"/>
          <w:color w:val="262626"/>
          <w:sz w:val="24"/>
          <w:szCs w:val="24"/>
          <w:lang w:val="en-US"/>
        </w:rPr>
        <w:t xml:space="preserve">Pawlowicz, </w:t>
      </w:r>
      <w:r>
        <w:rPr>
          <w:rFonts w:ascii="Times New Roman" w:hAnsi="Times New Roman"/>
          <w:color w:val="262626"/>
          <w:sz w:val="24"/>
          <w:szCs w:val="24"/>
          <w:lang w:val="en-US"/>
        </w:rPr>
        <w:t>R., Beardsley,</w:t>
      </w:r>
      <w:r w:rsidR="00172033">
        <w:rPr>
          <w:rFonts w:ascii="Times New Roman" w:hAnsi="Times New Roman"/>
          <w:color w:val="262626"/>
          <w:sz w:val="24"/>
          <w:szCs w:val="24"/>
          <w:lang w:val="en-US"/>
        </w:rPr>
        <w:t xml:space="preserve"> B.,</w:t>
      </w:r>
      <w:r>
        <w:rPr>
          <w:rFonts w:ascii="Times New Roman" w:hAnsi="Times New Roman"/>
          <w:color w:val="262626"/>
          <w:sz w:val="24"/>
          <w:szCs w:val="24"/>
          <w:lang w:val="en-US"/>
        </w:rPr>
        <w:t xml:space="preserve"> Lentz,</w:t>
      </w:r>
      <w:r w:rsidR="00172033">
        <w:rPr>
          <w:rFonts w:ascii="Times New Roman" w:hAnsi="Times New Roman"/>
          <w:color w:val="262626"/>
          <w:sz w:val="24"/>
          <w:szCs w:val="24"/>
          <w:lang w:val="en-US"/>
        </w:rPr>
        <w:t xml:space="preserve"> S.,</w:t>
      </w:r>
      <w:r>
        <w:rPr>
          <w:rFonts w:ascii="Times New Roman" w:hAnsi="Times New Roman"/>
          <w:color w:val="262626"/>
          <w:sz w:val="24"/>
          <w:szCs w:val="24"/>
          <w:lang w:val="en-US"/>
        </w:rPr>
        <w:t xml:space="preserve"> 2002.</w:t>
      </w:r>
      <w:r w:rsidRPr="00F01511">
        <w:rPr>
          <w:rFonts w:ascii="Times New Roman" w:hAnsi="Times New Roman"/>
          <w:color w:val="262626"/>
          <w:sz w:val="24"/>
          <w:szCs w:val="24"/>
          <w:lang w:val="en-US"/>
        </w:rPr>
        <w:t xml:space="preserve"> Classical tidal Harmonic Analysis Including Error Estimates in MATLAB using T_TIDE</w:t>
      </w:r>
      <w:r w:rsidR="00172033">
        <w:rPr>
          <w:rFonts w:ascii="Times New Roman" w:hAnsi="Times New Roman"/>
          <w:color w:val="262626"/>
          <w:sz w:val="24"/>
          <w:szCs w:val="24"/>
          <w:lang w:val="en-US"/>
        </w:rPr>
        <w:t>.</w:t>
      </w:r>
      <w:r w:rsidRPr="00F01511">
        <w:rPr>
          <w:rFonts w:ascii="Times New Roman" w:hAnsi="Times New Roman"/>
          <w:color w:val="262626"/>
          <w:sz w:val="24"/>
          <w:szCs w:val="24"/>
          <w:lang w:val="en-US"/>
        </w:rPr>
        <w:t xml:space="preserve"> </w:t>
      </w:r>
      <w:r w:rsidRPr="007B32E1">
        <w:rPr>
          <w:rFonts w:ascii="Times New Roman" w:hAnsi="Times New Roman"/>
          <w:iCs/>
          <w:color w:val="262626"/>
          <w:sz w:val="24"/>
          <w:szCs w:val="24"/>
          <w:lang w:val="en-US"/>
        </w:rPr>
        <w:t>Comput. Geosci.</w:t>
      </w:r>
      <w:r w:rsidRPr="00F01511">
        <w:rPr>
          <w:rFonts w:ascii="Times New Roman" w:hAnsi="Times New Roman"/>
          <w:color w:val="262626"/>
          <w:sz w:val="24"/>
          <w:szCs w:val="24"/>
          <w:lang w:val="en-US"/>
        </w:rPr>
        <w:t xml:space="preserve">, </w:t>
      </w:r>
      <w:r w:rsidRPr="00F01511">
        <w:rPr>
          <w:rFonts w:ascii="Times New Roman" w:hAnsi="Times New Roman"/>
          <w:bCs/>
          <w:color w:val="262626"/>
          <w:sz w:val="24"/>
          <w:szCs w:val="24"/>
          <w:lang w:val="en-US"/>
        </w:rPr>
        <w:t>28</w:t>
      </w:r>
      <w:r w:rsidRPr="00F01511">
        <w:rPr>
          <w:rFonts w:ascii="Times New Roman" w:hAnsi="Times New Roman"/>
          <w:color w:val="262626"/>
          <w:sz w:val="24"/>
          <w:szCs w:val="24"/>
          <w:lang w:val="en-US"/>
        </w:rPr>
        <w:t>, 929–937</w:t>
      </w:r>
      <w:r>
        <w:rPr>
          <w:rFonts w:ascii="Times New Roman" w:hAnsi="Times New Roman"/>
          <w:color w:val="262626"/>
          <w:sz w:val="24"/>
          <w:szCs w:val="24"/>
          <w:lang w:val="en-US"/>
        </w:rPr>
        <w:t>.</w:t>
      </w:r>
    </w:p>
    <w:p w14:paraId="14E366A6" w14:textId="6CA870C7" w:rsidR="00830425" w:rsidRPr="005D40FF" w:rsidRDefault="00830425" w:rsidP="00A42484">
      <w:pPr>
        <w:spacing w:after="240" w:line="480" w:lineRule="auto"/>
        <w:ind w:left="709" w:hanging="709"/>
        <w:rPr>
          <w:rFonts w:ascii="Times New Roman" w:hAnsi="Times New Roman"/>
          <w:color w:val="000000"/>
          <w:sz w:val="24"/>
          <w:szCs w:val="24"/>
          <w:lang w:val="en-US"/>
        </w:rPr>
      </w:pPr>
      <w:r>
        <w:rPr>
          <w:rFonts w:ascii="Times New Roman" w:hAnsi="Times New Roman"/>
          <w:color w:val="000000"/>
          <w:sz w:val="24"/>
          <w:szCs w:val="24"/>
          <w:lang w:val="en-US"/>
        </w:rPr>
        <w:t>Quinn, K.J.,</w:t>
      </w:r>
      <w:r w:rsidRPr="005D40FF">
        <w:rPr>
          <w:rFonts w:ascii="Times New Roman" w:hAnsi="Times New Roman"/>
          <w:color w:val="000000"/>
          <w:sz w:val="24"/>
          <w:szCs w:val="24"/>
          <w:lang w:val="en-US"/>
        </w:rPr>
        <w:t xml:space="preserve"> </w:t>
      </w:r>
      <w:r>
        <w:rPr>
          <w:rFonts w:ascii="Times New Roman" w:hAnsi="Times New Roman"/>
          <w:color w:val="000000"/>
          <w:sz w:val="24"/>
          <w:szCs w:val="24"/>
          <w:lang w:val="en-US"/>
        </w:rPr>
        <w:t>Ponte,</w:t>
      </w:r>
      <w:r w:rsidR="00172033">
        <w:rPr>
          <w:rFonts w:ascii="Times New Roman" w:hAnsi="Times New Roman"/>
          <w:color w:val="000000"/>
          <w:sz w:val="24"/>
          <w:szCs w:val="24"/>
          <w:lang w:val="en-US"/>
        </w:rPr>
        <w:t xml:space="preserve"> R.M.,</w:t>
      </w:r>
      <w:r>
        <w:rPr>
          <w:rFonts w:ascii="Times New Roman" w:hAnsi="Times New Roman"/>
          <w:color w:val="000000"/>
          <w:sz w:val="24"/>
          <w:szCs w:val="24"/>
          <w:lang w:val="en-US"/>
        </w:rPr>
        <w:t xml:space="preserve"> 2012.</w:t>
      </w:r>
      <w:r w:rsidRPr="005D40FF">
        <w:rPr>
          <w:rFonts w:ascii="Times New Roman" w:hAnsi="Times New Roman"/>
          <w:color w:val="000000"/>
          <w:sz w:val="24"/>
          <w:szCs w:val="24"/>
          <w:lang w:val="en-US"/>
        </w:rPr>
        <w:t xml:space="preserve"> High frequency barotropic ocean variability observed by GRACE and satellite altimetry</w:t>
      </w:r>
      <w:r w:rsidR="00172033">
        <w:rPr>
          <w:rFonts w:ascii="Times New Roman" w:hAnsi="Times New Roman"/>
          <w:color w:val="000000"/>
          <w:sz w:val="24"/>
          <w:szCs w:val="24"/>
          <w:lang w:val="en-US"/>
        </w:rPr>
        <w:t>.</w:t>
      </w:r>
      <w:r w:rsidRPr="005D40FF">
        <w:rPr>
          <w:rFonts w:ascii="Times New Roman" w:hAnsi="Times New Roman"/>
          <w:color w:val="000000"/>
          <w:sz w:val="24"/>
          <w:szCs w:val="24"/>
          <w:lang w:val="en-US"/>
        </w:rPr>
        <w:t xml:space="preserve"> Geophys. Res. Lett., 39, L07603, doi:</w:t>
      </w:r>
      <w:hyperlink r:id="rId52" w:history="1">
        <w:r w:rsidRPr="005D40FF">
          <w:rPr>
            <w:rFonts w:ascii="Times New Roman" w:hAnsi="Times New Roman"/>
            <w:color w:val="000000"/>
            <w:sz w:val="24"/>
            <w:szCs w:val="24"/>
            <w:lang w:val="en-US"/>
          </w:rPr>
          <w:t>10.1029/2012GL051301</w:t>
        </w:r>
      </w:hyperlink>
      <w:r w:rsidRPr="005D40FF">
        <w:rPr>
          <w:rFonts w:ascii="Times New Roman" w:hAnsi="Times New Roman"/>
          <w:color w:val="000000"/>
          <w:sz w:val="24"/>
          <w:szCs w:val="24"/>
          <w:lang w:val="en-US"/>
        </w:rPr>
        <w:t>.</w:t>
      </w:r>
    </w:p>
    <w:p w14:paraId="72E5AE37" w14:textId="14FB7995" w:rsidR="00830425" w:rsidRDefault="00830425" w:rsidP="00A42484">
      <w:pPr>
        <w:widowControl w:val="0"/>
        <w:tabs>
          <w:tab w:val="left" w:pos="220"/>
          <w:tab w:val="left" w:pos="720"/>
        </w:tabs>
        <w:autoSpaceDE w:val="0"/>
        <w:autoSpaceDN w:val="0"/>
        <w:adjustRightInd w:val="0"/>
        <w:spacing w:after="240" w:line="480" w:lineRule="auto"/>
        <w:ind w:left="709" w:hanging="709"/>
        <w:rPr>
          <w:rFonts w:ascii="Times New Roman" w:hAnsi="Times New Roman" w:cs="Arial"/>
          <w:color w:val="000000"/>
          <w:sz w:val="24"/>
          <w:szCs w:val="24"/>
          <w:lang w:val="en-US"/>
        </w:rPr>
      </w:pPr>
      <w:r w:rsidRPr="00AC1F74">
        <w:rPr>
          <w:rFonts w:ascii="Times New Roman" w:hAnsi="Times New Roman" w:cs="Arial"/>
          <w:color w:val="000000"/>
          <w:sz w:val="24"/>
          <w:szCs w:val="24"/>
          <w:lang w:val="en-US"/>
        </w:rPr>
        <w:t xml:space="preserve">Raney, </w:t>
      </w:r>
      <w:r>
        <w:rPr>
          <w:rFonts w:ascii="Times New Roman" w:hAnsi="Times New Roman" w:cs="Arial"/>
          <w:color w:val="000000"/>
          <w:sz w:val="24"/>
          <w:szCs w:val="24"/>
          <w:lang w:val="en-US"/>
        </w:rPr>
        <w:t xml:space="preserve">R. K., 1998. </w:t>
      </w:r>
      <w:r w:rsidRPr="00AC1F74">
        <w:rPr>
          <w:rFonts w:ascii="Times New Roman" w:hAnsi="Times New Roman" w:cs="Arial"/>
          <w:bCs/>
          <w:color w:val="000000"/>
          <w:sz w:val="24"/>
          <w:szCs w:val="24"/>
          <w:lang w:val="en-US"/>
        </w:rPr>
        <w:t>The Delay Doppler radar altimeter</w:t>
      </w:r>
      <w:r w:rsidR="00172033">
        <w:rPr>
          <w:rFonts w:ascii="Times New Roman" w:hAnsi="Times New Roman" w:cs="Arial"/>
          <w:bCs/>
          <w:color w:val="000000"/>
          <w:sz w:val="24"/>
          <w:szCs w:val="24"/>
          <w:lang w:val="en-US"/>
        </w:rPr>
        <w:t>.</w:t>
      </w:r>
      <w:r>
        <w:rPr>
          <w:rFonts w:ascii="Times New Roman" w:hAnsi="Times New Roman" w:cs="Arial"/>
          <w:bCs/>
          <w:color w:val="000000"/>
          <w:sz w:val="24"/>
          <w:szCs w:val="24"/>
          <w:lang w:val="en-US"/>
        </w:rPr>
        <w:t xml:space="preserve"> </w:t>
      </w:r>
      <w:r w:rsidRPr="00AC1F74">
        <w:rPr>
          <w:rFonts w:ascii="Times New Roman" w:hAnsi="Times New Roman" w:cs="Arial"/>
          <w:color w:val="000000"/>
          <w:sz w:val="24"/>
          <w:szCs w:val="24"/>
          <w:lang w:val="en-US"/>
        </w:rPr>
        <w:t>IEEE Trans.</w:t>
      </w:r>
      <w:r>
        <w:rPr>
          <w:rFonts w:ascii="Times New Roman" w:hAnsi="Times New Roman" w:cs="Arial"/>
          <w:color w:val="000000"/>
          <w:sz w:val="24"/>
          <w:szCs w:val="24"/>
          <w:lang w:val="en-US"/>
        </w:rPr>
        <w:t xml:space="preserve"> Geosci. Remote Sens., 36, </w:t>
      </w:r>
      <w:r w:rsidRPr="00AC1F74">
        <w:rPr>
          <w:rFonts w:ascii="Times New Roman" w:hAnsi="Times New Roman" w:cs="Arial"/>
          <w:color w:val="000000"/>
          <w:sz w:val="24"/>
          <w:szCs w:val="24"/>
          <w:lang w:val="en-US"/>
        </w:rPr>
        <w:t>1578–1588</w:t>
      </w:r>
      <w:r>
        <w:rPr>
          <w:rFonts w:ascii="Times New Roman" w:hAnsi="Times New Roman" w:cs="Arial"/>
          <w:color w:val="000000"/>
          <w:sz w:val="24"/>
          <w:szCs w:val="24"/>
          <w:lang w:val="en-US"/>
        </w:rPr>
        <w:t>.</w:t>
      </w:r>
    </w:p>
    <w:p w14:paraId="705971DB" w14:textId="0E740334" w:rsidR="00830425" w:rsidRPr="00C3629B" w:rsidRDefault="00830425" w:rsidP="00A42484">
      <w:pPr>
        <w:widowControl w:val="0"/>
        <w:autoSpaceDE w:val="0"/>
        <w:autoSpaceDN w:val="0"/>
        <w:adjustRightInd w:val="0"/>
        <w:spacing w:after="240" w:line="480" w:lineRule="auto"/>
        <w:ind w:left="709" w:hanging="709"/>
        <w:rPr>
          <w:rFonts w:ascii="Times New Roman" w:hAnsi="Times New Roman"/>
          <w:sz w:val="24"/>
          <w:szCs w:val="24"/>
          <w:lang w:val="en-US"/>
        </w:rPr>
      </w:pPr>
      <w:r>
        <w:rPr>
          <w:rFonts w:ascii="Times New Roman" w:hAnsi="Times New Roman"/>
          <w:sz w:val="24"/>
          <w:szCs w:val="24"/>
          <w:lang w:val="en-US"/>
        </w:rPr>
        <w:t xml:space="preserve">Ray, R., 1999. </w:t>
      </w:r>
      <w:r w:rsidRPr="00C3629B">
        <w:rPr>
          <w:rFonts w:ascii="Times New Roman" w:hAnsi="Times New Roman"/>
          <w:sz w:val="24"/>
          <w:szCs w:val="24"/>
          <w:lang w:val="en-US"/>
        </w:rPr>
        <w:t>A global ocean tide model from Top</w:t>
      </w:r>
      <w:r>
        <w:rPr>
          <w:rFonts w:ascii="Times New Roman" w:hAnsi="Times New Roman"/>
          <w:sz w:val="24"/>
          <w:szCs w:val="24"/>
          <w:lang w:val="en-US"/>
        </w:rPr>
        <w:t>ex/Poseidon altimetry: GOT99.2</w:t>
      </w:r>
      <w:r w:rsidR="00172033">
        <w:rPr>
          <w:rFonts w:ascii="Times New Roman" w:hAnsi="Times New Roman"/>
          <w:sz w:val="24"/>
          <w:szCs w:val="24"/>
          <w:lang w:val="en-US"/>
        </w:rPr>
        <w:t>.</w:t>
      </w:r>
      <w:r w:rsidRPr="00C3629B">
        <w:rPr>
          <w:rFonts w:ascii="Times New Roman" w:hAnsi="Times New Roman"/>
          <w:sz w:val="24"/>
          <w:szCs w:val="24"/>
          <w:lang w:val="en-US"/>
        </w:rPr>
        <w:t xml:space="preserve"> NASA Tech Memo 209478: 58 pages.</w:t>
      </w:r>
    </w:p>
    <w:p w14:paraId="3271E4C2" w14:textId="424B2C5B" w:rsidR="00830425" w:rsidRDefault="00830425" w:rsidP="00A42484">
      <w:pPr>
        <w:widowControl w:val="0"/>
        <w:tabs>
          <w:tab w:val="left" w:pos="220"/>
          <w:tab w:val="left" w:pos="720"/>
        </w:tabs>
        <w:autoSpaceDE w:val="0"/>
        <w:autoSpaceDN w:val="0"/>
        <w:adjustRightInd w:val="0"/>
        <w:spacing w:after="240" w:line="480" w:lineRule="auto"/>
        <w:ind w:left="709" w:hanging="709"/>
        <w:rPr>
          <w:rFonts w:ascii="Times New Roman" w:hAnsi="Times New Roman"/>
          <w:bCs/>
          <w:color w:val="1C1C1C"/>
          <w:sz w:val="24"/>
          <w:szCs w:val="24"/>
          <w:lang w:val="en-US"/>
        </w:rPr>
      </w:pPr>
      <w:r>
        <w:rPr>
          <w:rFonts w:ascii="Times New Roman" w:hAnsi="Times New Roman" w:cs="Arial"/>
          <w:color w:val="000000"/>
          <w:sz w:val="24"/>
          <w:szCs w:val="24"/>
          <w:lang w:val="en-US"/>
        </w:rPr>
        <w:t xml:space="preserve">Sandwell, D.T., </w:t>
      </w:r>
      <w:r w:rsidRPr="00572DFC">
        <w:rPr>
          <w:rFonts w:ascii="Times New Roman" w:hAnsi="Times New Roman"/>
          <w:bCs/>
          <w:color w:val="1C1C1C"/>
          <w:sz w:val="24"/>
          <w:szCs w:val="24"/>
          <w:lang w:val="en-US"/>
        </w:rPr>
        <w:t>Müller</w:t>
      </w:r>
      <w:r>
        <w:rPr>
          <w:rFonts w:ascii="Times New Roman" w:hAnsi="Times New Roman"/>
          <w:bCs/>
          <w:color w:val="1C1C1C"/>
          <w:sz w:val="24"/>
          <w:szCs w:val="24"/>
          <w:lang w:val="en-US"/>
        </w:rPr>
        <w:t>,</w:t>
      </w:r>
      <w:r w:rsidR="00172033">
        <w:rPr>
          <w:rFonts w:ascii="Times New Roman" w:hAnsi="Times New Roman"/>
          <w:bCs/>
          <w:color w:val="1C1C1C"/>
          <w:sz w:val="24"/>
          <w:szCs w:val="24"/>
          <w:lang w:val="en-US"/>
        </w:rPr>
        <w:t xml:space="preserve"> R.D.,</w:t>
      </w:r>
      <w:r>
        <w:rPr>
          <w:rFonts w:ascii="Times New Roman" w:hAnsi="Times New Roman"/>
          <w:bCs/>
          <w:color w:val="1C1C1C"/>
          <w:sz w:val="24"/>
          <w:szCs w:val="24"/>
          <w:lang w:val="en-US"/>
        </w:rPr>
        <w:t xml:space="preserve"> Smith,</w:t>
      </w:r>
      <w:r w:rsidR="00172033">
        <w:rPr>
          <w:rFonts w:ascii="Times New Roman" w:hAnsi="Times New Roman"/>
          <w:bCs/>
          <w:color w:val="1C1C1C"/>
          <w:sz w:val="24"/>
          <w:szCs w:val="24"/>
          <w:lang w:val="en-US"/>
        </w:rPr>
        <w:t xml:space="preserve"> W.H.F.,</w:t>
      </w:r>
      <w:r>
        <w:rPr>
          <w:rFonts w:ascii="Times New Roman" w:hAnsi="Times New Roman"/>
          <w:bCs/>
          <w:color w:val="1C1C1C"/>
          <w:sz w:val="24"/>
          <w:szCs w:val="24"/>
          <w:lang w:val="en-US"/>
        </w:rPr>
        <w:t xml:space="preserve"> Garcia,</w:t>
      </w:r>
      <w:r w:rsidR="00172033">
        <w:rPr>
          <w:rFonts w:ascii="Times New Roman" w:hAnsi="Times New Roman"/>
          <w:bCs/>
          <w:color w:val="1C1C1C"/>
          <w:sz w:val="24"/>
          <w:szCs w:val="24"/>
          <w:lang w:val="en-US"/>
        </w:rPr>
        <w:t xml:space="preserve"> E.,</w:t>
      </w:r>
      <w:r>
        <w:rPr>
          <w:rFonts w:ascii="Times New Roman" w:hAnsi="Times New Roman"/>
          <w:bCs/>
          <w:color w:val="1C1C1C"/>
          <w:sz w:val="24"/>
          <w:szCs w:val="24"/>
          <w:lang w:val="en-US"/>
        </w:rPr>
        <w:t xml:space="preserve"> Francis,</w:t>
      </w:r>
      <w:r w:rsidR="00172033">
        <w:rPr>
          <w:rFonts w:ascii="Times New Roman" w:hAnsi="Times New Roman"/>
          <w:bCs/>
          <w:color w:val="1C1C1C"/>
          <w:sz w:val="24"/>
          <w:szCs w:val="24"/>
          <w:lang w:val="en-US"/>
        </w:rPr>
        <w:t xml:space="preserve"> R.,</w:t>
      </w:r>
      <w:r>
        <w:rPr>
          <w:rFonts w:ascii="Times New Roman" w:hAnsi="Times New Roman"/>
          <w:bCs/>
          <w:color w:val="1C1C1C"/>
          <w:sz w:val="24"/>
          <w:szCs w:val="24"/>
          <w:lang w:val="en-US"/>
        </w:rPr>
        <w:t xml:space="preserve"> 2014. New global marine gravity model from CryoSat-2 and Jason-1 revels buried tectonic structure</w:t>
      </w:r>
      <w:r w:rsidR="00172033">
        <w:rPr>
          <w:rFonts w:ascii="Times New Roman" w:hAnsi="Times New Roman"/>
          <w:bCs/>
          <w:color w:val="1C1C1C"/>
          <w:sz w:val="24"/>
          <w:szCs w:val="24"/>
          <w:lang w:val="en-US"/>
        </w:rPr>
        <w:t>.</w:t>
      </w:r>
      <w:r>
        <w:rPr>
          <w:rFonts w:ascii="Times New Roman" w:hAnsi="Times New Roman"/>
          <w:bCs/>
          <w:color w:val="1C1C1C"/>
          <w:sz w:val="24"/>
          <w:szCs w:val="24"/>
          <w:lang w:val="en-US"/>
        </w:rPr>
        <w:t xml:space="preserve"> Science, 346, 65-67.</w:t>
      </w:r>
    </w:p>
    <w:p w14:paraId="5661A63D" w14:textId="44241AAC" w:rsidR="00830425" w:rsidRPr="00AC1F74" w:rsidRDefault="00830425" w:rsidP="00A42484">
      <w:pPr>
        <w:widowControl w:val="0"/>
        <w:tabs>
          <w:tab w:val="left" w:pos="220"/>
          <w:tab w:val="left" w:pos="720"/>
        </w:tabs>
        <w:autoSpaceDE w:val="0"/>
        <w:autoSpaceDN w:val="0"/>
        <w:adjustRightInd w:val="0"/>
        <w:spacing w:after="240" w:line="480" w:lineRule="auto"/>
        <w:ind w:left="709" w:hanging="709"/>
        <w:rPr>
          <w:rFonts w:ascii="Times New Roman" w:hAnsi="Times New Roman" w:cs="Arial"/>
          <w:color w:val="000000"/>
          <w:sz w:val="24"/>
          <w:szCs w:val="24"/>
          <w:lang w:val="en-US"/>
        </w:rPr>
      </w:pPr>
      <w:r>
        <w:rPr>
          <w:rFonts w:ascii="Times New Roman" w:hAnsi="Times New Roman" w:cs="Arial"/>
          <w:color w:val="000000"/>
          <w:sz w:val="24"/>
          <w:szCs w:val="24"/>
          <w:lang w:val="en-US"/>
        </w:rPr>
        <w:t xml:space="preserve">Smith, W.H.F., Scharroo, </w:t>
      </w:r>
      <w:r w:rsidR="00172033">
        <w:rPr>
          <w:rFonts w:ascii="Times New Roman" w:hAnsi="Times New Roman" w:cs="Arial"/>
          <w:color w:val="000000"/>
          <w:sz w:val="24"/>
          <w:szCs w:val="24"/>
          <w:lang w:val="en-US"/>
        </w:rPr>
        <w:t xml:space="preserve">R., </w:t>
      </w:r>
      <w:r>
        <w:rPr>
          <w:rFonts w:ascii="Times New Roman" w:hAnsi="Times New Roman" w:cs="Arial"/>
          <w:color w:val="000000"/>
          <w:sz w:val="24"/>
          <w:szCs w:val="24"/>
          <w:lang w:val="en-US"/>
        </w:rPr>
        <w:t>2009.</w:t>
      </w:r>
      <w:r w:rsidRPr="00685BF8">
        <w:rPr>
          <w:rFonts w:ascii="Times New Roman" w:hAnsi="Times New Roman" w:cs="Arial"/>
          <w:color w:val="000000"/>
          <w:sz w:val="24"/>
          <w:szCs w:val="24"/>
          <w:lang w:val="en-US"/>
        </w:rPr>
        <w:t xml:space="preserve"> Mesoscale ocean dynamics observed by satellite altimeters in non-repeat orbits</w:t>
      </w:r>
      <w:r w:rsidR="00172033">
        <w:rPr>
          <w:rFonts w:ascii="Times New Roman" w:hAnsi="Times New Roman" w:cs="Arial"/>
          <w:color w:val="000000"/>
          <w:sz w:val="24"/>
          <w:szCs w:val="24"/>
          <w:lang w:val="en-US"/>
        </w:rPr>
        <w:t>.</w:t>
      </w:r>
      <w:r w:rsidRPr="00685BF8">
        <w:rPr>
          <w:rFonts w:ascii="Times New Roman" w:hAnsi="Times New Roman" w:cs="Arial"/>
          <w:color w:val="000000"/>
          <w:sz w:val="24"/>
          <w:szCs w:val="24"/>
          <w:lang w:val="en-US"/>
        </w:rPr>
        <w:t xml:space="preserve"> Geophys. Res. Lett., 36, L06601, doi:</w:t>
      </w:r>
      <w:hyperlink r:id="rId53" w:history="1">
        <w:r w:rsidRPr="00685BF8">
          <w:rPr>
            <w:rFonts w:ascii="Times New Roman" w:hAnsi="Times New Roman" w:cs="Arial"/>
            <w:color w:val="000000"/>
            <w:sz w:val="24"/>
            <w:szCs w:val="24"/>
            <w:lang w:val="en-US"/>
          </w:rPr>
          <w:t>10.1029/2008GL036530</w:t>
        </w:r>
      </w:hyperlink>
      <w:r w:rsidRPr="00685BF8">
        <w:rPr>
          <w:rFonts w:ascii="Times New Roman" w:hAnsi="Times New Roman" w:cs="Arial"/>
          <w:color w:val="000000"/>
          <w:sz w:val="24"/>
          <w:szCs w:val="24"/>
          <w:lang w:val="en-US"/>
        </w:rPr>
        <w:t>.</w:t>
      </w:r>
    </w:p>
    <w:p w14:paraId="7B33621A" w14:textId="77777777" w:rsidR="00830425" w:rsidRDefault="00AB5329" w:rsidP="00A42484">
      <w:pPr>
        <w:spacing w:after="240" w:line="480" w:lineRule="auto"/>
        <w:ind w:left="709" w:hanging="709"/>
        <w:rPr>
          <w:rFonts w:ascii="Times New Roman" w:hAnsi="Times New Roman"/>
          <w:color w:val="000000"/>
          <w:sz w:val="24"/>
          <w:szCs w:val="24"/>
          <w:lang w:val="en-US"/>
        </w:rPr>
      </w:pPr>
      <w:hyperlink r:id="rId54" w:history="1">
        <w:r w:rsidR="00830425" w:rsidRPr="00507CF6">
          <w:rPr>
            <w:rFonts w:ascii="Times New Roman" w:hAnsi="Times New Roman"/>
            <w:color w:val="000000"/>
            <w:sz w:val="24"/>
            <w:szCs w:val="24"/>
            <w:lang w:val="en-US"/>
          </w:rPr>
          <w:t>Tolman, H. L., 2009</w:t>
        </w:r>
      </w:hyperlink>
      <w:r w:rsidR="00830425">
        <w:rPr>
          <w:rFonts w:ascii="Times New Roman" w:hAnsi="Times New Roman"/>
          <w:color w:val="000000"/>
          <w:sz w:val="24"/>
          <w:szCs w:val="24"/>
          <w:lang w:val="en-US"/>
        </w:rPr>
        <w:t>.</w:t>
      </w:r>
      <w:r w:rsidR="00830425" w:rsidRPr="00507CF6">
        <w:rPr>
          <w:rFonts w:ascii="Times New Roman" w:hAnsi="Times New Roman"/>
          <w:color w:val="000000"/>
          <w:sz w:val="24"/>
          <w:szCs w:val="24"/>
          <w:lang w:val="en-US"/>
        </w:rPr>
        <w:t xml:space="preserve"> User manual and system documentation of WAVEWATCH III version 3.14. NOAA / NWS / NCEP / MMAB Technical Note </w:t>
      </w:r>
      <w:r w:rsidR="00830425" w:rsidRPr="00C0456B">
        <w:rPr>
          <w:rFonts w:ascii="Times New Roman" w:hAnsi="Times New Roman"/>
          <w:bCs/>
          <w:color w:val="000000"/>
          <w:sz w:val="24"/>
          <w:szCs w:val="24"/>
          <w:lang w:val="en-US"/>
        </w:rPr>
        <w:t>276</w:t>
      </w:r>
      <w:r w:rsidR="00830425" w:rsidRPr="00507CF6">
        <w:rPr>
          <w:rFonts w:ascii="Times New Roman" w:hAnsi="Times New Roman"/>
          <w:color w:val="000000"/>
          <w:sz w:val="24"/>
          <w:szCs w:val="24"/>
          <w:lang w:val="en-US"/>
        </w:rPr>
        <w:t>, 194 pp.</w:t>
      </w:r>
    </w:p>
    <w:p w14:paraId="4281035D" w14:textId="48FA650B" w:rsidR="00830425" w:rsidRDefault="00830425" w:rsidP="00A42484">
      <w:pPr>
        <w:widowControl w:val="0"/>
        <w:autoSpaceDE w:val="0"/>
        <w:autoSpaceDN w:val="0"/>
        <w:adjustRightInd w:val="0"/>
        <w:spacing w:after="240" w:line="480" w:lineRule="auto"/>
        <w:ind w:left="709" w:hanging="709"/>
        <w:rPr>
          <w:rFonts w:ascii="Times New Roman" w:hAnsi="Times New Roman"/>
          <w:color w:val="000000"/>
          <w:sz w:val="24"/>
          <w:szCs w:val="24"/>
          <w:lang w:val="en-US"/>
        </w:rPr>
      </w:pPr>
      <w:r w:rsidRPr="0035427A">
        <w:rPr>
          <w:rFonts w:ascii="Times New Roman" w:hAnsi="Times New Roman"/>
          <w:color w:val="000000"/>
          <w:sz w:val="24"/>
          <w:szCs w:val="24"/>
          <w:lang w:val="en-US"/>
        </w:rPr>
        <w:t>Wahr</w:t>
      </w:r>
      <w:r>
        <w:rPr>
          <w:rFonts w:ascii="Times New Roman" w:hAnsi="Times New Roman"/>
          <w:color w:val="000000"/>
          <w:sz w:val="24"/>
          <w:szCs w:val="24"/>
          <w:lang w:val="en-US"/>
        </w:rPr>
        <w:t>,</w:t>
      </w:r>
      <w:r w:rsidRPr="0035427A">
        <w:rPr>
          <w:rFonts w:ascii="Times New Roman" w:hAnsi="Times New Roman"/>
          <w:color w:val="000000"/>
          <w:sz w:val="24"/>
          <w:szCs w:val="24"/>
          <w:lang w:val="en-US"/>
        </w:rPr>
        <w:t xml:space="preserve"> J</w:t>
      </w:r>
      <w:r>
        <w:rPr>
          <w:rFonts w:ascii="Times New Roman" w:hAnsi="Times New Roman"/>
          <w:color w:val="000000"/>
          <w:sz w:val="24"/>
          <w:szCs w:val="24"/>
          <w:lang w:val="en-US"/>
        </w:rPr>
        <w:t xml:space="preserve">. </w:t>
      </w:r>
      <w:r w:rsidRPr="0035427A">
        <w:rPr>
          <w:rFonts w:ascii="Times New Roman" w:hAnsi="Times New Roman"/>
          <w:color w:val="000000"/>
          <w:sz w:val="24"/>
          <w:szCs w:val="24"/>
          <w:lang w:val="en-US"/>
        </w:rPr>
        <w:t>M</w:t>
      </w:r>
      <w:r>
        <w:rPr>
          <w:rFonts w:ascii="Times New Roman" w:hAnsi="Times New Roman"/>
          <w:color w:val="000000"/>
          <w:sz w:val="24"/>
          <w:szCs w:val="24"/>
          <w:lang w:val="en-US"/>
        </w:rPr>
        <w:t>., 1985.</w:t>
      </w:r>
      <w:r w:rsidRPr="0035427A">
        <w:rPr>
          <w:rFonts w:ascii="Times New Roman" w:hAnsi="Times New Roman"/>
          <w:color w:val="000000"/>
          <w:sz w:val="24"/>
          <w:szCs w:val="24"/>
          <w:lang w:val="en-US"/>
        </w:rPr>
        <w:t xml:space="preserve"> Defo</w:t>
      </w:r>
      <w:r>
        <w:rPr>
          <w:rFonts w:ascii="Times New Roman" w:hAnsi="Times New Roman"/>
          <w:color w:val="000000"/>
          <w:sz w:val="24"/>
          <w:szCs w:val="24"/>
          <w:lang w:val="en-US"/>
        </w:rPr>
        <w:t>rmation induced by polar motion</w:t>
      </w:r>
      <w:r w:rsidR="00172033">
        <w:rPr>
          <w:rFonts w:ascii="Times New Roman" w:hAnsi="Times New Roman"/>
          <w:color w:val="000000"/>
          <w:sz w:val="24"/>
          <w:szCs w:val="24"/>
          <w:lang w:val="en-US"/>
        </w:rPr>
        <w:t>.</w:t>
      </w:r>
      <w:r w:rsidRPr="0035427A">
        <w:rPr>
          <w:rFonts w:ascii="Times New Roman" w:hAnsi="Times New Roman"/>
          <w:color w:val="000000"/>
          <w:sz w:val="24"/>
          <w:szCs w:val="24"/>
          <w:lang w:val="en-US"/>
        </w:rPr>
        <w:t xml:space="preserve"> J</w:t>
      </w:r>
      <w:r>
        <w:rPr>
          <w:rFonts w:ascii="Times New Roman" w:hAnsi="Times New Roman"/>
          <w:color w:val="000000"/>
          <w:sz w:val="24"/>
          <w:szCs w:val="24"/>
          <w:lang w:val="en-US"/>
        </w:rPr>
        <w:t>.</w:t>
      </w:r>
      <w:r w:rsidRPr="0035427A">
        <w:rPr>
          <w:rFonts w:ascii="Times New Roman" w:hAnsi="Times New Roman"/>
          <w:color w:val="000000"/>
          <w:sz w:val="24"/>
          <w:szCs w:val="24"/>
          <w:lang w:val="en-US"/>
        </w:rPr>
        <w:t xml:space="preserve"> Geophys</w:t>
      </w:r>
      <w:r>
        <w:rPr>
          <w:rFonts w:ascii="Times New Roman" w:hAnsi="Times New Roman"/>
          <w:color w:val="000000"/>
          <w:sz w:val="24"/>
          <w:szCs w:val="24"/>
          <w:lang w:val="en-US"/>
        </w:rPr>
        <w:t>.</w:t>
      </w:r>
      <w:r w:rsidRPr="0035427A">
        <w:rPr>
          <w:rFonts w:ascii="Times New Roman" w:hAnsi="Times New Roman"/>
          <w:color w:val="000000"/>
          <w:sz w:val="24"/>
          <w:szCs w:val="24"/>
          <w:lang w:val="en-US"/>
        </w:rPr>
        <w:t xml:space="preserve"> Res</w:t>
      </w:r>
      <w:r>
        <w:rPr>
          <w:rFonts w:ascii="Times New Roman" w:hAnsi="Times New Roman"/>
          <w:color w:val="000000"/>
          <w:sz w:val="24"/>
          <w:szCs w:val="24"/>
          <w:lang w:val="en-US"/>
        </w:rPr>
        <w:t>.</w:t>
      </w:r>
      <w:r w:rsidRPr="0035427A">
        <w:rPr>
          <w:rFonts w:ascii="Times New Roman" w:hAnsi="Times New Roman"/>
          <w:color w:val="000000"/>
          <w:sz w:val="24"/>
          <w:szCs w:val="24"/>
          <w:lang w:val="en-US"/>
        </w:rPr>
        <w:t xml:space="preserve"> 90(B11):9363–9368. doi:10.1029/JB090iB11p09363.</w:t>
      </w:r>
    </w:p>
    <w:p w14:paraId="6A6AD250" w14:textId="490320CD" w:rsidR="00830425" w:rsidRDefault="00830425" w:rsidP="00A42484">
      <w:pPr>
        <w:widowControl w:val="0"/>
        <w:autoSpaceDE w:val="0"/>
        <w:autoSpaceDN w:val="0"/>
        <w:adjustRightInd w:val="0"/>
        <w:spacing w:after="240" w:line="480" w:lineRule="auto"/>
        <w:ind w:left="709" w:hanging="709"/>
        <w:rPr>
          <w:rFonts w:ascii="Times New Roman" w:hAnsi="Times New Roman"/>
          <w:color w:val="000000"/>
          <w:sz w:val="24"/>
          <w:szCs w:val="24"/>
          <w:lang w:val="en-US"/>
        </w:rPr>
      </w:pPr>
      <w:r>
        <w:rPr>
          <w:rFonts w:ascii="Times New Roman" w:hAnsi="Times New Roman"/>
          <w:color w:val="000000"/>
          <w:sz w:val="24"/>
          <w:szCs w:val="24"/>
          <w:lang w:val="en-US"/>
        </w:rPr>
        <w:lastRenderedPageBreak/>
        <w:t xml:space="preserve">Walsh, E. J., 1982. </w:t>
      </w:r>
      <w:r w:rsidRPr="009B2083">
        <w:rPr>
          <w:rFonts w:ascii="Times New Roman" w:hAnsi="Times New Roman"/>
          <w:color w:val="000000"/>
          <w:sz w:val="24"/>
          <w:szCs w:val="24"/>
          <w:lang w:val="en-US"/>
        </w:rPr>
        <w:t>Pulse to pulse correlation</w:t>
      </w:r>
      <w:r>
        <w:rPr>
          <w:rFonts w:ascii="Times New Roman" w:hAnsi="Times New Roman"/>
          <w:color w:val="000000"/>
          <w:sz w:val="24"/>
          <w:szCs w:val="24"/>
          <w:lang w:val="en-US"/>
        </w:rPr>
        <w:t xml:space="preserve"> in satellite radar altimeters</w:t>
      </w:r>
      <w:r w:rsidR="00172033">
        <w:rPr>
          <w:rFonts w:ascii="Times New Roman" w:hAnsi="Times New Roman"/>
          <w:color w:val="000000"/>
          <w:sz w:val="24"/>
          <w:szCs w:val="24"/>
          <w:lang w:val="en-US"/>
        </w:rPr>
        <w:t>.</w:t>
      </w:r>
      <w:r w:rsidRPr="009B2083">
        <w:rPr>
          <w:rFonts w:ascii="Times New Roman" w:hAnsi="Times New Roman"/>
          <w:color w:val="000000"/>
          <w:sz w:val="24"/>
          <w:szCs w:val="24"/>
          <w:lang w:val="en-US"/>
        </w:rPr>
        <w:t xml:space="preserve"> </w:t>
      </w:r>
      <w:r w:rsidRPr="007B32E1">
        <w:rPr>
          <w:rFonts w:ascii="Times New Roman" w:hAnsi="Times New Roman"/>
          <w:color w:val="000000"/>
          <w:sz w:val="24"/>
          <w:szCs w:val="24"/>
          <w:lang w:val="en-US"/>
        </w:rPr>
        <w:t>Radio Sci</w:t>
      </w:r>
      <w:r w:rsidRPr="00172033">
        <w:rPr>
          <w:rFonts w:ascii="Times New Roman" w:hAnsi="Times New Roman"/>
          <w:color w:val="000000"/>
          <w:sz w:val="24"/>
          <w:szCs w:val="24"/>
          <w:lang w:val="en-US"/>
        </w:rPr>
        <w:t>.</w:t>
      </w:r>
      <w:r w:rsidRPr="009B2083">
        <w:rPr>
          <w:rFonts w:ascii="Times New Roman" w:hAnsi="Times New Roman"/>
          <w:color w:val="000000"/>
          <w:sz w:val="24"/>
          <w:szCs w:val="24"/>
          <w:lang w:val="en-US"/>
        </w:rPr>
        <w:t>, vol. 17, no.</w:t>
      </w:r>
      <w:r>
        <w:rPr>
          <w:rFonts w:ascii="Times New Roman" w:hAnsi="Times New Roman"/>
          <w:color w:val="000000"/>
          <w:sz w:val="24"/>
          <w:szCs w:val="24"/>
          <w:lang w:val="en-US"/>
        </w:rPr>
        <w:t xml:space="preserve"> 4, pp. 786–800, Jul./Aug.</w:t>
      </w:r>
    </w:p>
    <w:p w14:paraId="1F132480" w14:textId="180E2F18" w:rsidR="00830425" w:rsidRPr="00634113" w:rsidRDefault="00830425" w:rsidP="00A42484">
      <w:pPr>
        <w:widowControl w:val="0"/>
        <w:autoSpaceDE w:val="0"/>
        <w:autoSpaceDN w:val="0"/>
        <w:adjustRightInd w:val="0"/>
        <w:spacing w:after="240" w:line="480" w:lineRule="auto"/>
        <w:ind w:left="709" w:hanging="709"/>
        <w:rPr>
          <w:rFonts w:ascii="Times New Roman" w:hAnsi="Times New Roman"/>
          <w:color w:val="000000"/>
          <w:sz w:val="24"/>
          <w:szCs w:val="24"/>
          <w:lang w:val="en-US"/>
        </w:rPr>
      </w:pPr>
      <w:r w:rsidRPr="00BD2140">
        <w:rPr>
          <w:rFonts w:ascii="Times New Roman" w:hAnsi="Times New Roman"/>
          <w:sz w:val="24"/>
          <w:szCs w:val="24"/>
          <w:lang w:val="en-GB"/>
        </w:rPr>
        <w:t>Welch, P.D., 1967. The Use of Fast Fourier Transform for the Estimation of Power Spectra: A Method Based on Time Averaging Over Short, Modified Periodograms</w:t>
      </w:r>
      <w:r w:rsidR="00172033">
        <w:rPr>
          <w:rFonts w:ascii="Times New Roman" w:hAnsi="Times New Roman"/>
          <w:sz w:val="24"/>
          <w:szCs w:val="24"/>
          <w:lang w:val="en-GB"/>
        </w:rPr>
        <w:t>.</w:t>
      </w:r>
      <w:r w:rsidRPr="00BD2140">
        <w:rPr>
          <w:rFonts w:ascii="Times New Roman" w:hAnsi="Times New Roman"/>
          <w:sz w:val="24"/>
          <w:szCs w:val="24"/>
          <w:lang w:val="en-GB"/>
        </w:rPr>
        <w:t xml:space="preserve"> </w:t>
      </w:r>
      <w:r w:rsidRPr="00BD2140">
        <w:rPr>
          <w:rFonts w:ascii="Times New Roman" w:hAnsi="Times New Roman"/>
          <w:iCs/>
          <w:sz w:val="24"/>
          <w:szCs w:val="24"/>
          <w:lang w:val="en-GB"/>
        </w:rPr>
        <w:t>IEEE Transactions on Audio Electroacoustics</w:t>
      </w:r>
      <w:r w:rsidRPr="00BD2140">
        <w:rPr>
          <w:rFonts w:ascii="Times New Roman" w:hAnsi="Times New Roman"/>
          <w:sz w:val="24"/>
          <w:szCs w:val="24"/>
          <w:lang w:val="en-GB"/>
        </w:rPr>
        <w:t>, AU-15, 70</w:t>
      </w:r>
      <w:r w:rsidRPr="004A702A">
        <w:rPr>
          <w:rFonts w:ascii="Times New Roman" w:hAnsi="Times New Roman"/>
          <w:sz w:val="24"/>
          <w:szCs w:val="24"/>
          <w:lang w:val="en-GB"/>
        </w:rPr>
        <w:t>–</w:t>
      </w:r>
      <w:r w:rsidRPr="00BD2140">
        <w:rPr>
          <w:rFonts w:ascii="Times New Roman" w:hAnsi="Times New Roman"/>
          <w:sz w:val="24"/>
          <w:szCs w:val="24"/>
          <w:lang w:val="en-GB"/>
        </w:rPr>
        <w:t>73.</w:t>
      </w:r>
    </w:p>
    <w:p w14:paraId="3C6C0962" w14:textId="73315E4B" w:rsidR="00830425" w:rsidRPr="00A21879" w:rsidRDefault="00830425" w:rsidP="00A42484">
      <w:pPr>
        <w:widowControl w:val="0"/>
        <w:autoSpaceDE w:val="0"/>
        <w:autoSpaceDN w:val="0"/>
        <w:adjustRightInd w:val="0"/>
        <w:spacing w:after="240" w:line="480" w:lineRule="auto"/>
        <w:ind w:left="709" w:hanging="709"/>
        <w:rPr>
          <w:rFonts w:ascii="Times New Roman" w:hAnsi="Times New Roman"/>
          <w:color w:val="000000"/>
          <w:sz w:val="24"/>
          <w:szCs w:val="24"/>
          <w:lang w:val="en-US"/>
        </w:rPr>
      </w:pPr>
      <w:r w:rsidRPr="00A21879">
        <w:rPr>
          <w:rFonts w:ascii="Times New Roman" w:hAnsi="Times New Roman"/>
          <w:color w:val="000000"/>
          <w:sz w:val="24"/>
          <w:szCs w:val="24"/>
          <w:lang w:val="en-US"/>
        </w:rPr>
        <w:t>Wingham D. J., Francis C.R., Baker S., Bouzinac C., Cullen R., de Chateau-Thierry P., Laxon S.W., Mallow U., Mavrocordatos C., Phalippou L., Ratier G., Rey L., Rostan F., Viau P., and Wallis D.,</w:t>
      </w:r>
      <w:r>
        <w:rPr>
          <w:rFonts w:ascii="Times New Roman" w:hAnsi="Times New Roman"/>
          <w:color w:val="000000"/>
          <w:sz w:val="24"/>
          <w:szCs w:val="24"/>
          <w:lang w:val="en-US"/>
        </w:rPr>
        <w:t xml:space="preserve"> 2006.</w:t>
      </w:r>
      <w:r w:rsidRPr="00A21879">
        <w:rPr>
          <w:rFonts w:ascii="Times New Roman" w:hAnsi="Times New Roman"/>
          <w:color w:val="000000"/>
          <w:sz w:val="24"/>
          <w:szCs w:val="24"/>
          <w:lang w:val="en-US"/>
        </w:rPr>
        <w:t xml:space="preserve"> CryoSat: A Mission to Determine the Fluctuations in Ear</w:t>
      </w:r>
      <w:r>
        <w:rPr>
          <w:rFonts w:ascii="Times New Roman" w:hAnsi="Times New Roman"/>
          <w:color w:val="000000"/>
          <w:sz w:val="24"/>
          <w:szCs w:val="24"/>
          <w:lang w:val="en-US"/>
        </w:rPr>
        <w:t>th's Land and Marine Ice Fields</w:t>
      </w:r>
      <w:r w:rsidR="003225B8">
        <w:rPr>
          <w:rFonts w:ascii="Times New Roman" w:hAnsi="Times New Roman"/>
          <w:color w:val="000000"/>
          <w:sz w:val="24"/>
          <w:szCs w:val="24"/>
          <w:lang w:val="en-US"/>
        </w:rPr>
        <w:t>.</w:t>
      </w:r>
      <w:r w:rsidRPr="00A21879">
        <w:rPr>
          <w:rFonts w:ascii="Times New Roman" w:hAnsi="Times New Roman"/>
          <w:color w:val="000000"/>
          <w:sz w:val="24"/>
          <w:szCs w:val="24"/>
          <w:lang w:val="en-US"/>
        </w:rPr>
        <w:t xml:space="preserve"> Adva</w:t>
      </w:r>
      <w:r>
        <w:rPr>
          <w:rFonts w:ascii="Times New Roman" w:hAnsi="Times New Roman"/>
          <w:color w:val="000000"/>
          <w:sz w:val="24"/>
          <w:szCs w:val="24"/>
          <w:lang w:val="en-US"/>
        </w:rPr>
        <w:t>nces in Space Research, 37,</w:t>
      </w:r>
      <w:r w:rsidRPr="00A21879">
        <w:rPr>
          <w:rFonts w:ascii="Times New Roman" w:hAnsi="Times New Roman"/>
          <w:color w:val="000000"/>
          <w:sz w:val="24"/>
          <w:szCs w:val="24"/>
          <w:lang w:val="en-US"/>
        </w:rPr>
        <w:t xml:space="preserve"> 841-871.</w:t>
      </w:r>
    </w:p>
    <w:p w14:paraId="17B0C800" w14:textId="77777777" w:rsidR="00830425" w:rsidRDefault="00830425" w:rsidP="00A42484">
      <w:pPr>
        <w:spacing w:line="480" w:lineRule="auto"/>
        <w:rPr>
          <w:rFonts w:ascii="Times New Roman" w:hAnsi="Times New Roman"/>
          <w:color w:val="262626"/>
          <w:sz w:val="24"/>
          <w:szCs w:val="24"/>
          <w:lang w:val="en-US"/>
        </w:rPr>
      </w:pPr>
    </w:p>
    <w:p w14:paraId="73F561D8" w14:textId="7935531E" w:rsidR="00830425" w:rsidRPr="00DC2661" w:rsidRDefault="00830425" w:rsidP="00A42484">
      <w:pPr>
        <w:spacing w:line="480" w:lineRule="auto"/>
        <w:rPr>
          <w:rFonts w:ascii="Times New Roman" w:hAnsi="Times New Roman"/>
          <w:color w:val="262626"/>
          <w:sz w:val="24"/>
          <w:szCs w:val="24"/>
          <w:lang w:val="en-US"/>
        </w:rPr>
      </w:pPr>
    </w:p>
    <w:sectPr w:rsidR="00830425" w:rsidRPr="00DC2661" w:rsidSect="007B32E1">
      <w:footerReference w:type="even" r:id="rId55"/>
      <w:footerReference w:type="default" r:id="rId56"/>
      <w:pgSz w:w="11906" w:h="16838" w:code="9"/>
      <w:pgMar w:top="1440" w:right="1440" w:bottom="1440" w:left="1440" w:header="709" w:footer="709" w:gutter="0"/>
      <w:lnNumType w:countBy="1" w:restart="continuou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4C38A70" w14:textId="77777777" w:rsidR="001B6182" w:rsidRDefault="001B6182" w:rsidP="00F40D62">
      <w:pPr>
        <w:spacing w:after="0" w:line="240" w:lineRule="auto"/>
      </w:pPr>
      <w:r>
        <w:separator/>
      </w:r>
    </w:p>
  </w:endnote>
  <w:endnote w:type="continuationSeparator" w:id="0">
    <w:p w14:paraId="1C93929F" w14:textId="77777777" w:rsidR="001B6182" w:rsidRDefault="001B6182" w:rsidP="00F40D6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Georgia">
    <w:panose1 w:val="02040502050405020303"/>
    <w:charset w:val="00"/>
    <w:family w:val="roman"/>
    <w:pitch w:val="variable"/>
    <w:sig w:usb0="00000287" w:usb1="00000000" w:usb2="00000000" w:usb3="00000000" w:csb0="0000009F" w:csb1="00000000"/>
  </w:font>
  <w:font w:name="Consolas">
    <w:panose1 w:val="020B0609020204030204"/>
    <w:charset w:val="00"/>
    <w:family w:val="modern"/>
    <w:pitch w:val="fixed"/>
    <w:sig w:usb0="E10002FF" w:usb1="4000FCFF" w:usb2="00000009" w:usb3="00000000" w:csb0="0000019F" w:csb1="00000000"/>
  </w:font>
  <w:font w:name="Trebuchet MS">
    <w:panose1 w:val="020B0603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5A7B057" w14:textId="77777777" w:rsidR="001B6182" w:rsidRDefault="001B6182" w:rsidP="009924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D24C521" w14:textId="77777777" w:rsidR="001B6182" w:rsidRDefault="001B6182" w:rsidP="00EB380C">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D5EBA56" w14:textId="171C649E" w:rsidR="001B6182" w:rsidRDefault="001B6182" w:rsidP="0099247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AB5329">
      <w:rPr>
        <w:rStyle w:val="PageNumber"/>
        <w:noProof/>
      </w:rPr>
      <w:t>45</w:t>
    </w:r>
    <w:r>
      <w:rPr>
        <w:rStyle w:val="PageNumber"/>
      </w:rPr>
      <w:fldChar w:fldCharType="end"/>
    </w:r>
  </w:p>
  <w:p w14:paraId="361F75F8" w14:textId="77777777" w:rsidR="001B6182" w:rsidRDefault="001B6182" w:rsidP="00EB380C">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6FD23CC" w14:textId="77777777" w:rsidR="001B6182" w:rsidRDefault="001B6182" w:rsidP="00F40D62">
      <w:pPr>
        <w:spacing w:after="0" w:line="240" w:lineRule="auto"/>
      </w:pPr>
      <w:r>
        <w:separator/>
      </w:r>
    </w:p>
  </w:footnote>
  <w:footnote w:type="continuationSeparator" w:id="0">
    <w:p w14:paraId="08007AFF" w14:textId="77777777" w:rsidR="001B6182" w:rsidRDefault="001B6182" w:rsidP="00F40D62">
      <w:pPr>
        <w:spacing w:after="0" w:line="240" w:lineRule="auto"/>
      </w:pPr>
      <w:r>
        <w:continuationSeparator/>
      </w:r>
    </w:p>
  </w:footnote>
  <w:footnote w:id="1">
    <w:p w14:paraId="7EAE9414" w14:textId="247FA5BF" w:rsidR="001B6182" w:rsidRPr="007B32E1" w:rsidRDefault="001B6182">
      <w:pPr>
        <w:pStyle w:val="FootnoteText"/>
        <w:rPr>
          <w:rFonts w:ascii="Times New Roman" w:hAnsi="Times New Roman"/>
          <w:lang w:val="en-GB"/>
        </w:rPr>
      </w:pPr>
      <w:r w:rsidRPr="007B32E1">
        <w:rPr>
          <w:rStyle w:val="FootnoteReference"/>
          <w:rFonts w:ascii="Times New Roman" w:hAnsi="Times New Roman"/>
        </w:rPr>
        <w:footnoteRef/>
      </w:r>
      <w:r w:rsidRPr="007B32E1">
        <w:rPr>
          <w:rFonts w:ascii="Times New Roman" w:hAnsi="Times New Roman"/>
        </w:rPr>
        <w:t xml:space="preserve"> </w:t>
      </w:r>
      <w:r w:rsidRPr="007B32E1">
        <w:rPr>
          <w:rFonts w:ascii="Times New Roman" w:hAnsi="Times New Roman"/>
          <w:lang w:val="en-GB"/>
        </w:rPr>
        <w:t xml:space="preserve">Present address: National Oceanography Centre, Liverpool, UK.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15pt;height:13.5pt" o:bullet="t">
        <v:imagedata r:id="rId1" o:title="BD21337_"/>
      </v:shape>
    </w:pict>
  </w:numPicBullet>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rPr>
        <w:rFonts w:cs="Times New Roman"/>
      </w:rPr>
    </w:lvl>
    <w:lvl w:ilvl="2" w:tplc="FFFFFFFF">
      <w:numFmt w:val="decimal"/>
      <w:lvlText w:val=""/>
      <w:lvlJc w:val="left"/>
      <w:rPr>
        <w:rFonts w:cs="Times New Roman"/>
      </w:rPr>
    </w:lvl>
    <w:lvl w:ilvl="3" w:tplc="FFFFFFFF">
      <w:numFmt w:val="decimal"/>
      <w:lvlText w:val=""/>
      <w:lvlJc w:val="left"/>
      <w:rPr>
        <w:rFonts w:cs="Times New Roman"/>
      </w:rPr>
    </w:lvl>
    <w:lvl w:ilvl="4" w:tplc="FFFFFFFF">
      <w:numFmt w:val="decimal"/>
      <w:lvlText w:val=""/>
      <w:lvlJc w:val="left"/>
      <w:rPr>
        <w:rFonts w:cs="Times New Roman"/>
      </w:rPr>
    </w:lvl>
    <w:lvl w:ilvl="5" w:tplc="FFFFFFFF">
      <w:numFmt w:val="decimal"/>
      <w:lvlText w:val=""/>
      <w:lvlJc w:val="left"/>
      <w:rPr>
        <w:rFonts w:cs="Times New Roman"/>
      </w:rPr>
    </w:lvl>
    <w:lvl w:ilvl="6" w:tplc="FFFFFFFF">
      <w:numFmt w:val="decimal"/>
      <w:lvlText w:val=""/>
      <w:lvlJc w:val="left"/>
      <w:rPr>
        <w:rFonts w:cs="Times New Roman"/>
      </w:rPr>
    </w:lvl>
    <w:lvl w:ilvl="7" w:tplc="FFFFFFFF">
      <w:numFmt w:val="decimal"/>
      <w:lvlText w:val=""/>
      <w:lvlJc w:val="left"/>
      <w:rPr>
        <w:rFonts w:cs="Times New Roman"/>
      </w:rPr>
    </w:lvl>
    <w:lvl w:ilvl="8" w:tplc="FFFFFFFF">
      <w:numFmt w:val="decimal"/>
      <w:lvlText w:val=""/>
      <w:lvlJc w:val="left"/>
      <w:rPr>
        <w:rFonts w:cs="Times New Roman"/>
      </w:rPr>
    </w:lvl>
  </w:abstractNum>
  <w:abstractNum w:abstractNumId="1" w15:restartNumberingAfterBreak="0">
    <w:nsid w:val="03255B05"/>
    <w:multiLevelType w:val="hybridMultilevel"/>
    <w:tmpl w:val="562673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4EBD7A28"/>
    <w:multiLevelType w:val="hybridMultilevel"/>
    <w:tmpl w:val="20A489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3D9D"/>
    <w:rsid w:val="0000007F"/>
    <w:rsid w:val="00000BFE"/>
    <w:rsid w:val="00001387"/>
    <w:rsid w:val="0000153A"/>
    <w:rsid w:val="000020DE"/>
    <w:rsid w:val="00002D5A"/>
    <w:rsid w:val="00003095"/>
    <w:rsid w:val="00003880"/>
    <w:rsid w:val="00003BFC"/>
    <w:rsid w:val="000043F5"/>
    <w:rsid w:val="000048A8"/>
    <w:rsid w:val="00004EE2"/>
    <w:rsid w:val="000054E3"/>
    <w:rsid w:val="00005FF1"/>
    <w:rsid w:val="000061DB"/>
    <w:rsid w:val="00006376"/>
    <w:rsid w:val="00006D3D"/>
    <w:rsid w:val="000078A4"/>
    <w:rsid w:val="0001087C"/>
    <w:rsid w:val="00010C55"/>
    <w:rsid w:val="00010CB5"/>
    <w:rsid w:val="00010DBC"/>
    <w:rsid w:val="00011699"/>
    <w:rsid w:val="000116F8"/>
    <w:rsid w:val="000122D6"/>
    <w:rsid w:val="00012508"/>
    <w:rsid w:val="00012A07"/>
    <w:rsid w:val="00012BDB"/>
    <w:rsid w:val="00013AFE"/>
    <w:rsid w:val="00014291"/>
    <w:rsid w:val="00014D7C"/>
    <w:rsid w:val="0001520C"/>
    <w:rsid w:val="00015809"/>
    <w:rsid w:val="00015EF9"/>
    <w:rsid w:val="000163AA"/>
    <w:rsid w:val="00016632"/>
    <w:rsid w:val="0001699A"/>
    <w:rsid w:val="00017F16"/>
    <w:rsid w:val="00017F68"/>
    <w:rsid w:val="000202D1"/>
    <w:rsid w:val="00020574"/>
    <w:rsid w:val="00020AAD"/>
    <w:rsid w:val="000210CE"/>
    <w:rsid w:val="000212EF"/>
    <w:rsid w:val="000214BA"/>
    <w:rsid w:val="00021CE6"/>
    <w:rsid w:val="00022B82"/>
    <w:rsid w:val="00023587"/>
    <w:rsid w:val="00023926"/>
    <w:rsid w:val="00023C99"/>
    <w:rsid w:val="00023D4A"/>
    <w:rsid w:val="00024204"/>
    <w:rsid w:val="000245DD"/>
    <w:rsid w:val="00024722"/>
    <w:rsid w:val="00025AB6"/>
    <w:rsid w:val="0002634E"/>
    <w:rsid w:val="00026D70"/>
    <w:rsid w:val="00026DEB"/>
    <w:rsid w:val="00026F31"/>
    <w:rsid w:val="000278EC"/>
    <w:rsid w:val="0003082D"/>
    <w:rsid w:val="00030A44"/>
    <w:rsid w:val="00030EE2"/>
    <w:rsid w:val="00030F42"/>
    <w:rsid w:val="00031715"/>
    <w:rsid w:val="000317D8"/>
    <w:rsid w:val="00031F51"/>
    <w:rsid w:val="0003222F"/>
    <w:rsid w:val="0003228D"/>
    <w:rsid w:val="00032553"/>
    <w:rsid w:val="000342D6"/>
    <w:rsid w:val="00034695"/>
    <w:rsid w:val="00034A10"/>
    <w:rsid w:val="00034A58"/>
    <w:rsid w:val="000364D1"/>
    <w:rsid w:val="00037A81"/>
    <w:rsid w:val="0004039F"/>
    <w:rsid w:val="0004137F"/>
    <w:rsid w:val="00042240"/>
    <w:rsid w:val="000429C1"/>
    <w:rsid w:val="00042BBE"/>
    <w:rsid w:val="000430D6"/>
    <w:rsid w:val="00043B1B"/>
    <w:rsid w:val="0004420B"/>
    <w:rsid w:val="000466DB"/>
    <w:rsid w:val="000469E6"/>
    <w:rsid w:val="00046EE4"/>
    <w:rsid w:val="00047107"/>
    <w:rsid w:val="00050A3E"/>
    <w:rsid w:val="00050CBA"/>
    <w:rsid w:val="00050F3D"/>
    <w:rsid w:val="00051141"/>
    <w:rsid w:val="000511F6"/>
    <w:rsid w:val="000512FC"/>
    <w:rsid w:val="00051B4B"/>
    <w:rsid w:val="00051CD1"/>
    <w:rsid w:val="00051EA2"/>
    <w:rsid w:val="000523D1"/>
    <w:rsid w:val="000525BB"/>
    <w:rsid w:val="00053160"/>
    <w:rsid w:val="00054383"/>
    <w:rsid w:val="00055885"/>
    <w:rsid w:val="00055FCC"/>
    <w:rsid w:val="00056E00"/>
    <w:rsid w:val="0005754B"/>
    <w:rsid w:val="000577F3"/>
    <w:rsid w:val="000602EF"/>
    <w:rsid w:val="000608A5"/>
    <w:rsid w:val="000608E5"/>
    <w:rsid w:val="00061AE7"/>
    <w:rsid w:val="00061B31"/>
    <w:rsid w:val="00061DDC"/>
    <w:rsid w:val="00062917"/>
    <w:rsid w:val="000630E0"/>
    <w:rsid w:val="00063295"/>
    <w:rsid w:val="0006366F"/>
    <w:rsid w:val="0006390C"/>
    <w:rsid w:val="00063A5C"/>
    <w:rsid w:val="00063ABE"/>
    <w:rsid w:val="00063CB3"/>
    <w:rsid w:val="000641EF"/>
    <w:rsid w:val="0006435A"/>
    <w:rsid w:val="00064637"/>
    <w:rsid w:val="0006496C"/>
    <w:rsid w:val="00064C6F"/>
    <w:rsid w:val="00065CCA"/>
    <w:rsid w:val="00065DDC"/>
    <w:rsid w:val="000660D4"/>
    <w:rsid w:val="00066143"/>
    <w:rsid w:val="000669DA"/>
    <w:rsid w:val="00066C87"/>
    <w:rsid w:val="00066F8C"/>
    <w:rsid w:val="000671BC"/>
    <w:rsid w:val="00067608"/>
    <w:rsid w:val="00067862"/>
    <w:rsid w:val="00072188"/>
    <w:rsid w:val="00072721"/>
    <w:rsid w:val="00072CE0"/>
    <w:rsid w:val="00073296"/>
    <w:rsid w:val="000737C2"/>
    <w:rsid w:val="00074059"/>
    <w:rsid w:val="00074228"/>
    <w:rsid w:val="00074962"/>
    <w:rsid w:val="00076433"/>
    <w:rsid w:val="00076695"/>
    <w:rsid w:val="00076DA7"/>
    <w:rsid w:val="00077E79"/>
    <w:rsid w:val="00080052"/>
    <w:rsid w:val="000801C1"/>
    <w:rsid w:val="0008045F"/>
    <w:rsid w:val="00080857"/>
    <w:rsid w:val="000808BF"/>
    <w:rsid w:val="00082890"/>
    <w:rsid w:val="00082A91"/>
    <w:rsid w:val="0008352C"/>
    <w:rsid w:val="0008358B"/>
    <w:rsid w:val="000843ED"/>
    <w:rsid w:val="00084D22"/>
    <w:rsid w:val="00084E3D"/>
    <w:rsid w:val="00085566"/>
    <w:rsid w:val="00085F99"/>
    <w:rsid w:val="00086058"/>
    <w:rsid w:val="00086DAC"/>
    <w:rsid w:val="000901F3"/>
    <w:rsid w:val="000902E1"/>
    <w:rsid w:val="00090A01"/>
    <w:rsid w:val="00090FB5"/>
    <w:rsid w:val="0009175E"/>
    <w:rsid w:val="0009190A"/>
    <w:rsid w:val="00091969"/>
    <w:rsid w:val="00091CD4"/>
    <w:rsid w:val="00092059"/>
    <w:rsid w:val="000927B8"/>
    <w:rsid w:val="00092EBF"/>
    <w:rsid w:val="000939B9"/>
    <w:rsid w:val="00093DE8"/>
    <w:rsid w:val="00093E1F"/>
    <w:rsid w:val="00094370"/>
    <w:rsid w:val="000957A6"/>
    <w:rsid w:val="00096038"/>
    <w:rsid w:val="000969B4"/>
    <w:rsid w:val="000974C5"/>
    <w:rsid w:val="00097885"/>
    <w:rsid w:val="00097FCB"/>
    <w:rsid w:val="000A0C0E"/>
    <w:rsid w:val="000A0E54"/>
    <w:rsid w:val="000A110D"/>
    <w:rsid w:val="000A1372"/>
    <w:rsid w:val="000A137F"/>
    <w:rsid w:val="000A1EA4"/>
    <w:rsid w:val="000A286F"/>
    <w:rsid w:val="000A28E0"/>
    <w:rsid w:val="000A37D2"/>
    <w:rsid w:val="000A3ED5"/>
    <w:rsid w:val="000A41DB"/>
    <w:rsid w:val="000A45B0"/>
    <w:rsid w:val="000A5232"/>
    <w:rsid w:val="000A53BA"/>
    <w:rsid w:val="000A5879"/>
    <w:rsid w:val="000A6FFF"/>
    <w:rsid w:val="000A731A"/>
    <w:rsid w:val="000A7F0D"/>
    <w:rsid w:val="000B03DA"/>
    <w:rsid w:val="000B0BBF"/>
    <w:rsid w:val="000B0F21"/>
    <w:rsid w:val="000B11C8"/>
    <w:rsid w:val="000B19BC"/>
    <w:rsid w:val="000B2529"/>
    <w:rsid w:val="000B2BCD"/>
    <w:rsid w:val="000B320A"/>
    <w:rsid w:val="000B33FD"/>
    <w:rsid w:val="000B347A"/>
    <w:rsid w:val="000B34DC"/>
    <w:rsid w:val="000B414B"/>
    <w:rsid w:val="000B425B"/>
    <w:rsid w:val="000B4899"/>
    <w:rsid w:val="000B4B40"/>
    <w:rsid w:val="000B53FA"/>
    <w:rsid w:val="000B6578"/>
    <w:rsid w:val="000B6817"/>
    <w:rsid w:val="000B7375"/>
    <w:rsid w:val="000B79E8"/>
    <w:rsid w:val="000B7B3D"/>
    <w:rsid w:val="000B7EC3"/>
    <w:rsid w:val="000C0552"/>
    <w:rsid w:val="000C082E"/>
    <w:rsid w:val="000C0ACC"/>
    <w:rsid w:val="000C1CA2"/>
    <w:rsid w:val="000C2904"/>
    <w:rsid w:val="000C31E3"/>
    <w:rsid w:val="000C3672"/>
    <w:rsid w:val="000C415C"/>
    <w:rsid w:val="000C42D5"/>
    <w:rsid w:val="000C5A1A"/>
    <w:rsid w:val="000C5B16"/>
    <w:rsid w:val="000C5BD2"/>
    <w:rsid w:val="000C5DD3"/>
    <w:rsid w:val="000C7A3A"/>
    <w:rsid w:val="000C7A8A"/>
    <w:rsid w:val="000C7C6A"/>
    <w:rsid w:val="000D01B8"/>
    <w:rsid w:val="000D0C03"/>
    <w:rsid w:val="000D1041"/>
    <w:rsid w:val="000D142F"/>
    <w:rsid w:val="000D1626"/>
    <w:rsid w:val="000D26E1"/>
    <w:rsid w:val="000D272D"/>
    <w:rsid w:val="000D2FA4"/>
    <w:rsid w:val="000D314D"/>
    <w:rsid w:val="000D3C61"/>
    <w:rsid w:val="000D5E92"/>
    <w:rsid w:val="000D6EB2"/>
    <w:rsid w:val="000D6F00"/>
    <w:rsid w:val="000D7179"/>
    <w:rsid w:val="000D77D6"/>
    <w:rsid w:val="000D7B14"/>
    <w:rsid w:val="000E08C6"/>
    <w:rsid w:val="000E0FD5"/>
    <w:rsid w:val="000E12E2"/>
    <w:rsid w:val="000E1E6B"/>
    <w:rsid w:val="000E2773"/>
    <w:rsid w:val="000E2902"/>
    <w:rsid w:val="000E2EBA"/>
    <w:rsid w:val="000E4953"/>
    <w:rsid w:val="000E4E8D"/>
    <w:rsid w:val="000E5801"/>
    <w:rsid w:val="000E5C1A"/>
    <w:rsid w:val="000E5FD3"/>
    <w:rsid w:val="000E6327"/>
    <w:rsid w:val="000E6370"/>
    <w:rsid w:val="000E63D9"/>
    <w:rsid w:val="000E6C63"/>
    <w:rsid w:val="000E71D0"/>
    <w:rsid w:val="000E72AF"/>
    <w:rsid w:val="000E7DA0"/>
    <w:rsid w:val="000F07DA"/>
    <w:rsid w:val="000F2ADB"/>
    <w:rsid w:val="000F371F"/>
    <w:rsid w:val="000F3B59"/>
    <w:rsid w:val="000F44B0"/>
    <w:rsid w:val="000F45CC"/>
    <w:rsid w:val="000F5B46"/>
    <w:rsid w:val="000F6AB8"/>
    <w:rsid w:val="000F6E49"/>
    <w:rsid w:val="000F7082"/>
    <w:rsid w:val="000F7D19"/>
    <w:rsid w:val="001001AD"/>
    <w:rsid w:val="001003F1"/>
    <w:rsid w:val="00100446"/>
    <w:rsid w:val="0010051F"/>
    <w:rsid w:val="00100EB5"/>
    <w:rsid w:val="00102045"/>
    <w:rsid w:val="0010236F"/>
    <w:rsid w:val="001026D7"/>
    <w:rsid w:val="001034D1"/>
    <w:rsid w:val="00103C4F"/>
    <w:rsid w:val="001049DF"/>
    <w:rsid w:val="00104A16"/>
    <w:rsid w:val="00104BD9"/>
    <w:rsid w:val="001065DF"/>
    <w:rsid w:val="0010676F"/>
    <w:rsid w:val="0010681B"/>
    <w:rsid w:val="00106ADD"/>
    <w:rsid w:val="00106DC6"/>
    <w:rsid w:val="00106E26"/>
    <w:rsid w:val="00107260"/>
    <w:rsid w:val="00107FBC"/>
    <w:rsid w:val="00107FE3"/>
    <w:rsid w:val="001102B8"/>
    <w:rsid w:val="00110485"/>
    <w:rsid w:val="001108A6"/>
    <w:rsid w:val="001112A5"/>
    <w:rsid w:val="001129E9"/>
    <w:rsid w:val="0011370C"/>
    <w:rsid w:val="00113C61"/>
    <w:rsid w:val="00113CD6"/>
    <w:rsid w:val="00114139"/>
    <w:rsid w:val="00114F20"/>
    <w:rsid w:val="001150DB"/>
    <w:rsid w:val="0011570A"/>
    <w:rsid w:val="00116F8E"/>
    <w:rsid w:val="00117311"/>
    <w:rsid w:val="0012054F"/>
    <w:rsid w:val="00120ECB"/>
    <w:rsid w:val="00122559"/>
    <w:rsid w:val="00122BFB"/>
    <w:rsid w:val="00123D02"/>
    <w:rsid w:val="0012412D"/>
    <w:rsid w:val="00124399"/>
    <w:rsid w:val="0012448C"/>
    <w:rsid w:val="00124492"/>
    <w:rsid w:val="00124638"/>
    <w:rsid w:val="0012516F"/>
    <w:rsid w:val="00125295"/>
    <w:rsid w:val="001254EF"/>
    <w:rsid w:val="00125A50"/>
    <w:rsid w:val="00126727"/>
    <w:rsid w:val="00126728"/>
    <w:rsid w:val="00126DB6"/>
    <w:rsid w:val="00127F4E"/>
    <w:rsid w:val="0013026A"/>
    <w:rsid w:val="001310BD"/>
    <w:rsid w:val="00131AD9"/>
    <w:rsid w:val="00132880"/>
    <w:rsid w:val="00132BC7"/>
    <w:rsid w:val="001330AE"/>
    <w:rsid w:val="00133E30"/>
    <w:rsid w:val="00134257"/>
    <w:rsid w:val="001344F3"/>
    <w:rsid w:val="00134D7E"/>
    <w:rsid w:val="00134EF9"/>
    <w:rsid w:val="001355EF"/>
    <w:rsid w:val="00135708"/>
    <w:rsid w:val="00135740"/>
    <w:rsid w:val="00136DC3"/>
    <w:rsid w:val="001370FF"/>
    <w:rsid w:val="00137270"/>
    <w:rsid w:val="0013753D"/>
    <w:rsid w:val="00137CAA"/>
    <w:rsid w:val="00137E9E"/>
    <w:rsid w:val="00137F78"/>
    <w:rsid w:val="00140185"/>
    <w:rsid w:val="00140273"/>
    <w:rsid w:val="00140415"/>
    <w:rsid w:val="001407DE"/>
    <w:rsid w:val="00141B53"/>
    <w:rsid w:val="0014328C"/>
    <w:rsid w:val="00143426"/>
    <w:rsid w:val="00143526"/>
    <w:rsid w:val="00143AEB"/>
    <w:rsid w:val="001449EA"/>
    <w:rsid w:val="00144F32"/>
    <w:rsid w:val="0014501B"/>
    <w:rsid w:val="0014508B"/>
    <w:rsid w:val="001461F5"/>
    <w:rsid w:val="001466E7"/>
    <w:rsid w:val="00146CD1"/>
    <w:rsid w:val="00147922"/>
    <w:rsid w:val="001479F7"/>
    <w:rsid w:val="00147B66"/>
    <w:rsid w:val="00150128"/>
    <w:rsid w:val="0015099A"/>
    <w:rsid w:val="0015269C"/>
    <w:rsid w:val="00152797"/>
    <w:rsid w:val="00152E83"/>
    <w:rsid w:val="00152E91"/>
    <w:rsid w:val="00152FCA"/>
    <w:rsid w:val="00153215"/>
    <w:rsid w:val="00153F74"/>
    <w:rsid w:val="0015409C"/>
    <w:rsid w:val="00154545"/>
    <w:rsid w:val="001545E8"/>
    <w:rsid w:val="001546E8"/>
    <w:rsid w:val="00154BD6"/>
    <w:rsid w:val="0015554E"/>
    <w:rsid w:val="00155858"/>
    <w:rsid w:val="00155A25"/>
    <w:rsid w:val="001564A3"/>
    <w:rsid w:val="00156F89"/>
    <w:rsid w:val="00157BED"/>
    <w:rsid w:val="00157CAD"/>
    <w:rsid w:val="001609BD"/>
    <w:rsid w:val="00161323"/>
    <w:rsid w:val="001615AF"/>
    <w:rsid w:val="001618CB"/>
    <w:rsid w:val="00161FCA"/>
    <w:rsid w:val="001620C6"/>
    <w:rsid w:val="001622E6"/>
    <w:rsid w:val="0016251F"/>
    <w:rsid w:val="001626D9"/>
    <w:rsid w:val="001629E6"/>
    <w:rsid w:val="0016303B"/>
    <w:rsid w:val="00163622"/>
    <w:rsid w:val="001637AF"/>
    <w:rsid w:val="00163ADE"/>
    <w:rsid w:val="00164079"/>
    <w:rsid w:val="001655F1"/>
    <w:rsid w:val="00165896"/>
    <w:rsid w:val="00166151"/>
    <w:rsid w:val="00166204"/>
    <w:rsid w:val="00166BAC"/>
    <w:rsid w:val="00166FC8"/>
    <w:rsid w:val="00167CB4"/>
    <w:rsid w:val="00170296"/>
    <w:rsid w:val="00171F2C"/>
    <w:rsid w:val="00172033"/>
    <w:rsid w:val="001720A6"/>
    <w:rsid w:val="00172159"/>
    <w:rsid w:val="00172B5D"/>
    <w:rsid w:val="00173588"/>
    <w:rsid w:val="00173AB7"/>
    <w:rsid w:val="001753F9"/>
    <w:rsid w:val="00175DC5"/>
    <w:rsid w:val="0017604B"/>
    <w:rsid w:val="001766F1"/>
    <w:rsid w:val="00176C9B"/>
    <w:rsid w:val="00177582"/>
    <w:rsid w:val="00177FF2"/>
    <w:rsid w:val="0018069B"/>
    <w:rsid w:val="00180E0B"/>
    <w:rsid w:val="00181B49"/>
    <w:rsid w:val="00182143"/>
    <w:rsid w:val="0018214C"/>
    <w:rsid w:val="001847C1"/>
    <w:rsid w:val="00184D9C"/>
    <w:rsid w:val="00185720"/>
    <w:rsid w:val="00185CCD"/>
    <w:rsid w:val="00190DEB"/>
    <w:rsid w:val="00190E4B"/>
    <w:rsid w:val="00191034"/>
    <w:rsid w:val="00193699"/>
    <w:rsid w:val="001940E5"/>
    <w:rsid w:val="0019456F"/>
    <w:rsid w:val="0019489F"/>
    <w:rsid w:val="00194D81"/>
    <w:rsid w:val="00194FBF"/>
    <w:rsid w:val="001953BF"/>
    <w:rsid w:val="00195F2B"/>
    <w:rsid w:val="00196286"/>
    <w:rsid w:val="0019635F"/>
    <w:rsid w:val="00196449"/>
    <w:rsid w:val="00196471"/>
    <w:rsid w:val="00196F04"/>
    <w:rsid w:val="001975D6"/>
    <w:rsid w:val="00197D2C"/>
    <w:rsid w:val="001A02AD"/>
    <w:rsid w:val="001A0F35"/>
    <w:rsid w:val="001A1248"/>
    <w:rsid w:val="001A1445"/>
    <w:rsid w:val="001A180B"/>
    <w:rsid w:val="001A1A02"/>
    <w:rsid w:val="001A2DE9"/>
    <w:rsid w:val="001A3221"/>
    <w:rsid w:val="001A4099"/>
    <w:rsid w:val="001A4955"/>
    <w:rsid w:val="001A4AA0"/>
    <w:rsid w:val="001A5531"/>
    <w:rsid w:val="001A594C"/>
    <w:rsid w:val="001A62EC"/>
    <w:rsid w:val="001A729B"/>
    <w:rsid w:val="001A72D8"/>
    <w:rsid w:val="001A760F"/>
    <w:rsid w:val="001B0DEE"/>
    <w:rsid w:val="001B1192"/>
    <w:rsid w:val="001B2044"/>
    <w:rsid w:val="001B2A4B"/>
    <w:rsid w:val="001B2B36"/>
    <w:rsid w:val="001B313C"/>
    <w:rsid w:val="001B35D1"/>
    <w:rsid w:val="001B37DA"/>
    <w:rsid w:val="001B3ADE"/>
    <w:rsid w:val="001B3D20"/>
    <w:rsid w:val="001B416A"/>
    <w:rsid w:val="001B476F"/>
    <w:rsid w:val="001B4D0C"/>
    <w:rsid w:val="001B526E"/>
    <w:rsid w:val="001B6182"/>
    <w:rsid w:val="001B62FC"/>
    <w:rsid w:val="001B631B"/>
    <w:rsid w:val="001B7D84"/>
    <w:rsid w:val="001C1FC0"/>
    <w:rsid w:val="001C247E"/>
    <w:rsid w:val="001C2713"/>
    <w:rsid w:val="001C2819"/>
    <w:rsid w:val="001C33AF"/>
    <w:rsid w:val="001C399B"/>
    <w:rsid w:val="001C39A2"/>
    <w:rsid w:val="001C42B3"/>
    <w:rsid w:val="001C431A"/>
    <w:rsid w:val="001C4FEB"/>
    <w:rsid w:val="001C55B1"/>
    <w:rsid w:val="001C5EA9"/>
    <w:rsid w:val="001C5EB1"/>
    <w:rsid w:val="001C6195"/>
    <w:rsid w:val="001C6527"/>
    <w:rsid w:val="001C665E"/>
    <w:rsid w:val="001C6660"/>
    <w:rsid w:val="001C6DFB"/>
    <w:rsid w:val="001C6F6E"/>
    <w:rsid w:val="001C7D5C"/>
    <w:rsid w:val="001D00AB"/>
    <w:rsid w:val="001D031B"/>
    <w:rsid w:val="001D0AA6"/>
    <w:rsid w:val="001D0D3D"/>
    <w:rsid w:val="001D1162"/>
    <w:rsid w:val="001D1942"/>
    <w:rsid w:val="001D19CA"/>
    <w:rsid w:val="001D2554"/>
    <w:rsid w:val="001D43DE"/>
    <w:rsid w:val="001D4421"/>
    <w:rsid w:val="001D4D14"/>
    <w:rsid w:val="001D5416"/>
    <w:rsid w:val="001D675D"/>
    <w:rsid w:val="001D7400"/>
    <w:rsid w:val="001D7542"/>
    <w:rsid w:val="001D7D57"/>
    <w:rsid w:val="001E009D"/>
    <w:rsid w:val="001E01D9"/>
    <w:rsid w:val="001E02B1"/>
    <w:rsid w:val="001E0A19"/>
    <w:rsid w:val="001E0A51"/>
    <w:rsid w:val="001E0C2C"/>
    <w:rsid w:val="001E19B4"/>
    <w:rsid w:val="001E1C71"/>
    <w:rsid w:val="001E1E3D"/>
    <w:rsid w:val="001E1EDF"/>
    <w:rsid w:val="001E2178"/>
    <w:rsid w:val="001E2E61"/>
    <w:rsid w:val="001E30AC"/>
    <w:rsid w:val="001E3609"/>
    <w:rsid w:val="001E3C6E"/>
    <w:rsid w:val="001E3FF9"/>
    <w:rsid w:val="001E4135"/>
    <w:rsid w:val="001E42D4"/>
    <w:rsid w:val="001E4361"/>
    <w:rsid w:val="001E4517"/>
    <w:rsid w:val="001E6526"/>
    <w:rsid w:val="001E7A92"/>
    <w:rsid w:val="001E7FD6"/>
    <w:rsid w:val="001F00CE"/>
    <w:rsid w:val="001F0950"/>
    <w:rsid w:val="001F09D4"/>
    <w:rsid w:val="001F0B2A"/>
    <w:rsid w:val="001F0F64"/>
    <w:rsid w:val="001F145F"/>
    <w:rsid w:val="001F18B0"/>
    <w:rsid w:val="001F1A97"/>
    <w:rsid w:val="001F25EF"/>
    <w:rsid w:val="001F2BD3"/>
    <w:rsid w:val="001F2EB0"/>
    <w:rsid w:val="001F3149"/>
    <w:rsid w:val="001F3DE6"/>
    <w:rsid w:val="001F44F0"/>
    <w:rsid w:val="001F4BB6"/>
    <w:rsid w:val="001F5027"/>
    <w:rsid w:val="001F509F"/>
    <w:rsid w:val="001F5327"/>
    <w:rsid w:val="001F532B"/>
    <w:rsid w:val="001F5D89"/>
    <w:rsid w:val="001F6144"/>
    <w:rsid w:val="001F6251"/>
    <w:rsid w:val="001F642A"/>
    <w:rsid w:val="001F6784"/>
    <w:rsid w:val="001F6B93"/>
    <w:rsid w:val="001F7221"/>
    <w:rsid w:val="001F79B7"/>
    <w:rsid w:val="001F7E29"/>
    <w:rsid w:val="00200D08"/>
    <w:rsid w:val="00200D2B"/>
    <w:rsid w:val="002013F4"/>
    <w:rsid w:val="00201D54"/>
    <w:rsid w:val="00201F60"/>
    <w:rsid w:val="00201F8C"/>
    <w:rsid w:val="0020273F"/>
    <w:rsid w:val="002028AE"/>
    <w:rsid w:val="00202A69"/>
    <w:rsid w:val="00202D8D"/>
    <w:rsid w:val="002030EE"/>
    <w:rsid w:val="00203642"/>
    <w:rsid w:val="00203C68"/>
    <w:rsid w:val="00203EAB"/>
    <w:rsid w:val="00205076"/>
    <w:rsid w:val="0020532D"/>
    <w:rsid w:val="00205CA8"/>
    <w:rsid w:val="00205D07"/>
    <w:rsid w:val="002061F5"/>
    <w:rsid w:val="00206575"/>
    <w:rsid w:val="002067DE"/>
    <w:rsid w:val="00206D6D"/>
    <w:rsid w:val="00210437"/>
    <w:rsid w:val="0021052D"/>
    <w:rsid w:val="00210C96"/>
    <w:rsid w:val="00211461"/>
    <w:rsid w:val="0021158B"/>
    <w:rsid w:val="00211712"/>
    <w:rsid w:val="00211754"/>
    <w:rsid w:val="00211795"/>
    <w:rsid w:val="00211D0A"/>
    <w:rsid w:val="002121FB"/>
    <w:rsid w:val="00212F6D"/>
    <w:rsid w:val="00212F7E"/>
    <w:rsid w:val="00213691"/>
    <w:rsid w:val="00214EB2"/>
    <w:rsid w:val="00216007"/>
    <w:rsid w:val="0021616C"/>
    <w:rsid w:val="002175AC"/>
    <w:rsid w:val="002175F4"/>
    <w:rsid w:val="00217788"/>
    <w:rsid w:val="00220186"/>
    <w:rsid w:val="00220365"/>
    <w:rsid w:val="00220916"/>
    <w:rsid w:val="00220C1B"/>
    <w:rsid w:val="00220D38"/>
    <w:rsid w:val="00220FCC"/>
    <w:rsid w:val="00220FEC"/>
    <w:rsid w:val="00221927"/>
    <w:rsid w:val="00221B2E"/>
    <w:rsid w:val="00222DAB"/>
    <w:rsid w:val="00223D3A"/>
    <w:rsid w:val="00224C00"/>
    <w:rsid w:val="00227A51"/>
    <w:rsid w:val="00230668"/>
    <w:rsid w:val="0023101E"/>
    <w:rsid w:val="00231502"/>
    <w:rsid w:val="00232184"/>
    <w:rsid w:val="0023266D"/>
    <w:rsid w:val="0023275E"/>
    <w:rsid w:val="002333BF"/>
    <w:rsid w:val="00233840"/>
    <w:rsid w:val="0023404D"/>
    <w:rsid w:val="002354C0"/>
    <w:rsid w:val="00236A8C"/>
    <w:rsid w:val="00237770"/>
    <w:rsid w:val="002379F9"/>
    <w:rsid w:val="00240223"/>
    <w:rsid w:val="00240674"/>
    <w:rsid w:val="00240D75"/>
    <w:rsid w:val="00240F2D"/>
    <w:rsid w:val="00242C1D"/>
    <w:rsid w:val="00243C51"/>
    <w:rsid w:val="00244094"/>
    <w:rsid w:val="00244F25"/>
    <w:rsid w:val="002451D9"/>
    <w:rsid w:val="002466ED"/>
    <w:rsid w:val="00246D97"/>
    <w:rsid w:val="00247F63"/>
    <w:rsid w:val="002503E4"/>
    <w:rsid w:val="00250E8D"/>
    <w:rsid w:val="00251608"/>
    <w:rsid w:val="0025197B"/>
    <w:rsid w:val="0025302E"/>
    <w:rsid w:val="00254D1B"/>
    <w:rsid w:val="00254F4C"/>
    <w:rsid w:val="00255A69"/>
    <w:rsid w:val="00255F5A"/>
    <w:rsid w:val="00256BA3"/>
    <w:rsid w:val="0025708B"/>
    <w:rsid w:val="00257330"/>
    <w:rsid w:val="0025795F"/>
    <w:rsid w:val="0026026E"/>
    <w:rsid w:val="002605AD"/>
    <w:rsid w:val="00260A9D"/>
    <w:rsid w:val="00261272"/>
    <w:rsid w:val="002613BB"/>
    <w:rsid w:val="00261F9A"/>
    <w:rsid w:val="002621BF"/>
    <w:rsid w:val="002621EA"/>
    <w:rsid w:val="00262625"/>
    <w:rsid w:val="00262962"/>
    <w:rsid w:val="002650A8"/>
    <w:rsid w:val="00265545"/>
    <w:rsid w:val="00265C4D"/>
    <w:rsid w:val="00265FB4"/>
    <w:rsid w:val="002662DC"/>
    <w:rsid w:val="00267D26"/>
    <w:rsid w:val="002702A3"/>
    <w:rsid w:val="002702B9"/>
    <w:rsid w:val="00270B48"/>
    <w:rsid w:val="00270E92"/>
    <w:rsid w:val="002710AB"/>
    <w:rsid w:val="002713B0"/>
    <w:rsid w:val="002715BA"/>
    <w:rsid w:val="00271DFA"/>
    <w:rsid w:val="0027223C"/>
    <w:rsid w:val="002723C4"/>
    <w:rsid w:val="002726CC"/>
    <w:rsid w:val="00272B5E"/>
    <w:rsid w:val="00273485"/>
    <w:rsid w:val="00273A61"/>
    <w:rsid w:val="002745CE"/>
    <w:rsid w:val="00274777"/>
    <w:rsid w:val="00276692"/>
    <w:rsid w:val="0027682A"/>
    <w:rsid w:val="00276927"/>
    <w:rsid w:val="00276B70"/>
    <w:rsid w:val="002812DF"/>
    <w:rsid w:val="00281324"/>
    <w:rsid w:val="002814F9"/>
    <w:rsid w:val="0028182D"/>
    <w:rsid w:val="00281C4F"/>
    <w:rsid w:val="00281C5B"/>
    <w:rsid w:val="00282D69"/>
    <w:rsid w:val="0028301F"/>
    <w:rsid w:val="0028310F"/>
    <w:rsid w:val="00283A8A"/>
    <w:rsid w:val="00283CF2"/>
    <w:rsid w:val="00283E61"/>
    <w:rsid w:val="0028406D"/>
    <w:rsid w:val="00284469"/>
    <w:rsid w:val="00284D19"/>
    <w:rsid w:val="00284EE6"/>
    <w:rsid w:val="00285A2D"/>
    <w:rsid w:val="00286AAB"/>
    <w:rsid w:val="002877AF"/>
    <w:rsid w:val="00290146"/>
    <w:rsid w:val="00290572"/>
    <w:rsid w:val="00291018"/>
    <w:rsid w:val="00291988"/>
    <w:rsid w:val="002919C6"/>
    <w:rsid w:val="00292690"/>
    <w:rsid w:val="00293A36"/>
    <w:rsid w:val="00293DD8"/>
    <w:rsid w:val="00294581"/>
    <w:rsid w:val="00294FCA"/>
    <w:rsid w:val="00295066"/>
    <w:rsid w:val="00295166"/>
    <w:rsid w:val="0029544E"/>
    <w:rsid w:val="00297150"/>
    <w:rsid w:val="00297C5D"/>
    <w:rsid w:val="00297E16"/>
    <w:rsid w:val="002A0C8A"/>
    <w:rsid w:val="002A20DF"/>
    <w:rsid w:val="002A2398"/>
    <w:rsid w:val="002A26F2"/>
    <w:rsid w:val="002A4E13"/>
    <w:rsid w:val="002A5A39"/>
    <w:rsid w:val="002A69CE"/>
    <w:rsid w:val="002A6D4A"/>
    <w:rsid w:val="002A7683"/>
    <w:rsid w:val="002B007C"/>
    <w:rsid w:val="002B15DF"/>
    <w:rsid w:val="002B1B05"/>
    <w:rsid w:val="002B4262"/>
    <w:rsid w:val="002B4398"/>
    <w:rsid w:val="002B47C3"/>
    <w:rsid w:val="002B5056"/>
    <w:rsid w:val="002B54D0"/>
    <w:rsid w:val="002B54D4"/>
    <w:rsid w:val="002B6022"/>
    <w:rsid w:val="002B60E8"/>
    <w:rsid w:val="002B69A4"/>
    <w:rsid w:val="002B6B81"/>
    <w:rsid w:val="002B6D4F"/>
    <w:rsid w:val="002B70AD"/>
    <w:rsid w:val="002B7631"/>
    <w:rsid w:val="002B7E27"/>
    <w:rsid w:val="002C006B"/>
    <w:rsid w:val="002C053F"/>
    <w:rsid w:val="002C06A5"/>
    <w:rsid w:val="002C08F5"/>
    <w:rsid w:val="002C28EF"/>
    <w:rsid w:val="002C2E31"/>
    <w:rsid w:val="002C2EA7"/>
    <w:rsid w:val="002C3588"/>
    <w:rsid w:val="002C3AE7"/>
    <w:rsid w:val="002C3D2F"/>
    <w:rsid w:val="002C40C5"/>
    <w:rsid w:val="002C4E22"/>
    <w:rsid w:val="002C4E97"/>
    <w:rsid w:val="002C50E4"/>
    <w:rsid w:val="002C5466"/>
    <w:rsid w:val="002C59A7"/>
    <w:rsid w:val="002C5C88"/>
    <w:rsid w:val="002C5EE7"/>
    <w:rsid w:val="002C675F"/>
    <w:rsid w:val="002C696E"/>
    <w:rsid w:val="002C6D78"/>
    <w:rsid w:val="002C6E72"/>
    <w:rsid w:val="002C7AF9"/>
    <w:rsid w:val="002C7F10"/>
    <w:rsid w:val="002D0D39"/>
    <w:rsid w:val="002D1E29"/>
    <w:rsid w:val="002D1FC3"/>
    <w:rsid w:val="002D2C5E"/>
    <w:rsid w:val="002D40BB"/>
    <w:rsid w:val="002D42C7"/>
    <w:rsid w:val="002D5538"/>
    <w:rsid w:val="002D63F1"/>
    <w:rsid w:val="002D66D1"/>
    <w:rsid w:val="002D7644"/>
    <w:rsid w:val="002D7B46"/>
    <w:rsid w:val="002D7BB2"/>
    <w:rsid w:val="002D7CB3"/>
    <w:rsid w:val="002D7E32"/>
    <w:rsid w:val="002E0377"/>
    <w:rsid w:val="002E03F3"/>
    <w:rsid w:val="002E159D"/>
    <w:rsid w:val="002E1B97"/>
    <w:rsid w:val="002E1EF0"/>
    <w:rsid w:val="002E2588"/>
    <w:rsid w:val="002E26CC"/>
    <w:rsid w:val="002E2919"/>
    <w:rsid w:val="002E2B9D"/>
    <w:rsid w:val="002E3224"/>
    <w:rsid w:val="002E3C8B"/>
    <w:rsid w:val="002E4D3D"/>
    <w:rsid w:val="002E5956"/>
    <w:rsid w:val="002E653A"/>
    <w:rsid w:val="002E6CC0"/>
    <w:rsid w:val="002E6F26"/>
    <w:rsid w:val="002E6F59"/>
    <w:rsid w:val="002E7486"/>
    <w:rsid w:val="002E78BA"/>
    <w:rsid w:val="002E79C8"/>
    <w:rsid w:val="002E7E84"/>
    <w:rsid w:val="002F179A"/>
    <w:rsid w:val="002F191E"/>
    <w:rsid w:val="002F4158"/>
    <w:rsid w:val="002F44A6"/>
    <w:rsid w:val="002F465D"/>
    <w:rsid w:val="002F6DE5"/>
    <w:rsid w:val="002F700E"/>
    <w:rsid w:val="00301337"/>
    <w:rsid w:val="0030150F"/>
    <w:rsid w:val="00301D1D"/>
    <w:rsid w:val="00302240"/>
    <w:rsid w:val="003026D7"/>
    <w:rsid w:val="0030284D"/>
    <w:rsid w:val="0030467C"/>
    <w:rsid w:val="00304D8B"/>
    <w:rsid w:val="00306146"/>
    <w:rsid w:val="0030623E"/>
    <w:rsid w:val="0030713B"/>
    <w:rsid w:val="0030722A"/>
    <w:rsid w:val="0030771F"/>
    <w:rsid w:val="0031004E"/>
    <w:rsid w:val="0031099B"/>
    <w:rsid w:val="00311C3F"/>
    <w:rsid w:val="0031258D"/>
    <w:rsid w:val="0031262D"/>
    <w:rsid w:val="0031283D"/>
    <w:rsid w:val="00313963"/>
    <w:rsid w:val="00314454"/>
    <w:rsid w:val="003148E6"/>
    <w:rsid w:val="00314F8B"/>
    <w:rsid w:val="00316C85"/>
    <w:rsid w:val="00317000"/>
    <w:rsid w:val="0031702D"/>
    <w:rsid w:val="003172C5"/>
    <w:rsid w:val="0031793E"/>
    <w:rsid w:val="0031797C"/>
    <w:rsid w:val="00317E2B"/>
    <w:rsid w:val="0032020B"/>
    <w:rsid w:val="003207CA"/>
    <w:rsid w:val="00321D14"/>
    <w:rsid w:val="00322577"/>
    <w:rsid w:val="003225B8"/>
    <w:rsid w:val="003227D0"/>
    <w:rsid w:val="00322B64"/>
    <w:rsid w:val="00323D41"/>
    <w:rsid w:val="00323E75"/>
    <w:rsid w:val="003242CB"/>
    <w:rsid w:val="00324B0E"/>
    <w:rsid w:val="00324DE4"/>
    <w:rsid w:val="00324FC6"/>
    <w:rsid w:val="00325F6E"/>
    <w:rsid w:val="00330433"/>
    <w:rsid w:val="003306D2"/>
    <w:rsid w:val="00330B40"/>
    <w:rsid w:val="00332350"/>
    <w:rsid w:val="0033242D"/>
    <w:rsid w:val="00332941"/>
    <w:rsid w:val="00332D8B"/>
    <w:rsid w:val="00332E9A"/>
    <w:rsid w:val="00332F68"/>
    <w:rsid w:val="0033457B"/>
    <w:rsid w:val="003347AB"/>
    <w:rsid w:val="003357A1"/>
    <w:rsid w:val="00335A75"/>
    <w:rsid w:val="0033611A"/>
    <w:rsid w:val="003361AC"/>
    <w:rsid w:val="00336572"/>
    <w:rsid w:val="00336A99"/>
    <w:rsid w:val="00336B48"/>
    <w:rsid w:val="00336B5A"/>
    <w:rsid w:val="003378F5"/>
    <w:rsid w:val="00337F62"/>
    <w:rsid w:val="003401D4"/>
    <w:rsid w:val="003405D8"/>
    <w:rsid w:val="00341A92"/>
    <w:rsid w:val="00341C3B"/>
    <w:rsid w:val="003425BF"/>
    <w:rsid w:val="00342911"/>
    <w:rsid w:val="00342C9A"/>
    <w:rsid w:val="003430DD"/>
    <w:rsid w:val="00343D4F"/>
    <w:rsid w:val="0034463D"/>
    <w:rsid w:val="00344880"/>
    <w:rsid w:val="00344D29"/>
    <w:rsid w:val="00345E48"/>
    <w:rsid w:val="00346594"/>
    <w:rsid w:val="003468BD"/>
    <w:rsid w:val="003471C5"/>
    <w:rsid w:val="0035153B"/>
    <w:rsid w:val="00351721"/>
    <w:rsid w:val="0035264E"/>
    <w:rsid w:val="00352B34"/>
    <w:rsid w:val="0035427A"/>
    <w:rsid w:val="00354672"/>
    <w:rsid w:val="003553EB"/>
    <w:rsid w:val="00355CCD"/>
    <w:rsid w:val="00355ECF"/>
    <w:rsid w:val="00356789"/>
    <w:rsid w:val="00356A53"/>
    <w:rsid w:val="00357274"/>
    <w:rsid w:val="003603BD"/>
    <w:rsid w:val="003603FF"/>
    <w:rsid w:val="0036048B"/>
    <w:rsid w:val="00360607"/>
    <w:rsid w:val="00361274"/>
    <w:rsid w:val="003614B7"/>
    <w:rsid w:val="003620F5"/>
    <w:rsid w:val="003626D9"/>
    <w:rsid w:val="00362FEF"/>
    <w:rsid w:val="00363A07"/>
    <w:rsid w:val="003650EF"/>
    <w:rsid w:val="00365C04"/>
    <w:rsid w:val="00365F28"/>
    <w:rsid w:val="00366430"/>
    <w:rsid w:val="00366F98"/>
    <w:rsid w:val="00367A31"/>
    <w:rsid w:val="00370122"/>
    <w:rsid w:val="0037046A"/>
    <w:rsid w:val="00370E05"/>
    <w:rsid w:val="00370F24"/>
    <w:rsid w:val="0037122E"/>
    <w:rsid w:val="00371721"/>
    <w:rsid w:val="00371742"/>
    <w:rsid w:val="00371753"/>
    <w:rsid w:val="00371C6E"/>
    <w:rsid w:val="00371CEF"/>
    <w:rsid w:val="003720A0"/>
    <w:rsid w:val="00372D7C"/>
    <w:rsid w:val="00372E22"/>
    <w:rsid w:val="00372E3B"/>
    <w:rsid w:val="00372EBB"/>
    <w:rsid w:val="003737EA"/>
    <w:rsid w:val="00373C4E"/>
    <w:rsid w:val="00373CCF"/>
    <w:rsid w:val="0037476B"/>
    <w:rsid w:val="00374C5A"/>
    <w:rsid w:val="00375166"/>
    <w:rsid w:val="0037625C"/>
    <w:rsid w:val="00376AC5"/>
    <w:rsid w:val="00376AEE"/>
    <w:rsid w:val="00377339"/>
    <w:rsid w:val="00377824"/>
    <w:rsid w:val="00380865"/>
    <w:rsid w:val="0038138D"/>
    <w:rsid w:val="003820FF"/>
    <w:rsid w:val="003827AD"/>
    <w:rsid w:val="00382A63"/>
    <w:rsid w:val="00382BE2"/>
    <w:rsid w:val="00382DFA"/>
    <w:rsid w:val="003830AB"/>
    <w:rsid w:val="0038397B"/>
    <w:rsid w:val="00383C99"/>
    <w:rsid w:val="00384720"/>
    <w:rsid w:val="00384BB6"/>
    <w:rsid w:val="00384BD2"/>
    <w:rsid w:val="00385A65"/>
    <w:rsid w:val="00385B01"/>
    <w:rsid w:val="00385D1D"/>
    <w:rsid w:val="00385F95"/>
    <w:rsid w:val="003860E9"/>
    <w:rsid w:val="00386E5B"/>
    <w:rsid w:val="00387113"/>
    <w:rsid w:val="0038738E"/>
    <w:rsid w:val="00387985"/>
    <w:rsid w:val="00390ABA"/>
    <w:rsid w:val="003912EA"/>
    <w:rsid w:val="00391559"/>
    <w:rsid w:val="00391C9C"/>
    <w:rsid w:val="003920EE"/>
    <w:rsid w:val="00392109"/>
    <w:rsid w:val="0039215E"/>
    <w:rsid w:val="003929D2"/>
    <w:rsid w:val="00393AC6"/>
    <w:rsid w:val="00393F21"/>
    <w:rsid w:val="00394315"/>
    <w:rsid w:val="003946B0"/>
    <w:rsid w:val="003947F6"/>
    <w:rsid w:val="0039501C"/>
    <w:rsid w:val="003958B0"/>
    <w:rsid w:val="00395FE4"/>
    <w:rsid w:val="003961EB"/>
    <w:rsid w:val="003969BE"/>
    <w:rsid w:val="00396F73"/>
    <w:rsid w:val="0039783A"/>
    <w:rsid w:val="00397DF7"/>
    <w:rsid w:val="00397FE2"/>
    <w:rsid w:val="003A088A"/>
    <w:rsid w:val="003A110E"/>
    <w:rsid w:val="003A2C87"/>
    <w:rsid w:val="003A2C99"/>
    <w:rsid w:val="003A37C9"/>
    <w:rsid w:val="003A3D10"/>
    <w:rsid w:val="003A3E86"/>
    <w:rsid w:val="003A4056"/>
    <w:rsid w:val="003A48A3"/>
    <w:rsid w:val="003A49B8"/>
    <w:rsid w:val="003A56DE"/>
    <w:rsid w:val="003A5927"/>
    <w:rsid w:val="003A5F90"/>
    <w:rsid w:val="003A63DC"/>
    <w:rsid w:val="003A6693"/>
    <w:rsid w:val="003A66BA"/>
    <w:rsid w:val="003A6773"/>
    <w:rsid w:val="003A7535"/>
    <w:rsid w:val="003A7579"/>
    <w:rsid w:val="003A7C47"/>
    <w:rsid w:val="003B0A55"/>
    <w:rsid w:val="003B2B64"/>
    <w:rsid w:val="003B2D4E"/>
    <w:rsid w:val="003B3FCA"/>
    <w:rsid w:val="003B5424"/>
    <w:rsid w:val="003B5BB8"/>
    <w:rsid w:val="003B6087"/>
    <w:rsid w:val="003B658A"/>
    <w:rsid w:val="003B6C46"/>
    <w:rsid w:val="003B6DB1"/>
    <w:rsid w:val="003B6E49"/>
    <w:rsid w:val="003B6E55"/>
    <w:rsid w:val="003C088C"/>
    <w:rsid w:val="003C12F0"/>
    <w:rsid w:val="003C133C"/>
    <w:rsid w:val="003C2C1B"/>
    <w:rsid w:val="003C355B"/>
    <w:rsid w:val="003C3B39"/>
    <w:rsid w:val="003C3C2F"/>
    <w:rsid w:val="003C50D6"/>
    <w:rsid w:val="003C5976"/>
    <w:rsid w:val="003C65DD"/>
    <w:rsid w:val="003C6B8F"/>
    <w:rsid w:val="003C6C4F"/>
    <w:rsid w:val="003C7434"/>
    <w:rsid w:val="003C7484"/>
    <w:rsid w:val="003D0057"/>
    <w:rsid w:val="003D03D9"/>
    <w:rsid w:val="003D064B"/>
    <w:rsid w:val="003D0F63"/>
    <w:rsid w:val="003D17A6"/>
    <w:rsid w:val="003D2364"/>
    <w:rsid w:val="003D26AE"/>
    <w:rsid w:val="003D273B"/>
    <w:rsid w:val="003D3F39"/>
    <w:rsid w:val="003D42AA"/>
    <w:rsid w:val="003D4661"/>
    <w:rsid w:val="003D4789"/>
    <w:rsid w:val="003D4BC5"/>
    <w:rsid w:val="003D4E79"/>
    <w:rsid w:val="003D5A1C"/>
    <w:rsid w:val="003D5D69"/>
    <w:rsid w:val="003D5E53"/>
    <w:rsid w:val="003D5FDB"/>
    <w:rsid w:val="003D627C"/>
    <w:rsid w:val="003D7DFF"/>
    <w:rsid w:val="003E0AE2"/>
    <w:rsid w:val="003E0D0B"/>
    <w:rsid w:val="003E0E59"/>
    <w:rsid w:val="003E14DC"/>
    <w:rsid w:val="003E1676"/>
    <w:rsid w:val="003E1894"/>
    <w:rsid w:val="003E2AEA"/>
    <w:rsid w:val="003E2C25"/>
    <w:rsid w:val="003E3672"/>
    <w:rsid w:val="003E461B"/>
    <w:rsid w:val="003E4A3F"/>
    <w:rsid w:val="003E4E84"/>
    <w:rsid w:val="003E4F92"/>
    <w:rsid w:val="003E6207"/>
    <w:rsid w:val="003E7344"/>
    <w:rsid w:val="003E7B64"/>
    <w:rsid w:val="003E7F73"/>
    <w:rsid w:val="003F26CE"/>
    <w:rsid w:val="003F2D00"/>
    <w:rsid w:val="003F2F9A"/>
    <w:rsid w:val="003F342F"/>
    <w:rsid w:val="003F39A4"/>
    <w:rsid w:val="003F3F09"/>
    <w:rsid w:val="003F5230"/>
    <w:rsid w:val="003F5B48"/>
    <w:rsid w:val="003F6269"/>
    <w:rsid w:val="003F78B6"/>
    <w:rsid w:val="003F7F23"/>
    <w:rsid w:val="00400287"/>
    <w:rsid w:val="00400654"/>
    <w:rsid w:val="004016B6"/>
    <w:rsid w:val="0040179C"/>
    <w:rsid w:val="004023BC"/>
    <w:rsid w:val="00402884"/>
    <w:rsid w:val="00402F28"/>
    <w:rsid w:val="0040382A"/>
    <w:rsid w:val="00403E64"/>
    <w:rsid w:val="004041E3"/>
    <w:rsid w:val="00404348"/>
    <w:rsid w:val="00404D4A"/>
    <w:rsid w:val="00404FF6"/>
    <w:rsid w:val="00405048"/>
    <w:rsid w:val="0040507A"/>
    <w:rsid w:val="00405581"/>
    <w:rsid w:val="00405D9F"/>
    <w:rsid w:val="00405F62"/>
    <w:rsid w:val="00406A57"/>
    <w:rsid w:val="00406AD9"/>
    <w:rsid w:val="00406B83"/>
    <w:rsid w:val="00406E16"/>
    <w:rsid w:val="00407E3F"/>
    <w:rsid w:val="00410573"/>
    <w:rsid w:val="004106BD"/>
    <w:rsid w:val="00410C89"/>
    <w:rsid w:val="0041138D"/>
    <w:rsid w:val="00411DE0"/>
    <w:rsid w:val="00412A17"/>
    <w:rsid w:val="00412F69"/>
    <w:rsid w:val="00413304"/>
    <w:rsid w:val="0041353A"/>
    <w:rsid w:val="00413C1C"/>
    <w:rsid w:val="00414E59"/>
    <w:rsid w:val="00415028"/>
    <w:rsid w:val="00415038"/>
    <w:rsid w:val="00415398"/>
    <w:rsid w:val="004158B7"/>
    <w:rsid w:val="00415FA0"/>
    <w:rsid w:val="00416361"/>
    <w:rsid w:val="0041663C"/>
    <w:rsid w:val="00416F6E"/>
    <w:rsid w:val="00417792"/>
    <w:rsid w:val="00420209"/>
    <w:rsid w:val="00422116"/>
    <w:rsid w:val="004225C6"/>
    <w:rsid w:val="00423498"/>
    <w:rsid w:val="00424533"/>
    <w:rsid w:val="00425E77"/>
    <w:rsid w:val="00425FA9"/>
    <w:rsid w:val="00426B13"/>
    <w:rsid w:val="00427907"/>
    <w:rsid w:val="00427913"/>
    <w:rsid w:val="00430C46"/>
    <w:rsid w:val="00430E54"/>
    <w:rsid w:val="004317E9"/>
    <w:rsid w:val="00431A0A"/>
    <w:rsid w:val="00432A06"/>
    <w:rsid w:val="00435E9D"/>
    <w:rsid w:val="0043604B"/>
    <w:rsid w:val="00436111"/>
    <w:rsid w:val="00436877"/>
    <w:rsid w:val="00437F3D"/>
    <w:rsid w:val="00437F4E"/>
    <w:rsid w:val="00440535"/>
    <w:rsid w:val="00440993"/>
    <w:rsid w:val="004429AC"/>
    <w:rsid w:val="00442A12"/>
    <w:rsid w:val="004434B9"/>
    <w:rsid w:val="0044403C"/>
    <w:rsid w:val="0044468D"/>
    <w:rsid w:val="00444E2F"/>
    <w:rsid w:val="00445DA1"/>
    <w:rsid w:val="004465CF"/>
    <w:rsid w:val="0044764C"/>
    <w:rsid w:val="0045059B"/>
    <w:rsid w:val="0045137C"/>
    <w:rsid w:val="004519AD"/>
    <w:rsid w:val="00453244"/>
    <w:rsid w:val="0045343E"/>
    <w:rsid w:val="00453877"/>
    <w:rsid w:val="00453CD0"/>
    <w:rsid w:val="00454053"/>
    <w:rsid w:val="004542B5"/>
    <w:rsid w:val="00454510"/>
    <w:rsid w:val="00455072"/>
    <w:rsid w:val="0045589A"/>
    <w:rsid w:val="00455C59"/>
    <w:rsid w:val="00456235"/>
    <w:rsid w:val="00456BEB"/>
    <w:rsid w:val="00457546"/>
    <w:rsid w:val="0046060D"/>
    <w:rsid w:val="00460A6C"/>
    <w:rsid w:val="00460B39"/>
    <w:rsid w:val="00460DA0"/>
    <w:rsid w:val="00460DF3"/>
    <w:rsid w:val="00460F1D"/>
    <w:rsid w:val="0046100F"/>
    <w:rsid w:val="00461A13"/>
    <w:rsid w:val="004625A7"/>
    <w:rsid w:val="00462624"/>
    <w:rsid w:val="0046281A"/>
    <w:rsid w:val="00462DB3"/>
    <w:rsid w:val="00462FD2"/>
    <w:rsid w:val="00463AB7"/>
    <w:rsid w:val="00463D80"/>
    <w:rsid w:val="004649ED"/>
    <w:rsid w:val="0046541F"/>
    <w:rsid w:val="00466278"/>
    <w:rsid w:val="004666BC"/>
    <w:rsid w:val="0046689B"/>
    <w:rsid w:val="004669D9"/>
    <w:rsid w:val="00466A8C"/>
    <w:rsid w:val="004672FD"/>
    <w:rsid w:val="00470118"/>
    <w:rsid w:val="004708E5"/>
    <w:rsid w:val="00472032"/>
    <w:rsid w:val="0047275B"/>
    <w:rsid w:val="00472834"/>
    <w:rsid w:val="00472E5D"/>
    <w:rsid w:val="00473300"/>
    <w:rsid w:val="00473878"/>
    <w:rsid w:val="0047407B"/>
    <w:rsid w:val="0047408A"/>
    <w:rsid w:val="004748DA"/>
    <w:rsid w:val="00474E69"/>
    <w:rsid w:val="00475EA1"/>
    <w:rsid w:val="004765F1"/>
    <w:rsid w:val="00476649"/>
    <w:rsid w:val="00477C9B"/>
    <w:rsid w:val="004800B7"/>
    <w:rsid w:val="00480EEA"/>
    <w:rsid w:val="0048154B"/>
    <w:rsid w:val="00481C6D"/>
    <w:rsid w:val="00483731"/>
    <w:rsid w:val="00483E87"/>
    <w:rsid w:val="004851A5"/>
    <w:rsid w:val="00487346"/>
    <w:rsid w:val="00487452"/>
    <w:rsid w:val="00487C9E"/>
    <w:rsid w:val="00487CB0"/>
    <w:rsid w:val="00487E33"/>
    <w:rsid w:val="004902B4"/>
    <w:rsid w:val="00490732"/>
    <w:rsid w:val="004907BC"/>
    <w:rsid w:val="0049122F"/>
    <w:rsid w:val="00491740"/>
    <w:rsid w:val="00491E99"/>
    <w:rsid w:val="00492407"/>
    <w:rsid w:val="00492798"/>
    <w:rsid w:val="00492E27"/>
    <w:rsid w:val="00493155"/>
    <w:rsid w:val="0049390E"/>
    <w:rsid w:val="00493F64"/>
    <w:rsid w:val="0049450C"/>
    <w:rsid w:val="00494C7D"/>
    <w:rsid w:val="00494E07"/>
    <w:rsid w:val="00495421"/>
    <w:rsid w:val="00495BC2"/>
    <w:rsid w:val="0049657A"/>
    <w:rsid w:val="00496822"/>
    <w:rsid w:val="00496D48"/>
    <w:rsid w:val="00496F85"/>
    <w:rsid w:val="00497CA3"/>
    <w:rsid w:val="00497D54"/>
    <w:rsid w:val="004A1277"/>
    <w:rsid w:val="004A1A65"/>
    <w:rsid w:val="004A1B09"/>
    <w:rsid w:val="004A1E0A"/>
    <w:rsid w:val="004A1E86"/>
    <w:rsid w:val="004A2041"/>
    <w:rsid w:val="004A2734"/>
    <w:rsid w:val="004A2A7F"/>
    <w:rsid w:val="004A3F33"/>
    <w:rsid w:val="004A452B"/>
    <w:rsid w:val="004A49D3"/>
    <w:rsid w:val="004A4D4E"/>
    <w:rsid w:val="004A511E"/>
    <w:rsid w:val="004A53C9"/>
    <w:rsid w:val="004A5D61"/>
    <w:rsid w:val="004A5DFF"/>
    <w:rsid w:val="004A702A"/>
    <w:rsid w:val="004A7BA1"/>
    <w:rsid w:val="004A7D91"/>
    <w:rsid w:val="004A7E95"/>
    <w:rsid w:val="004B0030"/>
    <w:rsid w:val="004B0097"/>
    <w:rsid w:val="004B0EEA"/>
    <w:rsid w:val="004B0FCE"/>
    <w:rsid w:val="004B126B"/>
    <w:rsid w:val="004B1D27"/>
    <w:rsid w:val="004B262F"/>
    <w:rsid w:val="004B26FC"/>
    <w:rsid w:val="004B3562"/>
    <w:rsid w:val="004B3800"/>
    <w:rsid w:val="004B3949"/>
    <w:rsid w:val="004B3CCF"/>
    <w:rsid w:val="004B4E7C"/>
    <w:rsid w:val="004B4E8A"/>
    <w:rsid w:val="004B6019"/>
    <w:rsid w:val="004B6246"/>
    <w:rsid w:val="004B648E"/>
    <w:rsid w:val="004B6524"/>
    <w:rsid w:val="004B7545"/>
    <w:rsid w:val="004C041C"/>
    <w:rsid w:val="004C0684"/>
    <w:rsid w:val="004C0D0B"/>
    <w:rsid w:val="004C0DB2"/>
    <w:rsid w:val="004C1233"/>
    <w:rsid w:val="004C1A13"/>
    <w:rsid w:val="004C210A"/>
    <w:rsid w:val="004C2252"/>
    <w:rsid w:val="004C2368"/>
    <w:rsid w:val="004C3A5B"/>
    <w:rsid w:val="004C5332"/>
    <w:rsid w:val="004C5470"/>
    <w:rsid w:val="004C5D10"/>
    <w:rsid w:val="004C6201"/>
    <w:rsid w:val="004C74A5"/>
    <w:rsid w:val="004D1489"/>
    <w:rsid w:val="004D14E8"/>
    <w:rsid w:val="004D17F3"/>
    <w:rsid w:val="004D19FA"/>
    <w:rsid w:val="004D1BB9"/>
    <w:rsid w:val="004D1C73"/>
    <w:rsid w:val="004D2304"/>
    <w:rsid w:val="004D261B"/>
    <w:rsid w:val="004D2731"/>
    <w:rsid w:val="004D2F16"/>
    <w:rsid w:val="004D3409"/>
    <w:rsid w:val="004D36C7"/>
    <w:rsid w:val="004D4401"/>
    <w:rsid w:val="004D457C"/>
    <w:rsid w:val="004D552C"/>
    <w:rsid w:val="004D597D"/>
    <w:rsid w:val="004D65C7"/>
    <w:rsid w:val="004D698E"/>
    <w:rsid w:val="004D6E27"/>
    <w:rsid w:val="004D6F90"/>
    <w:rsid w:val="004E00A9"/>
    <w:rsid w:val="004E0354"/>
    <w:rsid w:val="004E0657"/>
    <w:rsid w:val="004E0D95"/>
    <w:rsid w:val="004E13BA"/>
    <w:rsid w:val="004E238A"/>
    <w:rsid w:val="004E2C59"/>
    <w:rsid w:val="004E33CA"/>
    <w:rsid w:val="004E367C"/>
    <w:rsid w:val="004E3D22"/>
    <w:rsid w:val="004E4847"/>
    <w:rsid w:val="004E4D3E"/>
    <w:rsid w:val="004E4D55"/>
    <w:rsid w:val="004E5074"/>
    <w:rsid w:val="004E54EF"/>
    <w:rsid w:val="004E5527"/>
    <w:rsid w:val="004E5618"/>
    <w:rsid w:val="004E6227"/>
    <w:rsid w:val="004E672F"/>
    <w:rsid w:val="004F0F3B"/>
    <w:rsid w:val="004F2355"/>
    <w:rsid w:val="004F2864"/>
    <w:rsid w:val="004F2A6B"/>
    <w:rsid w:val="004F33E2"/>
    <w:rsid w:val="004F3853"/>
    <w:rsid w:val="004F3F2D"/>
    <w:rsid w:val="004F41DB"/>
    <w:rsid w:val="004F54EE"/>
    <w:rsid w:val="004F5878"/>
    <w:rsid w:val="004F66B1"/>
    <w:rsid w:val="004F7674"/>
    <w:rsid w:val="00500201"/>
    <w:rsid w:val="00500474"/>
    <w:rsid w:val="005012D6"/>
    <w:rsid w:val="005012FD"/>
    <w:rsid w:val="005020E2"/>
    <w:rsid w:val="005025FF"/>
    <w:rsid w:val="00503A25"/>
    <w:rsid w:val="00503EF5"/>
    <w:rsid w:val="0050470E"/>
    <w:rsid w:val="00504EE5"/>
    <w:rsid w:val="005062F0"/>
    <w:rsid w:val="0050637E"/>
    <w:rsid w:val="0050781F"/>
    <w:rsid w:val="00507A7F"/>
    <w:rsid w:val="00507CF6"/>
    <w:rsid w:val="00507F7A"/>
    <w:rsid w:val="00510768"/>
    <w:rsid w:val="005107AB"/>
    <w:rsid w:val="00510B43"/>
    <w:rsid w:val="005111A0"/>
    <w:rsid w:val="0051128E"/>
    <w:rsid w:val="00511502"/>
    <w:rsid w:val="005115EA"/>
    <w:rsid w:val="00511A0A"/>
    <w:rsid w:val="0051289C"/>
    <w:rsid w:val="00513092"/>
    <w:rsid w:val="00513C82"/>
    <w:rsid w:val="00513E91"/>
    <w:rsid w:val="005150B6"/>
    <w:rsid w:val="00515C56"/>
    <w:rsid w:val="00516465"/>
    <w:rsid w:val="00516E3A"/>
    <w:rsid w:val="00516FEC"/>
    <w:rsid w:val="0051738D"/>
    <w:rsid w:val="005173D1"/>
    <w:rsid w:val="00517761"/>
    <w:rsid w:val="00520FED"/>
    <w:rsid w:val="00521061"/>
    <w:rsid w:val="0052161D"/>
    <w:rsid w:val="00521744"/>
    <w:rsid w:val="00522B22"/>
    <w:rsid w:val="0052443D"/>
    <w:rsid w:val="00524501"/>
    <w:rsid w:val="0052486F"/>
    <w:rsid w:val="00524A4C"/>
    <w:rsid w:val="00524B6E"/>
    <w:rsid w:val="005250C7"/>
    <w:rsid w:val="00525584"/>
    <w:rsid w:val="0052575A"/>
    <w:rsid w:val="005257FE"/>
    <w:rsid w:val="00525832"/>
    <w:rsid w:val="00525FEC"/>
    <w:rsid w:val="0052659F"/>
    <w:rsid w:val="00526FA8"/>
    <w:rsid w:val="00527C6F"/>
    <w:rsid w:val="0053004E"/>
    <w:rsid w:val="00530AE9"/>
    <w:rsid w:val="00530D6D"/>
    <w:rsid w:val="005314B5"/>
    <w:rsid w:val="0053180F"/>
    <w:rsid w:val="00531CF9"/>
    <w:rsid w:val="00531F80"/>
    <w:rsid w:val="0053322F"/>
    <w:rsid w:val="00533DCD"/>
    <w:rsid w:val="00534BB9"/>
    <w:rsid w:val="00535462"/>
    <w:rsid w:val="00536139"/>
    <w:rsid w:val="00536454"/>
    <w:rsid w:val="00536F16"/>
    <w:rsid w:val="00537487"/>
    <w:rsid w:val="0053766E"/>
    <w:rsid w:val="005379A8"/>
    <w:rsid w:val="00537BE6"/>
    <w:rsid w:val="00540749"/>
    <w:rsid w:val="005409E5"/>
    <w:rsid w:val="005412FD"/>
    <w:rsid w:val="0054166C"/>
    <w:rsid w:val="005426FA"/>
    <w:rsid w:val="00542F1A"/>
    <w:rsid w:val="005433A9"/>
    <w:rsid w:val="0054380C"/>
    <w:rsid w:val="005441E8"/>
    <w:rsid w:val="00544F03"/>
    <w:rsid w:val="0054512A"/>
    <w:rsid w:val="00546E7E"/>
    <w:rsid w:val="00547705"/>
    <w:rsid w:val="005479EA"/>
    <w:rsid w:val="00547D62"/>
    <w:rsid w:val="00547E44"/>
    <w:rsid w:val="00547F98"/>
    <w:rsid w:val="00550801"/>
    <w:rsid w:val="00551A1A"/>
    <w:rsid w:val="00552197"/>
    <w:rsid w:val="00552406"/>
    <w:rsid w:val="00552B2F"/>
    <w:rsid w:val="00552C68"/>
    <w:rsid w:val="00553677"/>
    <w:rsid w:val="00553683"/>
    <w:rsid w:val="0055412C"/>
    <w:rsid w:val="00554A81"/>
    <w:rsid w:val="0055555A"/>
    <w:rsid w:val="0055566C"/>
    <w:rsid w:val="00555819"/>
    <w:rsid w:val="00555EFC"/>
    <w:rsid w:val="00556178"/>
    <w:rsid w:val="0055691D"/>
    <w:rsid w:val="00556F0F"/>
    <w:rsid w:val="00556F1D"/>
    <w:rsid w:val="00556FB1"/>
    <w:rsid w:val="00560275"/>
    <w:rsid w:val="00560D77"/>
    <w:rsid w:val="00561610"/>
    <w:rsid w:val="005638E4"/>
    <w:rsid w:val="00563AB6"/>
    <w:rsid w:val="005640C8"/>
    <w:rsid w:val="005643A1"/>
    <w:rsid w:val="005646E3"/>
    <w:rsid w:val="00564EF1"/>
    <w:rsid w:val="0056546F"/>
    <w:rsid w:val="00565665"/>
    <w:rsid w:val="005657BA"/>
    <w:rsid w:val="0056601F"/>
    <w:rsid w:val="00566C5F"/>
    <w:rsid w:val="00566C6A"/>
    <w:rsid w:val="00567B7C"/>
    <w:rsid w:val="00570DA4"/>
    <w:rsid w:val="00570F9E"/>
    <w:rsid w:val="00571026"/>
    <w:rsid w:val="0057170B"/>
    <w:rsid w:val="00571E88"/>
    <w:rsid w:val="00572DA4"/>
    <w:rsid w:val="00572DFC"/>
    <w:rsid w:val="00573A3B"/>
    <w:rsid w:val="00573ACE"/>
    <w:rsid w:val="00573B21"/>
    <w:rsid w:val="00574EFB"/>
    <w:rsid w:val="00574F5C"/>
    <w:rsid w:val="00575598"/>
    <w:rsid w:val="005760D2"/>
    <w:rsid w:val="00576BA6"/>
    <w:rsid w:val="00576BD6"/>
    <w:rsid w:val="00577339"/>
    <w:rsid w:val="0057759B"/>
    <w:rsid w:val="00577B9F"/>
    <w:rsid w:val="00577F20"/>
    <w:rsid w:val="0058098A"/>
    <w:rsid w:val="00580CE9"/>
    <w:rsid w:val="00581B26"/>
    <w:rsid w:val="005829FC"/>
    <w:rsid w:val="00582DA4"/>
    <w:rsid w:val="0058301A"/>
    <w:rsid w:val="005836B9"/>
    <w:rsid w:val="005836C9"/>
    <w:rsid w:val="005838EA"/>
    <w:rsid w:val="00584410"/>
    <w:rsid w:val="00584B09"/>
    <w:rsid w:val="00584BF9"/>
    <w:rsid w:val="00584E1B"/>
    <w:rsid w:val="005851D8"/>
    <w:rsid w:val="0058579F"/>
    <w:rsid w:val="00585991"/>
    <w:rsid w:val="00586B61"/>
    <w:rsid w:val="00587DCF"/>
    <w:rsid w:val="00590786"/>
    <w:rsid w:val="00590E20"/>
    <w:rsid w:val="005914BF"/>
    <w:rsid w:val="00591C53"/>
    <w:rsid w:val="00592A1F"/>
    <w:rsid w:val="00593984"/>
    <w:rsid w:val="00594570"/>
    <w:rsid w:val="00594ACC"/>
    <w:rsid w:val="00594BA0"/>
    <w:rsid w:val="00595723"/>
    <w:rsid w:val="0059574F"/>
    <w:rsid w:val="00595B14"/>
    <w:rsid w:val="00595FCD"/>
    <w:rsid w:val="00596620"/>
    <w:rsid w:val="0059731A"/>
    <w:rsid w:val="00597E39"/>
    <w:rsid w:val="005A027A"/>
    <w:rsid w:val="005A1007"/>
    <w:rsid w:val="005A1367"/>
    <w:rsid w:val="005A179C"/>
    <w:rsid w:val="005A1EE9"/>
    <w:rsid w:val="005A273D"/>
    <w:rsid w:val="005A2BCC"/>
    <w:rsid w:val="005A391F"/>
    <w:rsid w:val="005A3C9A"/>
    <w:rsid w:val="005A41C6"/>
    <w:rsid w:val="005A49CE"/>
    <w:rsid w:val="005A4C83"/>
    <w:rsid w:val="005A5066"/>
    <w:rsid w:val="005A571D"/>
    <w:rsid w:val="005A6506"/>
    <w:rsid w:val="005A6723"/>
    <w:rsid w:val="005A69D5"/>
    <w:rsid w:val="005B04E1"/>
    <w:rsid w:val="005B0750"/>
    <w:rsid w:val="005B0B3C"/>
    <w:rsid w:val="005B131F"/>
    <w:rsid w:val="005B13C6"/>
    <w:rsid w:val="005B141E"/>
    <w:rsid w:val="005B1E01"/>
    <w:rsid w:val="005B27B6"/>
    <w:rsid w:val="005B2BD4"/>
    <w:rsid w:val="005B325A"/>
    <w:rsid w:val="005B357F"/>
    <w:rsid w:val="005B36C0"/>
    <w:rsid w:val="005B3E8D"/>
    <w:rsid w:val="005B412D"/>
    <w:rsid w:val="005B4383"/>
    <w:rsid w:val="005B45BC"/>
    <w:rsid w:val="005B4727"/>
    <w:rsid w:val="005B48E9"/>
    <w:rsid w:val="005B5872"/>
    <w:rsid w:val="005B5C99"/>
    <w:rsid w:val="005B63CD"/>
    <w:rsid w:val="005B698C"/>
    <w:rsid w:val="005B6E5E"/>
    <w:rsid w:val="005C0192"/>
    <w:rsid w:val="005C0252"/>
    <w:rsid w:val="005C072A"/>
    <w:rsid w:val="005C0B54"/>
    <w:rsid w:val="005C3013"/>
    <w:rsid w:val="005C3535"/>
    <w:rsid w:val="005C4ECC"/>
    <w:rsid w:val="005C4F62"/>
    <w:rsid w:val="005C4FCC"/>
    <w:rsid w:val="005C5196"/>
    <w:rsid w:val="005C5D23"/>
    <w:rsid w:val="005C6C36"/>
    <w:rsid w:val="005C7055"/>
    <w:rsid w:val="005D0E42"/>
    <w:rsid w:val="005D1333"/>
    <w:rsid w:val="005D15CA"/>
    <w:rsid w:val="005D2C3F"/>
    <w:rsid w:val="005D2E3D"/>
    <w:rsid w:val="005D3494"/>
    <w:rsid w:val="005D384B"/>
    <w:rsid w:val="005D3ED1"/>
    <w:rsid w:val="005D40FF"/>
    <w:rsid w:val="005D47D0"/>
    <w:rsid w:val="005D5074"/>
    <w:rsid w:val="005D5507"/>
    <w:rsid w:val="005D5F84"/>
    <w:rsid w:val="005D6102"/>
    <w:rsid w:val="005D6D76"/>
    <w:rsid w:val="005D7074"/>
    <w:rsid w:val="005D723F"/>
    <w:rsid w:val="005D760B"/>
    <w:rsid w:val="005D77A2"/>
    <w:rsid w:val="005D7CF8"/>
    <w:rsid w:val="005E0108"/>
    <w:rsid w:val="005E05B0"/>
    <w:rsid w:val="005E08BA"/>
    <w:rsid w:val="005E0E3B"/>
    <w:rsid w:val="005E13A4"/>
    <w:rsid w:val="005E15A8"/>
    <w:rsid w:val="005E16A8"/>
    <w:rsid w:val="005E18A9"/>
    <w:rsid w:val="005E1C97"/>
    <w:rsid w:val="005E27B3"/>
    <w:rsid w:val="005E27EB"/>
    <w:rsid w:val="005E2EBE"/>
    <w:rsid w:val="005E2F19"/>
    <w:rsid w:val="005E3A1C"/>
    <w:rsid w:val="005E5675"/>
    <w:rsid w:val="005E584B"/>
    <w:rsid w:val="005E5A3F"/>
    <w:rsid w:val="005E603D"/>
    <w:rsid w:val="005E63A3"/>
    <w:rsid w:val="005E6B62"/>
    <w:rsid w:val="005E6EA7"/>
    <w:rsid w:val="005E72A7"/>
    <w:rsid w:val="005E7E8C"/>
    <w:rsid w:val="005F0016"/>
    <w:rsid w:val="005F02BA"/>
    <w:rsid w:val="005F034B"/>
    <w:rsid w:val="005F0C2C"/>
    <w:rsid w:val="005F1118"/>
    <w:rsid w:val="005F1AAF"/>
    <w:rsid w:val="005F1D47"/>
    <w:rsid w:val="005F236B"/>
    <w:rsid w:val="005F2619"/>
    <w:rsid w:val="005F2E2B"/>
    <w:rsid w:val="005F304E"/>
    <w:rsid w:val="005F3FE2"/>
    <w:rsid w:val="005F422C"/>
    <w:rsid w:val="005F4361"/>
    <w:rsid w:val="005F49D4"/>
    <w:rsid w:val="005F4E0F"/>
    <w:rsid w:val="005F64CD"/>
    <w:rsid w:val="005F7DF2"/>
    <w:rsid w:val="006000EC"/>
    <w:rsid w:val="00600953"/>
    <w:rsid w:val="0060152A"/>
    <w:rsid w:val="00601F2E"/>
    <w:rsid w:val="0060244B"/>
    <w:rsid w:val="00603DB4"/>
    <w:rsid w:val="00604166"/>
    <w:rsid w:val="006049C2"/>
    <w:rsid w:val="0060521F"/>
    <w:rsid w:val="00606BE1"/>
    <w:rsid w:val="00606D79"/>
    <w:rsid w:val="006071CF"/>
    <w:rsid w:val="00607264"/>
    <w:rsid w:val="00607BBD"/>
    <w:rsid w:val="006101B6"/>
    <w:rsid w:val="006103A4"/>
    <w:rsid w:val="00611650"/>
    <w:rsid w:val="00611E1B"/>
    <w:rsid w:val="006123B7"/>
    <w:rsid w:val="006126C6"/>
    <w:rsid w:val="00615B7E"/>
    <w:rsid w:val="00615D11"/>
    <w:rsid w:val="0061606D"/>
    <w:rsid w:val="00617560"/>
    <w:rsid w:val="00617955"/>
    <w:rsid w:val="00617BA2"/>
    <w:rsid w:val="006205E6"/>
    <w:rsid w:val="00620D6B"/>
    <w:rsid w:val="006210C6"/>
    <w:rsid w:val="0062242F"/>
    <w:rsid w:val="00623769"/>
    <w:rsid w:val="00624004"/>
    <w:rsid w:val="00624005"/>
    <w:rsid w:val="006251AB"/>
    <w:rsid w:val="00625365"/>
    <w:rsid w:val="006256AE"/>
    <w:rsid w:val="00625AB8"/>
    <w:rsid w:val="00625BFC"/>
    <w:rsid w:val="00625DB5"/>
    <w:rsid w:val="006262B4"/>
    <w:rsid w:val="0062652E"/>
    <w:rsid w:val="006270FC"/>
    <w:rsid w:val="006273BE"/>
    <w:rsid w:val="006300D6"/>
    <w:rsid w:val="006322D7"/>
    <w:rsid w:val="00633F72"/>
    <w:rsid w:val="0063400D"/>
    <w:rsid w:val="00634113"/>
    <w:rsid w:val="00634287"/>
    <w:rsid w:val="00634C38"/>
    <w:rsid w:val="00635776"/>
    <w:rsid w:val="00635C9A"/>
    <w:rsid w:val="00637020"/>
    <w:rsid w:val="00637EE1"/>
    <w:rsid w:val="00641027"/>
    <w:rsid w:val="006411C1"/>
    <w:rsid w:val="006420B4"/>
    <w:rsid w:val="006429A4"/>
    <w:rsid w:val="006430C4"/>
    <w:rsid w:val="006431FB"/>
    <w:rsid w:val="006434BC"/>
    <w:rsid w:val="00643833"/>
    <w:rsid w:val="006445F4"/>
    <w:rsid w:val="006446FA"/>
    <w:rsid w:val="0064623E"/>
    <w:rsid w:val="00646B79"/>
    <w:rsid w:val="00646F79"/>
    <w:rsid w:val="00647551"/>
    <w:rsid w:val="00647EA6"/>
    <w:rsid w:val="00647EA9"/>
    <w:rsid w:val="0065017A"/>
    <w:rsid w:val="00650B26"/>
    <w:rsid w:val="00650EDC"/>
    <w:rsid w:val="006512F0"/>
    <w:rsid w:val="006513BC"/>
    <w:rsid w:val="006515EA"/>
    <w:rsid w:val="006516B0"/>
    <w:rsid w:val="0065268B"/>
    <w:rsid w:val="00652A9B"/>
    <w:rsid w:val="00652CBE"/>
    <w:rsid w:val="00654993"/>
    <w:rsid w:val="00654E02"/>
    <w:rsid w:val="0065539E"/>
    <w:rsid w:val="00655D69"/>
    <w:rsid w:val="00656ACA"/>
    <w:rsid w:val="00656D95"/>
    <w:rsid w:val="00657A0C"/>
    <w:rsid w:val="00660062"/>
    <w:rsid w:val="006610F1"/>
    <w:rsid w:val="006611DC"/>
    <w:rsid w:val="00661C61"/>
    <w:rsid w:val="006634F7"/>
    <w:rsid w:val="00666492"/>
    <w:rsid w:val="00666538"/>
    <w:rsid w:val="00666CAE"/>
    <w:rsid w:val="006670A5"/>
    <w:rsid w:val="006675D2"/>
    <w:rsid w:val="006679F3"/>
    <w:rsid w:val="00667B6E"/>
    <w:rsid w:val="00667C1B"/>
    <w:rsid w:val="006701E7"/>
    <w:rsid w:val="00670244"/>
    <w:rsid w:val="006702D9"/>
    <w:rsid w:val="006708A8"/>
    <w:rsid w:val="00670FCE"/>
    <w:rsid w:val="00671311"/>
    <w:rsid w:val="00672258"/>
    <w:rsid w:val="00672430"/>
    <w:rsid w:val="0067282A"/>
    <w:rsid w:val="00672B87"/>
    <w:rsid w:val="00672C5D"/>
    <w:rsid w:val="00672F6D"/>
    <w:rsid w:val="00673672"/>
    <w:rsid w:val="00673945"/>
    <w:rsid w:val="00673AD4"/>
    <w:rsid w:val="00673BAD"/>
    <w:rsid w:val="006744F3"/>
    <w:rsid w:val="00674835"/>
    <w:rsid w:val="00675084"/>
    <w:rsid w:val="00676ECF"/>
    <w:rsid w:val="00677694"/>
    <w:rsid w:val="0067786B"/>
    <w:rsid w:val="00677B40"/>
    <w:rsid w:val="00680000"/>
    <w:rsid w:val="0068009A"/>
    <w:rsid w:val="0068098B"/>
    <w:rsid w:val="00681CB3"/>
    <w:rsid w:val="0068211F"/>
    <w:rsid w:val="006824C3"/>
    <w:rsid w:val="00682820"/>
    <w:rsid w:val="0068330B"/>
    <w:rsid w:val="006835C3"/>
    <w:rsid w:val="006840CB"/>
    <w:rsid w:val="0068439C"/>
    <w:rsid w:val="00684CAB"/>
    <w:rsid w:val="00684F70"/>
    <w:rsid w:val="00685876"/>
    <w:rsid w:val="00685BF8"/>
    <w:rsid w:val="00686B06"/>
    <w:rsid w:val="00687643"/>
    <w:rsid w:val="006904DC"/>
    <w:rsid w:val="00690669"/>
    <w:rsid w:val="00690EF1"/>
    <w:rsid w:val="0069111B"/>
    <w:rsid w:val="00691851"/>
    <w:rsid w:val="00691EC6"/>
    <w:rsid w:val="00691F3C"/>
    <w:rsid w:val="006922CA"/>
    <w:rsid w:val="00692674"/>
    <w:rsid w:val="00692D79"/>
    <w:rsid w:val="00693143"/>
    <w:rsid w:val="006935EE"/>
    <w:rsid w:val="00693D3B"/>
    <w:rsid w:val="0069507B"/>
    <w:rsid w:val="006966F4"/>
    <w:rsid w:val="00696D0C"/>
    <w:rsid w:val="00696F79"/>
    <w:rsid w:val="0069784A"/>
    <w:rsid w:val="00697C02"/>
    <w:rsid w:val="006A0889"/>
    <w:rsid w:val="006A0F55"/>
    <w:rsid w:val="006A2770"/>
    <w:rsid w:val="006A27FD"/>
    <w:rsid w:val="006A2829"/>
    <w:rsid w:val="006A3029"/>
    <w:rsid w:val="006A3940"/>
    <w:rsid w:val="006A39F7"/>
    <w:rsid w:val="006A4417"/>
    <w:rsid w:val="006A530B"/>
    <w:rsid w:val="006A536A"/>
    <w:rsid w:val="006A5742"/>
    <w:rsid w:val="006A5A9A"/>
    <w:rsid w:val="006A5AEC"/>
    <w:rsid w:val="006A6D23"/>
    <w:rsid w:val="006A77EB"/>
    <w:rsid w:val="006A77ED"/>
    <w:rsid w:val="006A7905"/>
    <w:rsid w:val="006A7979"/>
    <w:rsid w:val="006A7A57"/>
    <w:rsid w:val="006B034A"/>
    <w:rsid w:val="006B0666"/>
    <w:rsid w:val="006B11AF"/>
    <w:rsid w:val="006B17DD"/>
    <w:rsid w:val="006B1813"/>
    <w:rsid w:val="006B20E8"/>
    <w:rsid w:val="006B4735"/>
    <w:rsid w:val="006B53B0"/>
    <w:rsid w:val="006B58A7"/>
    <w:rsid w:val="006B5BBC"/>
    <w:rsid w:val="006B6788"/>
    <w:rsid w:val="006B72D5"/>
    <w:rsid w:val="006B74E9"/>
    <w:rsid w:val="006B7912"/>
    <w:rsid w:val="006C05D1"/>
    <w:rsid w:val="006C08DA"/>
    <w:rsid w:val="006C0BF4"/>
    <w:rsid w:val="006C1540"/>
    <w:rsid w:val="006C2424"/>
    <w:rsid w:val="006C24FE"/>
    <w:rsid w:val="006C2F69"/>
    <w:rsid w:val="006C30B8"/>
    <w:rsid w:val="006C3D13"/>
    <w:rsid w:val="006C40AC"/>
    <w:rsid w:val="006C4421"/>
    <w:rsid w:val="006C4991"/>
    <w:rsid w:val="006C4AD1"/>
    <w:rsid w:val="006C4E96"/>
    <w:rsid w:val="006C4FA3"/>
    <w:rsid w:val="006C5217"/>
    <w:rsid w:val="006C5620"/>
    <w:rsid w:val="006C5696"/>
    <w:rsid w:val="006C5D2E"/>
    <w:rsid w:val="006C5E07"/>
    <w:rsid w:val="006C6955"/>
    <w:rsid w:val="006C6C24"/>
    <w:rsid w:val="006C6D68"/>
    <w:rsid w:val="006C710E"/>
    <w:rsid w:val="006D0207"/>
    <w:rsid w:val="006D0F06"/>
    <w:rsid w:val="006D13BE"/>
    <w:rsid w:val="006D1580"/>
    <w:rsid w:val="006D19C2"/>
    <w:rsid w:val="006D1E0F"/>
    <w:rsid w:val="006D2A89"/>
    <w:rsid w:val="006D362B"/>
    <w:rsid w:val="006D3BB2"/>
    <w:rsid w:val="006D682C"/>
    <w:rsid w:val="006D6DE3"/>
    <w:rsid w:val="006D702C"/>
    <w:rsid w:val="006D7836"/>
    <w:rsid w:val="006E02FD"/>
    <w:rsid w:val="006E0B19"/>
    <w:rsid w:val="006E0E36"/>
    <w:rsid w:val="006E1213"/>
    <w:rsid w:val="006E12B6"/>
    <w:rsid w:val="006E21A7"/>
    <w:rsid w:val="006E2828"/>
    <w:rsid w:val="006E2955"/>
    <w:rsid w:val="006E2EA9"/>
    <w:rsid w:val="006E362C"/>
    <w:rsid w:val="006E40C9"/>
    <w:rsid w:val="006E46E9"/>
    <w:rsid w:val="006E506F"/>
    <w:rsid w:val="006E5342"/>
    <w:rsid w:val="006E5BA3"/>
    <w:rsid w:val="006E648D"/>
    <w:rsid w:val="006E791A"/>
    <w:rsid w:val="006F0012"/>
    <w:rsid w:val="006F0451"/>
    <w:rsid w:val="006F1919"/>
    <w:rsid w:val="006F1C79"/>
    <w:rsid w:val="006F2BAB"/>
    <w:rsid w:val="006F2BC5"/>
    <w:rsid w:val="006F2E14"/>
    <w:rsid w:val="006F3CEB"/>
    <w:rsid w:val="006F4EF5"/>
    <w:rsid w:val="006F600C"/>
    <w:rsid w:val="006F7098"/>
    <w:rsid w:val="006F77BE"/>
    <w:rsid w:val="006F7997"/>
    <w:rsid w:val="0070043A"/>
    <w:rsid w:val="007010AA"/>
    <w:rsid w:val="0070202D"/>
    <w:rsid w:val="00703622"/>
    <w:rsid w:val="007042E1"/>
    <w:rsid w:val="0070489F"/>
    <w:rsid w:val="00704AB1"/>
    <w:rsid w:val="00706905"/>
    <w:rsid w:val="0070763A"/>
    <w:rsid w:val="00707924"/>
    <w:rsid w:val="00710B55"/>
    <w:rsid w:val="00710B82"/>
    <w:rsid w:val="00711134"/>
    <w:rsid w:val="007115F6"/>
    <w:rsid w:val="0071196D"/>
    <w:rsid w:val="0071260B"/>
    <w:rsid w:val="007126C6"/>
    <w:rsid w:val="00712885"/>
    <w:rsid w:val="00714340"/>
    <w:rsid w:val="00715015"/>
    <w:rsid w:val="00715123"/>
    <w:rsid w:val="00716F10"/>
    <w:rsid w:val="00716F19"/>
    <w:rsid w:val="00717245"/>
    <w:rsid w:val="007176F4"/>
    <w:rsid w:val="0071794F"/>
    <w:rsid w:val="00717D55"/>
    <w:rsid w:val="00721719"/>
    <w:rsid w:val="00721871"/>
    <w:rsid w:val="00721961"/>
    <w:rsid w:val="00721C7F"/>
    <w:rsid w:val="00722AD1"/>
    <w:rsid w:val="00722E41"/>
    <w:rsid w:val="007237D2"/>
    <w:rsid w:val="00724700"/>
    <w:rsid w:val="00724C03"/>
    <w:rsid w:val="00725E5B"/>
    <w:rsid w:val="00726100"/>
    <w:rsid w:val="007272AA"/>
    <w:rsid w:val="007273A0"/>
    <w:rsid w:val="00727538"/>
    <w:rsid w:val="00727E9E"/>
    <w:rsid w:val="00732437"/>
    <w:rsid w:val="0073245A"/>
    <w:rsid w:val="007324E5"/>
    <w:rsid w:val="007324EF"/>
    <w:rsid w:val="007333B0"/>
    <w:rsid w:val="007333D6"/>
    <w:rsid w:val="00733B1A"/>
    <w:rsid w:val="0073417A"/>
    <w:rsid w:val="0073440C"/>
    <w:rsid w:val="00734496"/>
    <w:rsid w:val="00734DEF"/>
    <w:rsid w:val="00734FC9"/>
    <w:rsid w:val="007364E6"/>
    <w:rsid w:val="0073693B"/>
    <w:rsid w:val="00737396"/>
    <w:rsid w:val="00737E2E"/>
    <w:rsid w:val="00740B44"/>
    <w:rsid w:val="00741FF3"/>
    <w:rsid w:val="0074228C"/>
    <w:rsid w:val="0074268B"/>
    <w:rsid w:val="00742E1C"/>
    <w:rsid w:val="00743A97"/>
    <w:rsid w:val="00743D6E"/>
    <w:rsid w:val="0074501E"/>
    <w:rsid w:val="00745E0A"/>
    <w:rsid w:val="00745F66"/>
    <w:rsid w:val="007464BB"/>
    <w:rsid w:val="007465F0"/>
    <w:rsid w:val="00746862"/>
    <w:rsid w:val="007475E7"/>
    <w:rsid w:val="00747747"/>
    <w:rsid w:val="00747BE1"/>
    <w:rsid w:val="00747F9F"/>
    <w:rsid w:val="00750F4C"/>
    <w:rsid w:val="007510A2"/>
    <w:rsid w:val="00751451"/>
    <w:rsid w:val="00751D22"/>
    <w:rsid w:val="00751D28"/>
    <w:rsid w:val="00751F6D"/>
    <w:rsid w:val="007520FE"/>
    <w:rsid w:val="007533A3"/>
    <w:rsid w:val="00753B6A"/>
    <w:rsid w:val="00754B67"/>
    <w:rsid w:val="00755076"/>
    <w:rsid w:val="00755348"/>
    <w:rsid w:val="007558E2"/>
    <w:rsid w:val="00756D42"/>
    <w:rsid w:val="00757582"/>
    <w:rsid w:val="0076011D"/>
    <w:rsid w:val="00760C80"/>
    <w:rsid w:val="007612F5"/>
    <w:rsid w:val="007619FB"/>
    <w:rsid w:val="00763208"/>
    <w:rsid w:val="00764802"/>
    <w:rsid w:val="00764D2D"/>
    <w:rsid w:val="007652D8"/>
    <w:rsid w:val="0076590B"/>
    <w:rsid w:val="00765D8C"/>
    <w:rsid w:val="00767269"/>
    <w:rsid w:val="00767805"/>
    <w:rsid w:val="00767E96"/>
    <w:rsid w:val="00771F53"/>
    <w:rsid w:val="00772291"/>
    <w:rsid w:val="007724B5"/>
    <w:rsid w:val="007725D1"/>
    <w:rsid w:val="00772720"/>
    <w:rsid w:val="007730E2"/>
    <w:rsid w:val="00773202"/>
    <w:rsid w:val="00773368"/>
    <w:rsid w:val="00773D8A"/>
    <w:rsid w:val="00774DC3"/>
    <w:rsid w:val="0077562A"/>
    <w:rsid w:val="00775665"/>
    <w:rsid w:val="007757AA"/>
    <w:rsid w:val="007763F8"/>
    <w:rsid w:val="0077655C"/>
    <w:rsid w:val="00776A4A"/>
    <w:rsid w:val="00776F55"/>
    <w:rsid w:val="00777AB4"/>
    <w:rsid w:val="00777B44"/>
    <w:rsid w:val="00780300"/>
    <w:rsid w:val="00780D3F"/>
    <w:rsid w:val="0078134A"/>
    <w:rsid w:val="0078230F"/>
    <w:rsid w:val="00782376"/>
    <w:rsid w:val="0078269E"/>
    <w:rsid w:val="00782E4D"/>
    <w:rsid w:val="00782FF9"/>
    <w:rsid w:val="00783362"/>
    <w:rsid w:val="00783649"/>
    <w:rsid w:val="00783CB7"/>
    <w:rsid w:val="00783F2D"/>
    <w:rsid w:val="00784063"/>
    <w:rsid w:val="007840AC"/>
    <w:rsid w:val="00784493"/>
    <w:rsid w:val="00784F6F"/>
    <w:rsid w:val="007850F9"/>
    <w:rsid w:val="0078552D"/>
    <w:rsid w:val="00786A62"/>
    <w:rsid w:val="0078722D"/>
    <w:rsid w:val="0078756D"/>
    <w:rsid w:val="007878B4"/>
    <w:rsid w:val="00787CF2"/>
    <w:rsid w:val="00790888"/>
    <w:rsid w:val="00791F42"/>
    <w:rsid w:val="0079228B"/>
    <w:rsid w:val="00793DD1"/>
    <w:rsid w:val="00794A9B"/>
    <w:rsid w:val="00794D1D"/>
    <w:rsid w:val="00794E98"/>
    <w:rsid w:val="0079542E"/>
    <w:rsid w:val="00795497"/>
    <w:rsid w:val="0079557A"/>
    <w:rsid w:val="00795F68"/>
    <w:rsid w:val="007961D6"/>
    <w:rsid w:val="007964F3"/>
    <w:rsid w:val="00796F5C"/>
    <w:rsid w:val="00797B5D"/>
    <w:rsid w:val="00797C96"/>
    <w:rsid w:val="007A018D"/>
    <w:rsid w:val="007A0620"/>
    <w:rsid w:val="007A0733"/>
    <w:rsid w:val="007A0B03"/>
    <w:rsid w:val="007A12B9"/>
    <w:rsid w:val="007A185C"/>
    <w:rsid w:val="007A28FA"/>
    <w:rsid w:val="007A3506"/>
    <w:rsid w:val="007A3E47"/>
    <w:rsid w:val="007A414E"/>
    <w:rsid w:val="007A468D"/>
    <w:rsid w:val="007A56A9"/>
    <w:rsid w:val="007A5D65"/>
    <w:rsid w:val="007A731B"/>
    <w:rsid w:val="007A7341"/>
    <w:rsid w:val="007A774F"/>
    <w:rsid w:val="007B00EC"/>
    <w:rsid w:val="007B0B97"/>
    <w:rsid w:val="007B1274"/>
    <w:rsid w:val="007B2398"/>
    <w:rsid w:val="007B2C48"/>
    <w:rsid w:val="007B32E1"/>
    <w:rsid w:val="007B3818"/>
    <w:rsid w:val="007B385F"/>
    <w:rsid w:val="007B3E45"/>
    <w:rsid w:val="007B456A"/>
    <w:rsid w:val="007B4EF0"/>
    <w:rsid w:val="007B5413"/>
    <w:rsid w:val="007B54A6"/>
    <w:rsid w:val="007B6846"/>
    <w:rsid w:val="007B69D1"/>
    <w:rsid w:val="007B6C54"/>
    <w:rsid w:val="007B6F1C"/>
    <w:rsid w:val="007B7B0F"/>
    <w:rsid w:val="007B7BA0"/>
    <w:rsid w:val="007B7F04"/>
    <w:rsid w:val="007C0530"/>
    <w:rsid w:val="007C062B"/>
    <w:rsid w:val="007C147F"/>
    <w:rsid w:val="007C19A9"/>
    <w:rsid w:val="007C1C5A"/>
    <w:rsid w:val="007C2442"/>
    <w:rsid w:val="007C2A8D"/>
    <w:rsid w:val="007C2E12"/>
    <w:rsid w:val="007C30D9"/>
    <w:rsid w:val="007C3382"/>
    <w:rsid w:val="007C33AD"/>
    <w:rsid w:val="007C3520"/>
    <w:rsid w:val="007C3A51"/>
    <w:rsid w:val="007C4138"/>
    <w:rsid w:val="007C4EAE"/>
    <w:rsid w:val="007C5500"/>
    <w:rsid w:val="007C65AB"/>
    <w:rsid w:val="007C7002"/>
    <w:rsid w:val="007D0047"/>
    <w:rsid w:val="007D075B"/>
    <w:rsid w:val="007D0C3E"/>
    <w:rsid w:val="007D1EE7"/>
    <w:rsid w:val="007D1F37"/>
    <w:rsid w:val="007D2400"/>
    <w:rsid w:val="007D26A5"/>
    <w:rsid w:val="007D2B99"/>
    <w:rsid w:val="007D2C1F"/>
    <w:rsid w:val="007D2E5F"/>
    <w:rsid w:val="007D2EB2"/>
    <w:rsid w:val="007D3980"/>
    <w:rsid w:val="007D53DB"/>
    <w:rsid w:val="007D5783"/>
    <w:rsid w:val="007D5F2E"/>
    <w:rsid w:val="007D6B77"/>
    <w:rsid w:val="007D6C71"/>
    <w:rsid w:val="007D70A3"/>
    <w:rsid w:val="007D7F70"/>
    <w:rsid w:val="007E010B"/>
    <w:rsid w:val="007E011E"/>
    <w:rsid w:val="007E056D"/>
    <w:rsid w:val="007E1409"/>
    <w:rsid w:val="007E1C79"/>
    <w:rsid w:val="007E213F"/>
    <w:rsid w:val="007E2574"/>
    <w:rsid w:val="007E2804"/>
    <w:rsid w:val="007E2F91"/>
    <w:rsid w:val="007E2FD9"/>
    <w:rsid w:val="007E3099"/>
    <w:rsid w:val="007E373E"/>
    <w:rsid w:val="007E3F19"/>
    <w:rsid w:val="007E58C9"/>
    <w:rsid w:val="007E5989"/>
    <w:rsid w:val="007E59BF"/>
    <w:rsid w:val="007E5FB6"/>
    <w:rsid w:val="007E6299"/>
    <w:rsid w:val="007E6485"/>
    <w:rsid w:val="007E65A6"/>
    <w:rsid w:val="007E6970"/>
    <w:rsid w:val="007E6FDF"/>
    <w:rsid w:val="007E7078"/>
    <w:rsid w:val="007F063C"/>
    <w:rsid w:val="007F101D"/>
    <w:rsid w:val="007F105C"/>
    <w:rsid w:val="007F1B15"/>
    <w:rsid w:val="007F22DF"/>
    <w:rsid w:val="007F264A"/>
    <w:rsid w:val="007F5268"/>
    <w:rsid w:val="007F577A"/>
    <w:rsid w:val="007F598E"/>
    <w:rsid w:val="007F5E2B"/>
    <w:rsid w:val="007F62B5"/>
    <w:rsid w:val="007F6E12"/>
    <w:rsid w:val="007F6FF6"/>
    <w:rsid w:val="007F729C"/>
    <w:rsid w:val="007F788F"/>
    <w:rsid w:val="00800BAE"/>
    <w:rsid w:val="008012DE"/>
    <w:rsid w:val="008013DC"/>
    <w:rsid w:val="00801E60"/>
    <w:rsid w:val="008021E4"/>
    <w:rsid w:val="0080225F"/>
    <w:rsid w:val="0080275C"/>
    <w:rsid w:val="00802FC5"/>
    <w:rsid w:val="008031D9"/>
    <w:rsid w:val="00803A8F"/>
    <w:rsid w:val="008048E4"/>
    <w:rsid w:val="00805401"/>
    <w:rsid w:val="008057C2"/>
    <w:rsid w:val="00805F68"/>
    <w:rsid w:val="00806187"/>
    <w:rsid w:val="0080646C"/>
    <w:rsid w:val="00806EE2"/>
    <w:rsid w:val="0081021C"/>
    <w:rsid w:val="00810B22"/>
    <w:rsid w:val="00810B96"/>
    <w:rsid w:val="00811054"/>
    <w:rsid w:val="00811391"/>
    <w:rsid w:val="00811961"/>
    <w:rsid w:val="00811F91"/>
    <w:rsid w:val="00811F9D"/>
    <w:rsid w:val="008121D4"/>
    <w:rsid w:val="008139CE"/>
    <w:rsid w:val="00813BF5"/>
    <w:rsid w:val="00813F54"/>
    <w:rsid w:val="0081450A"/>
    <w:rsid w:val="00814679"/>
    <w:rsid w:val="00814E4E"/>
    <w:rsid w:val="008159EB"/>
    <w:rsid w:val="00815FBF"/>
    <w:rsid w:val="00816910"/>
    <w:rsid w:val="00816ADC"/>
    <w:rsid w:val="00816AE8"/>
    <w:rsid w:val="00816D04"/>
    <w:rsid w:val="00816D2F"/>
    <w:rsid w:val="00816FDD"/>
    <w:rsid w:val="008171A5"/>
    <w:rsid w:val="008174D2"/>
    <w:rsid w:val="00817DF9"/>
    <w:rsid w:val="008207DF"/>
    <w:rsid w:val="00820AB0"/>
    <w:rsid w:val="008220CE"/>
    <w:rsid w:val="00822DA9"/>
    <w:rsid w:val="00822FCD"/>
    <w:rsid w:val="008236EA"/>
    <w:rsid w:val="00823C6E"/>
    <w:rsid w:val="008241E8"/>
    <w:rsid w:val="0082533F"/>
    <w:rsid w:val="0082659C"/>
    <w:rsid w:val="00826EA8"/>
    <w:rsid w:val="00827010"/>
    <w:rsid w:val="00830379"/>
    <w:rsid w:val="00830425"/>
    <w:rsid w:val="0083092E"/>
    <w:rsid w:val="00830C61"/>
    <w:rsid w:val="008312ED"/>
    <w:rsid w:val="00831ABD"/>
    <w:rsid w:val="00831C3C"/>
    <w:rsid w:val="00832311"/>
    <w:rsid w:val="008325AE"/>
    <w:rsid w:val="008329D4"/>
    <w:rsid w:val="008332B2"/>
    <w:rsid w:val="00833DA5"/>
    <w:rsid w:val="008343A1"/>
    <w:rsid w:val="008344A1"/>
    <w:rsid w:val="008344DD"/>
    <w:rsid w:val="008355D8"/>
    <w:rsid w:val="00835CF0"/>
    <w:rsid w:val="00836AFF"/>
    <w:rsid w:val="00836E5B"/>
    <w:rsid w:val="00837236"/>
    <w:rsid w:val="00840102"/>
    <w:rsid w:val="00840EEB"/>
    <w:rsid w:val="0084118E"/>
    <w:rsid w:val="008411F4"/>
    <w:rsid w:val="008415A4"/>
    <w:rsid w:val="0084183B"/>
    <w:rsid w:val="008425D9"/>
    <w:rsid w:val="00843570"/>
    <w:rsid w:val="008439FE"/>
    <w:rsid w:val="00843CC2"/>
    <w:rsid w:val="008441F5"/>
    <w:rsid w:val="00844A9C"/>
    <w:rsid w:val="0084502C"/>
    <w:rsid w:val="008452B7"/>
    <w:rsid w:val="0084580F"/>
    <w:rsid w:val="00846341"/>
    <w:rsid w:val="00846830"/>
    <w:rsid w:val="00846927"/>
    <w:rsid w:val="0084699D"/>
    <w:rsid w:val="008471FE"/>
    <w:rsid w:val="00850032"/>
    <w:rsid w:val="008513A2"/>
    <w:rsid w:val="008513F7"/>
    <w:rsid w:val="00851B82"/>
    <w:rsid w:val="00852061"/>
    <w:rsid w:val="0085250B"/>
    <w:rsid w:val="00852CE8"/>
    <w:rsid w:val="00852DF5"/>
    <w:rsid w:val="0085305F"/>
    <w:rsid w:val="008532EB"/>
    <w:rsid w:val="00853A40"/>
    <w:rsid w:val="00854849"/>
    <w:rsid w:val="008549BF"/>
    <w:rsid w:val="00854C1F"/>
    <w:rsid w:val="008553C2"/>
    <w:rsid w:val="00855A4D"/>
    <w:rsid w:val="00855B63"/>
    <w:rsid w:val="00855DB3"/>
    <w:rsid w:val="008564E3"/>
    <w:rsid w:val="008565B1"/>
    <w:rsid w:val="00856C26"/>
    <w:rsid w:val="00856ED3"/>
    <w:rsid w:val="008579EF"/>
    <w:rsid w:val="00860096"/>
    <w:rsid w:val="008601E7"/>
    <w:rsid w:val="0086282D"/>
    <w:rsid w:val="00863375"/>
    <w:rsid w:val="0086449D"/>
    <w:rsid w:val="00864EDB"/>
    <w:rsid w:val="00865268"/>
    <w:rsid w:val="008655E9"/>
    <w:rsid w:val="00865CAD"/>
    <w:rsid w:val="00866E26"/>
    <w:rsid w:val="00867886"/>
    <w:rsid w:val="0087034E"/>
    <w:rsid w:val="008718B9"/>
    <w:rsid w:val="008722C7"/>
    <w:rsid w:val="00872822"/>
    <w:rsid w:val="00872838"/>
    <w:rsid w:val="00873D5B"/>
    <w:rsid w:val="00873F1B"/>
    <w:rsid w:val="008745FD"/>
    <w:rsid w:val="008752DB"/>
    <w:rsid w:val="00876049"/>
    <w:rsid w:val="00876C31"/>
    <w:rsid w:val="00876D1A"/>
    <w:rsid w:val="00877CCC"/>
    <w:rsid w:val="00877D79"/>
    <w:rsid w:val="008807D9"/>
    <w:rsid w:val="0088186B"/>
    <w:rsid w:val="00881C1A"/>
    <w:rsid w:val="00881C3C"/>
    <w:rsid w:val="00881E57"/>
    <w:rsid w:val="00882102"/>
    <w:rsid w:val="00882D84"/>
    <w:rsid w:val="00882EB1"/>
    <w:rsid w:val="00883A9B"/>
    <w:rsid w:val="00884887"/>
    <w:rsid w:val="00885254"/>
    <w:rsid w:val="00885D1D"/>
    <w:rsid w:val="008875C5"/>
    <w:rsid w:val="0089080A"/>
    <w:rsid w:val="00891718"/>
    <w:rsid w:val="0089265F"/>
    <w:rsid w:val="00892819"/>
    <w:rsid w:val="00893326"/>
    <w:rsid w:val="0089353A"/>
    <w:rsid w:val="008935E1"/>
    <w:rsid w:val="00893A96"/>
    <w:rsid w:val="0089525E"/>
    <w:rsid w:val="00895A8E"/>
    <w:rsid w:val="00895DA2"/>
    <w:rsid w:val="00896900"/>
    <w:rsid w:val="0089722A"/>
    <w:rsid w:val="00897D4D"/>
    <w:rsid w:val="00897DC0"/>
    <w:rsid w:val="008A038E"/>
    <w:rsid w:val="008A03BF"/>
    <w:rsid w:val="008A1217"/>
    <w:rsid w:val="008A1B89"/>
    <w:rsid w:val="008A20D7"/>
    <w:rsid w:val="008A2A81"/>
    <w:rsid w:val="008A36DC"/>
    <w:rsid w:val="008A3858"/>
    <w:rsid w:val="008A3D6B"/>
    <w:rsid w:val="008A3EFD"/>
    <w:rsid w:val="008A410A"/>
    <w:rsid w:val="008A520E"/>
    <w:rsid w:val="008A5E23"/>
    <w:rsid w:val="008A616B"/>
    <w:rsid w:val="008A69A4"/>
    <w:rsid w:val="008A6FF8"/>
    <w:rsid w:val="008A7888"/>
    <w:rsid w:val="008A7E1A"/>
    <w:rsid w:val="008B030F"/>
    <w:rsid w:val="008B033C"/>
    <w:rsid w:val="008B05DD"/>
    <w:rsid w:val="008B09D4"/>
    <w:rsid w:val="008B0B35"/>
    <w:rsid w:val="008B2550"/>
    <w:rsid w:val="008B25EC"/>
    <w:rsid w:val="008B2930"/>
    <w:rsid w:val="008B2C59"/>
    <w:rsid w:val="008B2CA1"/>
    <w:rsid w:val="008B3485"/>
    <w:rsid w:val="008B38F2"/>
    <w:rsid w:val="008B3FD5"/>
    <w:rsid w:val="008B4F61"/>
    <w:rsid w:val="008B5475"/>
    <w:rsid w:val="008B5BBB"/>
    <w:rsid w:val="008B5BC2"/>
    <w:rsid w:val="008B5D44"/>
    <w:rsid w:val="008B5E29"/>
    <w:rsid w:val="008B6308"/>
    <w:rsid w:val="008B690C"/>
    <w:rsid w:val="008B6ADE"/>
    <w:rsid w:val="008B6FC1"/>
    <w:rsid w:val="008B6FD6"/>
    <w:rsid w:val="008B725C"/>
    <w:rsid w:val="008B7444"/>
    <w:rsid w:val="008B747D"/>
    <w:rsid w:val="008B7ADF"/>
    <w:rsid w:val="008C0029"/>
    <w:rsid w:val="008C0430"/>
    <w:rsid w:val="008C0462"/>
    <w:rsid w:val="008C056B"/>
    <w:rsid w:val="008C0BCB"/>
    <w:rsid w:val="008C0C29"/>
    <w:rsid w:val="008C0D55"/>
    <w:rsid w:val="008C0FDF"/>
    <w:rsid w:val="008C1028"/>
    <w:rsid w:val="008C17E1"/>
    <w:rsid w:val="008C1962"/>
    <w:rsid w:val="008C1B2B"/>
    <w:rsid w:val="008C294D"/>
    <w:rsid w:val="008C2B96"/>
    <w:rsid w:val="008C3167"/>
    <w:rsid w:val="008C31C9"/>
    <w:rsid w:val="008C3C90"/>
    <w:rsid w:val="008C3D36"/>
    <w:rsid w:val="008C4090"/>
    <w:rsid w:val="008C40F8"/>
    <w:rsid w:val="008C577C"/>
    <w:rsid w:val="008C6D7A"/>
    <w:rsid w:val="008C6E17"/>
    <w:rsid w:val="008C6ED0"/>
    <w:rsid w:val="008C72D8"/>
    <w:rsid w:val="008C73B8"/>
    <w:rsid w:val="008C7D52"/>
    <w:rsid w:val="008D06EC"/>
    <w:rsid w:val="008D0840"/>
    <w:rsid w:val="008D1051"/>
    <w:rsid w:val="008D3C61"/>
    <w:rsid w:val="008D3D97"/>
    <w:rsid w:val="008D4184"/>
    <w:rsid w:val="008D5B59"/>
    <w:rsid w:val="008D60A1"/>
    <w:rsid w:val="008D620B"/>
    <w:rsid w:val="008D6C40"/>
    <w:rsid w:val="008D6F4B"/>
    <w:rsid w:val="008D7001"/>
    <w:rsid w:val="008D7C0D"/>
    <w:rsid w:val="008D7C89"/>
    <w:rsid w:val="008E0294"/>
    <w:rsid w:val="008E053A"/>
    <w:rsid w:val="008E064D"/>
    <w:rsid w:val="008E0BFB"/>
    <w:rsid w:val="008E0F5C"/>
    <w:rsid w:val="008E1671"/>
    <w:rsid w:val="008E184E"/>
    <w:rsid w:val="008E2179"/>
    <w:rsid w:val="008E3067"/>
    <w:rsid w:val="008E330B"/>
    <w:rsid w:val="008E394E"/>
    <w:rsid w:val="008E55D5"/>
    <w:rsid w:val="008E596F"/>
    <w:rsid w:val="008E5D2D"/>
    <w:rsid w:val="008E5E39"/>
    <w:rsid w:val="008E627E"/>
    <w:rsid w:val="008E6C3E"/>
    <w:rsid w:val="008E735B"/>
    <w:rsid w:val="008E74B3"/>
    <w:rsid w:val="008E7D67"/>
    <w:rsid w:val="008F00B2"/>
    <w:rsid w:val="008F00B6"/>
    <w:rsid w:val="008F0395"/>
    <w:rsid w:val="008F0A36"/>
    <w:rsid w:val="008F0D9C"/>
    <w:rsid w:val="008F188C"/>
    <w:rsid w:val="008F1CE8"/>
    <w:rsid w:val="008F1EC7"/>
    <w:rsid w:val="008F2185"/>
    <w:rsid w:val="008F25C9"/>
    <w:rsid w:val="008F296D"/>
    <w:rsid w:val="008F2D43"/>
    <w:rsid w:val="008F31AD"/>
    <w:rsid w:val="008F3635"/>
    <w:rsid w:val="008F3870"/>
    <w:rsid w:val="008F3ED1"/>
    <w:rsid w:val="008F41E4"/>
    <w:rsid w:val="008F42E7"/>
    <w:rsid w:val="008F449A"/>
    <w:rsid w:val="008F4FB4"/>
    <w:rsid w:val="008F5B0F"/>
    <w:rsid w:val="008F5D8E"/>
    <w:rsid w:val="008F6265"/>
    <w:rsid w:val="008F6570"/>
    <w:rsid w:val="008F6698"/>
    <w:rsid w:val="008F7104"/>
    <w:rsid w:val="008F7C3B"/>
    <w:rsid w:val="008F7FC2"/>
    <w:rsid w:val="009004C3"/>
    <w:rsid w:val="0090090C"/>
    <w:rsid w:val="0090162C"/>
    <w:rsid w:val="00901689"/>
    <w:rsid w:val="00901F31"/>
    <w:rsid w:val="009024C3"/>
    <w:rsid w:val="009028AC"/>
    <w:rsid w:val="00902B1F"/>
    <w:rsid w:val="00902BC5"/>
    <w:rsid w:val="0090316B"/>
    <w:rsid w:val="0090324B"/>
    <w:rsid w:val="009045D8"/>
    <w:rsid w:val="00904DDA"/>
    <w:rsid w:val="00904E2A"/>
    <w:rsid w:val="0090565B"/>
    <w:rsid w:val="00905F7F"/>
    <w:rsid w:val="009061E6"/>
    <w:rsid w:val="009061F0"/>
    <w:rsid w:val="00906542"/>
    <w:rsid w:val="009067B4"/>
    <w:rsid w:val="00906B8F"/>
    <w:rsid w:val="00906F7A"/>
    <w:rsid w:val="009072C0"/>
    <w:rsid w:val="009109EF"/>
    <w:rsid w:val="009118E6"/>
    <w:rsid w:val="00911E7C"/>
    <w:rsid w:val="009128E3"/>
    <w:rsid w:val="00912D16"/>
    <w:rsid w:val="00912D20"/>
    <w:rsid w:val="009142CD"/>
    <w:rsid w:val="00915817"/>
    <w:rsid w:val="00915ECB"/>
    <w:rsid w:val="00916A65"/>
    <w:rsid w:val="00916AF0"/>
    <w:rsid w:val="0091797C"/>
    <w:rsid w:val="00917DCD"/>
    <w:rsid w:val="00917DF8"/>
    <w:rsid w:val="0092043C"/>
    <w:rsid w:val="009204C6"/>
    <w:rsid w:val="009206E1"/>
    <w:rsid w:val="009209FB"/>
    <w:rsid w:val="0092124D"/>
    <w:rsid w:val="00921B04"/>
    <w:rsid w:val="00921CD4"/>
    <w:rsid w:val="00921CDE"/>
    <w:rsid w:val="00922226"/>
    <w:rsid w:val="00922AC6"/>
    <w:rsid w:val="00922CFE"/>
    <w:rsid w:val="00922E2B"/>
    <w:rsid w:val="00922F33"/>
    <w:rsid w:val="00922FEB"/>
    <w:rsid w:val="00923134"/>
    <w:rsid w:val="00923FA0"/>
    <w:rsid w:val="0092406A"/>
    <w:rsid w:val="0092469F"/>
    <w:rsid w:val="009248D4"/>
    <w:rsid w:val="00924943"/>
    <w:rsid w:val="00925626"/>
    <w:rsid w:val="00925ED5"/>
    <w:rsid w:val="00925FEF"/>
    <w:rsid w:val="009268C4"/>
    <w:rsid w:val="009269AA"/>
    <w:rsid w:val="00927376"/>
    <w:rsid w:val="009276B3"/>
    <w:rsid w:val="00930365"/>
    <w:rsid w:val="009306DA"/>
    <w:rsid w:val="009310D0"/>
    <w:rsid w:val="0093249A"/>
    <w:rsid w:val="009324EB"/>
    <w:rsid w:val="00932D55"/>
    <w:rsid w:val="00932E99"/>
    <w:rsid w:val="00933354"/>
    <w:rsid w:val="00933A37"/>
    <w:rsid w:val="00933DF5"/>
    <w:rsid w:val="00934A33"/>
    <w:rsid w:val="00934A65"/>
    <w:rsid w:val="00934AEF"/>
    <w:rsid w:val="009361C4"/>
    <w:rsid w:val="00936B52"/>
    <w:rsid w:val="00936EFB"/>
    <w:rsid w:val="009370B9"/>
    <w:rsid w:val="00937E9C"/>
    <w:rsid w:val="00940131"/>
    <w:rsid w:val="009402EA"/>
    <w:rsid w:val="009406C2"/>
    <w:rsid w:val="00940844"/>
    <w:rsid w:val="009419B2"/>
    <w:rsid w:val="00941C43"/>
    <w:rsid w:val="009423A4"/>
    <w:rsid w:val="009434B3"/>
    <w:rsid w:val="00943C87"/>
    <w:rsid w:val="00944425"/>
    <w:rsid w:val="009445ED"/>
    <w:rsid w:val="00944C3A"/>
    <w:rsid w:val="00944C81"/>
    <w:rsid w:val="00945860"/>
    <w:rsid w:val="00945D21"/>
    <w:rsid w:val="00946732"/>
    <w:rsid w:val="00946932"/>
    <w:rsid w:val="009469A6"/>
    <w:rsid w:val="00946FAB"/>
    <w:rsid w:val="009476D2"/>
    <w:rsid w:val="00950949"/>
    <w:rsid w:val="00950F0E"/>
    <w:rsid w:val="009513DE"/>
    <w:rsid w:val="009514F9"/>
    <w:rsid w:val="00952E79"/>
    <w:rsid w:val="0095326B"/>
    <w:rsid w:val="00953C29"/>
    <w:rsid w:val="0095419E"/>
    <w:rsid w:val="00954600"/>
    <w:rsid w:val="00954884"/>
    <w:rsid w:val="00954C05"/>
    <w:rsid w:val="00955158"/>
    <w:rsid w:val="00955656"/>
    <w:rsid w:val="009558A6"/>
    <w:rsid w:val="0095662E"/>
    <w:rsid w:val="009567FE"/>
    <w:rsid w:val="00957A88"/>
    <w:rsid w:val="009605FD"/>
    <w:rsid w:val="00960BE6"/>
    <w:rsid w:val="00961152"/>
    <w:rsid w:val="009617D6"/>
    <w:rsid w:val="00961BF9"/>
    <w:rsid w:val="00962E8C"/>
    <w:rsid w:val="009630FB"/>
    <w:rsid w:val="00963369"/>
    <w:rsid w:val="0096346E"/>
    <w:rsid w:val="0096353A"/>
    <w:rsid w:val="00963723"/>
    <w:rsid w:val="00963D9B"/>
    <w:rsid w:val="00964041"/>
    <w:rsid w:val="009640D9"/>
    <w:rsid w:val="00964751"/>
    <w:rsid w:val="00965104"/>
    <w:rsid w:val="009659D6"/>
    <w:rsid w:val="00965C6D"/>
    <w:rsid w:val="00965D10"/>
    <w:rsid w:val="00965F9B"/>
    <w:rsid w:val="00966D84"/>
    <w:rsid w:val="009676CA"/>
    <w:rsid w:val="00967DED"/>
    <w:rsid w:val="00970B74"/>
    <w:rsid w:val="009716DE"/>
    <w:rsid w:val="00971B16"/>
    <w:rsid w:val="00972479"/>
    <w:rsid w:val="009724DC"/>
    <w:rsid w:val="00972660"/>
    <w:rsid w:val="00972837"/>
    <w:rsid w:val="00972F96"/>
    <w:rsid w:val="009737F3"/>
    <w:rsid w:val="009739D0"/>
    <w:rsid w:val="00974957"/>
    <w:rsid w:val="00974C1D"/>
    <w:rsid w:val="00975501"/>
    <w:rsid w:val="009759D5"/>
    <w:rsid w:val="00975AFB"/>
    <w:rsid w:val="0097619F"/>
    <w:rsid w:val="0097708D"/>
    <w:rsid w:val="0097721C"/>
    <w:rsid w:val="00977761"/>
    <w:rsid w:val="00981674"/>
    <w:rsid w:val="009821AA"/>
    <w:rsid w:val="00982B82"/>
    <w:rsid w:val="00982EEB"/>
    <w:rsid w:val="00982F87"/>
    <w:rsid w:val="00983DA6"/>
    <w:rsid w:val="00984444"/>
    <w:rsid w:val="009853E5"/>
    <w:rsid w:val="0098658B"/>
    <w:rsid w:val="00986F02"/>
    <w:rsid w:val="0098785E"/>
    <w:rsid w:val="0098792B"/>
    <w:rsid w:val="00990007"/>
    <w:rsid w:val="00990983"/>
    <w:rsid w:val="009913FB"/>
    <w:rsid w:val="009916AB"/>
    <w:rsid w:val="00992473"/>
    <w:rsid w:val="00992578"/>
    <w:rsid w:val="00992AC0"/>
    <w:rsid w:val="0099474F"/>
    <w:rsid w:val="009947CF"/>
    <w:rsid w:val="00995C00"/>
    <w:rsid w:val="00995C3E"/>
    <w:rsid w:val="00996484"/>
    <w:rsid w:val="0099675E"/>
    <w:rsid w:val="009A0E9B"/>
    <w:rsid w:val="009A0FFD"/>
    <w:rsid w:val="009A107C"/>
    <w:rsid w:val="009A2818"/>
    <w:rsid w:val="009A28A5"/>
    <w:rsid w:val="009A28D4"/>
    <w:rsid w:val="009A2921"/>
    <w:rsid w:val="009A2FC2"/>
    <w:rsid w:val="009A3201"/>
    <w:rsid w:val="009A3BAC"/>
    <w:rsid w:val="009A3C3E"/>
    <w:rsid w:val="009A3EF9"/>
    <w:rsid w:val="009A4717"/>
    <w:rsid w:val="009A495E"/>
    <w:rsid w:val="009A4F09"/>
    <w:rsid w:val="009A6CC7"/>
    <w:rsid w:val="009A6D0F"/>
    <w:rsid w:val="009A7182"/>
    <w:rsid w:val="009A7FBD"/>
    <w:rsid w:val="009B055F"/>
    <w:rsid w:val="009B1528"/>
    <w:rsid w:val="009B1673"/>
    <w:rsid w:val="009B2083"/>
    <w:rsid w:val="009B25BA"/>
    <w:rsid w:val="009B26D1"/>
    <w:rsid w:val="009B26EF"/>
    <w:rsid w:val="009B2A43"/>
    <w:rsid w:val="009B2B8F"/>
    <w:rsid w:val="009B2E5C"/>
    <w:rsid w:val="009B35BB"/>
    <w:rsid w:val="009B3DB3"/>
    <w:rsid w:val="009B47D2"/>
    <w:rsid w:val="009B4C69"/>
    <w:rsid w:val="009B4F37"/>
    <w:rsid w:val="009B4F66"/>
    <w:rsid w:val="009B5643"/>
    <w:rsid w:val="009B5697"/>
    <w:rsid w:val="009B6100"/>
    <w:rsid w:val="009B6E9D"/>
    <w:rsid w:val="009B7963"/>
    <w:rsid w:val="009B7ACF"/>
    <w:rsid w:val="009B7CCA"/>
    <w:rsid w:val="009C0C80"/>
    <w:rsid w:val="009C18A3"/>
    <w:rsid w:val="009C1B04"/>
    <w:rsid w:val="009C212A"/>
    <w:rsid w:val="009C2814"/>
    <w:rsid w:val="009C2E75"/>
    <w:rsid w:val="009C531D"/>
    <w:rsid w:val="009C65F1"/>
    <w:rsid w:val="009C7E04"/>
    <w:rsid w:val="009D037B"/>
    <w:rsid w:val="009D1F85"/>
    <w:rsid w:val="009D1FC9"/>
    <w:rsid w:val="009D2354"/>
    <w:rsid w:val="009D2427"/>
    <w:rsid w:val="009D37D1"/>
    <w:rsid w:val="009D47F7"/>
    <w:rsid w:val="009D4F89"/>
    <w:rsid w:val="009D586A"/>
    <w:rsid w:val="009D5F7A"/>
    <w:rsid w:val="009D616C"/>
    <w:rsid w:val="009D681C"/>
    <w:rsid w:val="009D712E"/>
    <w:rsid w:val="009D72A5"/>
    <w:rsid w:val="009D7C9C"/>
    <w:rsid w:val="009E249E"/>
    <w:rsid w:val="009E24FD"/>
    <w:rsid w:val="009E445E"/>
    <w:rsid w:val="009E47CA"/>
    <w:rsid w:val="009E4945"/>
    <w:rsid w:val="009E4EE5"/>
    <w:rsid w:val="009E5310"/>
    <w:rsid w:val="009E694E"/>
    <w:rsid w:val="009E6E53"/>
    <w:rsid w:val="009E787A"/>
    <w:rsid w:val="009E7A79"/>
    <w:rsid w:val="009E7D67"/>
    <w:rsid w:val="009F04A4"/>
    <w:rsid w:val="009F04E7"/>
    <w:rsid w:val="009F1ED6"/>
    <w:rsid w:val="009F2A77"/>
    <w:rsid w:val="009F2AA4"/>
    <w:rsid w:val="009F311A"/>
    <w:rsid w:val="009F34FE"/>
    <w:rsid w:val="009F3533"/>
    <w:rsid w:val="009F3AB8"/>
    <w:rsid w:val="009F3CCB"/>
    <w:rsid w:val="009F3D17"/>
    <w:rsid w:val="009F46CB"/>
    <w:rsid w:val="009F4CB2"/>
    <w:rsid w:val="009F54DC"/>
    <w:rsid w:val="009F55DC"/>
    <w:rsid w:val="009F588A"/>
    <w:rsid w:val="009F7B41"/>
    <w:rsid w:val="009F7BF5"/>
    <w:rsid w:val="00A00E04"/>
    <w:rsid w:val="00A01409"/>
    <w:rsid w:val="00A03DA2"/>
    <w:rsid w:val="00A04291"/>
    <w:rsid w:val="00A04380"/>
    <w:rsid w:val="00A04AEB"/>
    <w:rsid w:val="00A04AEF"/>
    <w:rsid w:val="00A0524F"/>
    <w:rsid w:val="00A0715F"/>
    <w:rsid w:val="00A0730E"/>
    <w:rsid w:val="00A0761E"/>
    <w:rsid w:val="00A07D23"/>
    <w:rsid w:val="00A1022F"/>
    <w:rsid w:val="00A10489"/>
    <w:rsid w:val="00A104A2"/>
    <w:rsid w:val="00A109CD"/>
    <w:rsid w:val="00A109EE"/>
    <w:rsid w:val="00A10C87"/>
    <w:rsid w:val="00A10D72"/>
    <w:rsid w:val="00A10F0D"/>
    <w:rsid w:val="00A115B2"/>
    <w:rsid w:val="00A115BC"/>
    <w:rsid w:val="00A11B88"/>
    <w:rsid w:val="00A11E3A"/>
    <w:rsid w:val="00A1277E"/>
    <w:rsid w:val="00A13C9C"/>
    <w:rsid w:val="00A140A4"/>
    <w:rsid w:val="00A14A9B"/>
    <w:rsid w:val="00A14B8C"/>
    <w:rsid w:val="00A1515D"/>
    <w:rsid w:val="00A1577C"/>
    <w:rsid w:val="00A15C4E"/>
    <w:rsid w:val="00A15D85"/>
    <w:rsid w:val="00A15E4C"/>
    <w:rsid w:val="00A17554"/>
    <w:rsid w:val="00A17C19"/>
    <w:rsid w:val="00A20EFC"/>
    <w:rsid w:val="00A21879"/>
    <w:rsid w:val="00A22558"/>
    <w:rsid w:val="00A225C1"/>
    <w:rsid w:val="00A235AC"/>
    <w:rsid w:val="00A23D9D"/>
    <w:rsid w:val="00A23FA7"/>
    <w:rsid w:val="00A24443"/>
    <w:rsid w:val="00A245E6"/>
    <w:rsid w:val="00A249BB"/>
    <w:rsid w:val="00A24F12"/>
    <w:rsid w:val="00A24FA5"/>
    <w:rsid w:val="00A2546A"/>
    <w:rsid w:val="00A25C74"/>
    <w:rsid w:val="00A26D8E"/>
    <w:rsid w:val="00A26E28"/>
    <w:rsid w:val="00A26F7A"/>
    <w:rsid w:val="00A27100"/>
    <w:rsid w:val="00A279DA"/>
    <w:rsid w:val="00A30733"/>
    <w:rsid w:val="00A309A6"/>
    <w:rsid w:val="00A30D0E"/>
    <w:rsid w:val="00A31219"/>
    <w:rsid w:val="00A31590"/>
    <w:rsid w:val="00A32826"/>
    <w:rsid w:val="00A32C2D"/>
    <w:rsid w:val="00A331E9"/>
    <w:rsid w:val="00A3356B"/>
    <w:rsid w:val="00A33636"/>
    <w:rsid w:val="00A33B7C"/>
    <w:rsid w:val="00A33CD8"/>
    <w:rsid w:val="00A33D36"/>
    <w:rsid w:val="00A34B30"/>
    <w:rsid w:val="00A352B1"/>
    <w:rsid w:val="00A35F7E"/>
    <w:rsid w:val="00A3657E"/>
    <w:rsid w:val="00A367DF"/>
    <w:rsid w:val="00A36FF2"/>
    <w:rsid w:val="00A370C3"/>
    <w:rsid w:val="00A37784"/>
    <w:rsid w:val="00A37EAB"/>
    <w:rsid w:val="00A37F2C"/>
    <w:rsid w:val="00A4017A"/>
    <w:rsid w:val="00A401A3"/>
    <w:rsid w:val="00A40C0F"/>
    <w:rsid w:val="00A410A6"/>
    <w:rsid w:val="00A41BA4"/>
    <w:rsid w:val="00A42484"/>
    <w:rsid w:val="00A42695"/>
    <w:rsid w:val="00A42C91"/>
    <w:rsid w:val="00A42D77"/>
    <w:rsid w:val="00A42E56"/>
    <w:rsid w:val="00A4362C"/>
    <w:rsid w:val="00A43949"/>
    <w:rsid w:val="00A4486F"/>
    <w:rsid w:val="00A44D36"/>
    <w:rsid w:val="00A44DDB"/>
    <w:rsid w:val="00A44E03"/>
    <w:rsid w:val="00A4607A"/>
    <w:rsid w:val="00A460F5"/>
    <w:rsid w:val="00A465F4"/>
    <w:rsid w:val="00A4715E"/>
    <w:rsid w:val="00A471DA"/>
    <w:rsid w:val="00A5152D"/>
    <w:rsid w:val="00A5181C"/>
    <w:rsid w:val="00A51A19"/>
    <w:rsid w:val="00A51A72"/>
    <w:rsid w:val="00A535CF"/>
    <w:rsid w:val="00A53739"/>
    <w:rsid w:val="00A5584C"/>
    <w:rsid w:val="00A55B83"/>
    <w:rsid w:val="00A55C6F"/>
    <w:rsid w:val="00A55D91"/>
    <w:rsid w:val="00A5612B"/>
    <w:rsid w:val="00A562E9"/>
    <w:rsid w:val="00A57133"/>
    <w:rsid w:val="00A57AD5"/>
    <w:rsid w:val="00A57B58"/>
    <w:rsid w:val="00A57B81"/>
    <w:rsid w:val="00A57FB4"/>
    <w:rsid w:val="00A60482"/>
    <w:rsid w:val="00A60CE4"/>
    <w:rsid w:val="00A612BD"/>
    <w:rsid w:val="00A61528"/>
    <w:rsid w:val="00A620EA"/>
    <w:rsid w:val="00A622E7"/>
    <w:rsid w:val="00A62442"/>
    <w:rsid w:val="00A62445"/>
    <w:rsid w:val="00A62A05"/>
    <w:rsid w:val="00A62E87"/>
    <w:rsid w:val="00A62FEB"/>
    <w:rsid w:val="00A63138"/>
    <w:rsid w:val="00A6351F"/>
    <w:rsid w:val="00A64F2D"/>
    <w:rsid w:val="00A65A9B"/>
    <w:rsid w:val="00A65C61"/>
    <w:rsid w:val="00A66524"/>
    <w:rsid w:val="00A678A5"/>
    <w:rsid w:val="00A67E05"/>
    <w:rsid w:val="00A70109"/>
    <w:rsid w:val="00A71F91"/>
    <w:rsid w:val="00A7368C"/>
    <w:rsid w:val="00A73783"/>
    <w:rsid w:val="00A739B3"/>
    <w:rsid w:val="00A73B69"/>
    <w:rsid w:val="00A73EA0"/>
    <w:rsid w:val="00A741EE"/>
    <w:rsid w:val="00A742C4"/>
    <w:rsid w:val="00A74532"/>
    <w:rsid w:val="00A74E1D"/>
    <w:rsid w:val="00A75D37"/>
    <w:rsid w:val="00A760A8"/>
    <w:rsid w:val="00A77993"/>
    <w:rsid w:val="00A8044C"/>
    <w:rsid w:val="00A804DF"/>
    <w:rsid w:val="00A81273"/>
    <w:rsid w:val="00A818A5"/>
    <w:rsid w:val="00A819D6"/>
    <w:rsid w:val="00A81B7E"/>
    <w:rsid w:val="00A82A71"/>
    <w:rsid w:val="00A82CE5"/>
    <w:rsid w:val="00A8373F"/>
    <w:rsid w:val="00A8433D"/>
    <w:rsid w:val="00A84DC6"/>
    <w:rsid w:val="00A854A5"/>
    <w:rsid w:val="00A85831"/>
    <w:rsid w:val="00A85B05"/>
    <w:rsid w:val="00A864D7"/>
    <w:rsid w:val="00A8658E"/>
    <w:rsid w:val="00A90DDF"/>
    <w:rsid w:val="00A9278A"/>
    <w:rsid w:val="00A93A0B"/>
    <w:rsid w:val="00A94BE0"/>
    <w:rsid w:val="00A9510E"/>
    <w:rsid w:val="00A95C3E"/>
    <w:rsid w:val="00A96125"/>
    <w:rsid w:val="00A96196"/>
    <w:rsid w:val="00A97C5F"/>
    <w:rsid w:val="00A97DC3"/>
    <w:rsid w:val="00AA0384"/>
    <w:rsid w:val="00AA08EF"/>
    <w:rsid w:val="00AA097F"/>
    <w:rsid w:val="00AA12AB"/>
    <w:rsid w:val="00AA1F11"/>
    <w:rsid w:val="00AA2252"/>
    <w:rsid w:val="00AA23D7"/>
    <w:rsid w:val="00AA2C91"/>
    <w:rsid w:val="00AA2CCA"/>
    <w:rsid w:val="00AA349D"/>
    <w:rsid w:val="00AA3A81"/>
    <w:rsid w:val="00AA3AF3"/>
    <w:rsid w:val="00AA49E4"/>
    <w:rsid w:val="00AA5096"/>
    <w:rsid w:val="00AA55FF"/>
    <w:rsid w:val="00AA60C6"/>
    <w:rsid w:val="00AA63A3"/>
    <w:rsid w:val="00AA6A2C"/>
    <w:rsid w:val="00AA6B9F"/>
    <w:rsid w:val="00AA6C3E"/>
    <w:rsid w:val="00AA71A4"/>
    <w:rsid w:val="00AA73BA"/>
    <w:rsid w:val="00AA7596"/>
    <w:rsid w:val="00AA7B52"/>
    <w:rsid w:val="00AA7BE8"/>
    <w:rsid w:val="00AA7F10"/>
    <w:rsid w:val="00AB0009"/>
    <w:rsid w:val="00AB19C6"/>
    <w:rsid w:val="00AB1A92"/>
    <w:rsid w:val="00AB36BA"/>
    <w:rsid w:val="00AB3890"/>
    <w:rsid w:val="00AB3F9B"/>
    <w:rsid w:val="00AB445C"/>
    <w:rsid w:val="00AB469A"/>
    <w:rsid w:val="00AB5329"/>
    <w:rsid w:val="00AB5794"/>
    <w:rsid w:val="00AB6627"/>
    <w:rsid w:val="00AB67F1"/>
    <w:rsid w:val="00AB6ADB"/>
    <w:rsid w:val="00AB6B1D"/>
    <w:rsid w:val="00AB6E6E"/>
    <w:rsid w:val="00AB7B4F"/>
    <w:rsid w:val="00AC013F"/>
    <w:rsid w:val="00AC0B74"/>
    <w:rsid w:val="00AC10E7"/>
    <w:rsid w:val="00AC14D0"/>
    <w:rsid w:val="00AC1B3A"/>
    <w:rsid w:val="00AC1F74"/>
    <w:rsid w:val="00AC29A1"/>
    <w:rsid w:val="00AC2A59"/>
    <w:rsid w:val="00AC321A"/>
    <w:rsid w:val="00AC363C"/>
    <w:rsid w:val="00AC4A4B"/>
    <w:rsid w:val="00AC53A9"/>
    <w:rsid w:val="00AC6407"/>
    <w:rsid w:val="00AC6C0B"/>
    <w:rsid w:val="00AC78B9"/>
    <w:rsid w:val="00AD0CD4"/>
    <w:rsid w:val="00AD1126"/>
    <w:rsid w:val="00AD1248"/>
    <w:rsid w:val="00AD12BC"/>
    <w:rsid w:val="00AD1447"/>
    <w:rsid w:val="00AD2277"/>
    <w:rsid w:val="00AD2A5F"/>
    <w:rsid w:val="00AD335F"/>
    <w:rsid w:val="00AD3411"/>
    <w:rsid w:val="00AD3434"/>
    <w:rsid w:val="00AD3EAE"/>
    <w:rsid w:val="00AD47DE"/>
    <w:rsid w:val="00AD4D26"/>
    <w:rsid w:val="00AD5716"/>
    <w:rsid w:val="00AD571A"/>
    <w:rsid w:val="00AD6745"/>
    <w:rsid w:val="00AD6B14"/>
    <w:rsid w:val="00AD7B46"/>
    <w:rsid w:val="00AE00F0"/>
    <w:rsid w:val="00AE03F9"/>
    <w:rsid w:val="00AE068A"/>
    <w:rsid w:val="00AE0D8C"/>
    <w:rsid w:val="00AE1B4D"/>
    <w:rsid w:val="00AE1D23"/>
    <w:rsid w:val="00AE2BCA"/>
    <w:rsid w:val="00AE2DD9"/>
    <w:rsid w:val="00AE587B"/>
    <w:rsid w:val="00AE616E"/>
    <w:rsid w:val="00AE78E4"/>
    <w:rsid w:val="00AE7A0E"/>
    <w:rsid w:val="00AE7EED"/>
    <w:rsid w:val="00AF077D"/>
    <w:rsid w:val="00AF1297"/>
    <w:rsid w:val="00AF1592"/>
    <w:rsid w:val="00AF16E3"/>
    <w:rsid w:val="00AF2079"/>
    <w:rsid w:val="00AF3723"/>
    <w:rsid w:val="00AF4261"/>
    <w:rsid w:val="00AF44AC"/>
    <w:rsid w:val="00AF4F9D"/>
    <w:rsid w:val="00AF57F5"/>
    <w:rsid w:val="00AF6987"/>
    <w:rsid w:val="00AF6EFA"/>
    <w:rsid w:val="00AF7C5B"/>
    <w:rsid w:val="00B004ED"/>
    <w:rsid w:val="00B00BE7"/>
    <w:rsid w:val="00B00D67"/>
    <w:rsid w:val="00B00E35"/>
    <w:rsid w:val="00B0124F"/>
    <w:rsid w:val="00B02282"/>
    <w:rsid w:val="00B02393"/>
    <w:rsid w:val="00B02492"/>
    <w:rsid w:val="00B024FD"/>
    <w:rsid w:val="00B0263D"/>
    <w:rsid w:val="00B03F41"/>
    <w:rsid w:val="00B048DE"/>
    <w:rsid w:val="00B04C7C"/>
    <w:rsid w:val="00B04D51"/>
    <w:rsid w:val="00B04DE9"/>
    <w:rsid w:val="00B05D9D"/>
    <w:rsid w:val="00B063C8"/>
    <w:rsid w:val="00B06D46"/>
    <w:rsid w:val="00B06D60"/>
    <w:rsid w:val="00B10888"/>
    <w:rsid w:val="00B108F4"/>
    <w:rsid w:val="00B11388"/>
    <w:rsid w:val="00B12264"/>
    <w:rsid w:val="00B12292"/>
    <w:rsid w:val="00B12352"/>
    <w:rsid w:val="00B12FE5"/>
    <w:rsid w:val="00B13192"/>
    <w:rsid w:val="00B13A4A"/>
    <w:rsid w:val="00B14A50"/>
    <w:rsid w:val="00B16348"/>
    <w:rsid w:val="00B16815"/>
    <w:rsid w:val="00B16B0F"/>
    <w:rsid w:val="00B170B5"/>
    <w:rsid w:val="00B17241"/>
    <w:rsid w:val="00B17A48"/>
    <w:rsid w:val="00B17F64"/>
    <w:rsid w:val="00B20AF6"/>
    <w:rsid w:val="00B21566"/>
    <w:rsid w:val="00B235D3"/>
    <w:rsid w:val="00B23A8C"/>
    <w:rsid w:val="00B23B36"/>
    <w:rsid w:val="00B23C6F"/>
    <w:rsid w:val="00B23DE6"/>
    <w:rsid w:val="00B2400B"/>
    <w:rsid w:val="00B243EE"/>
    <w:rsid w:val="00B24E4C"/>
    <w:rsid w:val="00B255C5"/>
    <w:rsid w:val="00B26481"/>
    <w:rsid w:val="00B26CC2"/>
    <w:rsid w:val="00B27A7C"/>
    <w:rsid w:val="00B27AFD"/>
    <w:rsid w:val="00B27FBC"/>
    <w:rsid w:val="00B307E5"/>
    <w:rsid w:val="00B307FE"/>
    <w:rsid w:val="00B310AB"/>
    <w:rsid w:val="00B313E7"/>
    <w:rsid w:val="00B32A64"/>
    <w:rsid w:val="00B32BEC"/>
    <w:rsid w:val="00B3349B"/>
    <w:rsid w:val="00B33670"/>
    <w:rsid w:val="00B337A3"/>
    <w:rsid w:val="00B34248"/>
    <w:rsid w:val="00B34D59"/>
    <w:rsid w:val="00B35669"/>
    <w:rsid w:val="00B35B36"/>
    <w:rsid w:val="00B35B5F"/>
    <w:rsid w:val="00B35EE4"/>
    <w:rsid w:val="00B367E0"/>
    <w:rsid w:val="00B367E4"/>
    <w:rsid w:val="00B36DBA"/>
    <w:rsid w:val="00B36F77"/>
    <w:rsid w:val="00B3783B"/>
    <w:rsid w:val="00B37EA9"/>
    <w:rsid w:val="00B4069D"/>
    <w:rsid w:val="00B406F8"/>
    <w:rsid w:val="00B40B18"/>
    <w:rsid w:val="00B42964"/>
    <w:rsid w:val="00B45DE5"/>
    <w:rsid w:val="00B46667"/>
    <w:rsid w:val="00B466DD"/>
    <w:rsid w:val="00B46907"/>
    <w:rsid w:val="00B46BEF"/>
    <w:rsid w:val="00B46CE9"/>
    <w:rsid w:val="00B46FDC"/>
    <w:rsid w:val="00B472BE"/>
    <w:rsid w:val="00B47313"/>
    <w:rsid w:val="00B47376"/>
    <w:rsid w:val="00B47CC8"/>
    <w:rsid w:val="00B47D4C"/>
    <w:rsid w:val="00B5088A"/>
    <w:rsid w:val="00B50CC1"/>
    <w:rsid w:val="00B50D28"/>
    <w:rsid w:val="00B515AA"/>
    <w:rsid w:val="00B51E95"/>
    <w:rsid w:val="00B51EF5"/>
    <w:rsid w:val="00B5277A"/>
    <w:rsid w:val="00B53019"/>
    <w:rsid w:val="00B53160"/>
    <w:rsid w:val="00B534BF"/>
    <w:rsid w:val="00B543D0"/>
    <w:rsid w:val="00B54A7C"/>
    <w:rsid w:val="00B556F5"/>
    <w:rsid w:val="00B56954"/>
    <w:rsid w:val="00B5719B"/>
    <w:rsid w:val="00B578C6"/>
    <w:rsid w:val="00B57FE3"/>
    <w:rsid w:val="00B605C8"/>
    <w:rsid w:val="00B60676"/>
    <w:rsid w:val="00B6142B"/>
    <w:rsid w:val="00B62A3D"/>
    <w:rsid w:val="00B642E5"/>
    <w:rsid w:val="00B6447A"/>
    <w:rsid w:val="00B64D42"/>
    <w:rsid w:val="00B66070"/>
    <w:rsid w:val="00B66295"/>
    <w:rsid w:val="00B66B2C"/>
    <w:rsid w:val="00B67604"/>
    <w:rsid w:val="00B70866"/>
    <w:rsid w:val="00B70AB5"/>
    <w:rsid w:val="00B70AF7"/>
    <w:rsid w:val="00B71325"/>
    <w:rsid w:val="00B71F4D"/>
    <w:rsid w:val="00B721A8"/>
    <w:rsid w:val="00B722CC"/>
    <w:rsid w:val="00B72852"/>
    <w:rsid w:val="00B72ED7"/>
    <w:rsid w:val="00B73836"/>
    <w:rsid w:val="00B738FC"/>
    <w:rsid w:val="00B73E76"/>
    <w:rsid w:val="00B73F17"/>
    <w:rsid w:val="00B741EA"/>
    <w:rsid w:val="00B74EE5"/>
    <w:rsid w:val="00B75012"/>
    <w:rsid w:val="00B7571C"/>
    <w:rsid w:val="00B7603E"/>
    <w:rsid w:val="00B76B76"/>
    <w:rsid w:val="00B76DE1"/>
    <w:rsid w:val="00B77A76"/>
    <w:rsid w:val="00B77B1A"/>
    <w:rsid w:val="00B77C79"/>
    <w:rsid w:val="00B8002F"/>
    <w:rsid w:val="00B80044"/>
    <w:rsid w:val="00B80A0F"/>
    <w:rsid w:val="00B81742"/>
    <w:rsid w:val="00B82004"/>
    <w:rsid w:val="00B824AD"/>
    <w:rsid w:val="00B824CF"/>
    <w:rsid w:val="00B82C43"/>
    <w:rsid w:val="00B82DAB"/>
    <w:rsid w:val="00B83376"/>
    <w:rsid w:val="00B8396F"/>
    <w:rsid w:val="00B8407F"/>
    <w:rsid w:val="00B846CD"/>
    <w:rsid w:val="00B84780"/>
    <w:rsid w:val="00B8585E"/>
    <w:rsid w:val="00B868E9"/>
    <w:rsid w:val="00B8765D"/>
    <w:rsid w:val="00B879EE"/>
    <w:rsid w:val="00B908C4"/>
    <w:rsid w:val="00B913F2"/>
    <w:rsid w:val="00B9152C"/>
    <w:rsid w:val="00B93582"/>
    <w:rsid w:val="00B9444D"/>
    <w:rsid w:val="00B94C72"/>
    <w:rsid w:val="00B94C73"/>
    <w:rsid w:val="00B950E1"/>
    <w:rsid w:val="00B9567D"/>
    <w:rsid w:val="00B956C0"/>
    <w:rsid w:val="00B95CAF"/>
    <w:rsid w:val="00B95E97"/>
    <w:rsid w:val="00B95E9D"/>
    <w:rsid w:val="00B96430"/>
    <w:rsid w:val="00B97CB6"/>
    <w:rsid w:val="00BA0889"/>
    <w:rsid w:val="00BA0E5C"/>
    <w:rsid w:val="00BA0F15"/>
    <w:rsid w:val="00BA1120"/>
    <w:rsid w:val="00BA1EA5"/>
    <w:rsid w:val="00BA2036"/>
    <w:rsid w:val="00BA34C4"/>
    <w:rsid w:val="00BA425F"/>
    <w:rsid w:val="00BA44FB"/>
    <w:rsid w:val="00BA4EE1"/>
    <w:rsid w:val="00BA5D46"/>
    <w:rsid w:val="00BA6521"/>
    <w:rsid w:val="00BA76F6"/>
    <w:rsid w:val="00BA79BA"/>
    <w:rsid w:val="00BA7BFB"/>
    <w:rsid w:val="00BB01EE"/>
    <w:rsid w:val="00BB0DEA"/>
    <w:rsid w:val="00BB18D5"/>
    <w:rsid w:val="00BB1C75"/>
    <w:rsid w:val="00BB2B93"/>
    <w:rsid w:val="00BB2D03"/>
    <w:rsid w:val="00BB2EA4"/>
    <w:rsid w:val="00BB2F3B"/>
    <w:rsid w:val="00BB3C8B"/>
    <w:rsid w:val="00BB3E76"/>
    <w:rsid w:val="00BB45F7"/>
    <w:rsid w:val="00BB5456"/>
    <w:rsid w:val="00BB56A1"/>
    <w:rsid w:val="00BB58FA"/>
    <w:rsid w:val="00BB618D"/>
    <w:rsid w:val="00BB697A"/>
    <w:rsid w:val="00BB7F0F"/>
    <w:rsid w:val="00BC0C5F"/>
    <w:rsid w:val="00BC0E82"/>
    <w:rsid w:val="00BC0EB2"/>
    <w:rsid w:val="00BC0F1A"/>
    <w:rsid w:val="00BC147C"/>
    <w:rsid w:val="00BC1C0D"/>
    <w:rsid w:val="00BC1C2C"/>
    <w:rsid w:val="00BC212B"/>
    <w:rsid w:val="00BC21D0"/>
    <w:rsid w:val="00BC265D"/>
    <w:rsid w:val="00BC31E8"/>
    <w:rsid w:val="00BC3806"/>
    <w:rsid w:val="00BC3A2C"/>
    <w:rsid w:val="00BC4152"/>
    <w:rsid w:val="00BC4B68"/>
    <w:rsid w:val="00BC6C01"/>
    <w:rsid w:val="00BC7147"/>
    <w:rsid w:val="00BD2140"/>
    <w:rsid w:val="00BD2193"/>
    <w:rsid w:val="00BD3337"/>
    <w:rsid w:val="00BD37B5"/>
    <w:rsid w:val="00BD3CE0"/>
    <w:rsid w:val="00BD4015"/>
    <w:rsid w:val="00BD4A50"/>
    <w:rsid w:val="00BD4E7E"/>
    <w:rsid w:val="00BD570F"/>
    <w:rsid w:val="00BD5B34"/>
    <w:rsid w:val="00BD6011"/>
    <w:rsid w:val="00BD62EB"/>
    <w:rsid w:val="00BD637E"/>
    <w:rsid w:val="00BD679A"/>
    <w:rsid w:val="00BD7854"/>
    <w:rsid w:val="00BD7B5C"/>
    <w:rsid w:val="00BE04D4"/>
    <w:rsid w:val="00BE0932"/>
    <w:rsid w:val="00BE09D4"/>
    <w:rsid w:val="00BE100B"/>
    <w:rsid w:val="00BE2C12"/>
    <w:rsid w:val="00BE2C20"/>
    <w:rsid w:val="00BE2EF0"/>
    <w:rsid w:val="00BE30EC"/>
    <w:rsid w:val="00BE3342"/>
    <w:rsid w:val="00BE4149"/>
    <w:rsid w:val="00BE4588"/>
    <w:rsid w:val="00BE5356"/>
    <w:rsid w:val="00BE629B"/>
    <w:rsid w:val="00BE72E6"/>
    <w:rsid w:val="00BE7592"/>
    <w:rsid w:val="00BF06C5"/>
    <w:rsid w:val="00BF0CA5"/>
    <w:rsid w:val="00BF0D18"/>
    <w:rsid w:val="00BF2748"/>
    <w:rsid w:val="00BF2B76"/>
    <w:rsid w:val="00BF2DDF"/>
    <w:rsid w:val="00BF55CE"/>
    <w:rsid w:val="00BF6A25"/>
    <w:rsid w:val="00BF6C53"/>
    <w:rsid w:val="00BF6E7A"/>
    <w:rsid w:val="00BF6F96"/>
    <w:rsid w:val="00BF7B72"/>
    <w:rsid w:val="00BF7D5C"/>
    <w:rsid w:val="00BF7F96"/>
    <w:rsid w:val="00C00E93"/>
    <w:rsid w:val="00C012C8"/>
    <w:rsid w:val="00C0144C"/>
    <w:rsid w:val="00C01A66"/>
    <w:rsid w:val="00C023C9"/>
    <w:rsid w:val="00C02B34"/>
    <w:rsid w:val="00C031D6"/>
    <w:rsid w:val="00C0333F"/>
    <w:rsid w:val="00C0369D"/>
    <w:rsid w:val="00C0456B"/>
    <w:rsid w:val="00C051AE"/>
    <w:rsid w:val="00C05B46"/>
    <w:rsid w:val="00C05F41"/>
    <w:rsid w:val="00C07F3D"/>
    <w:rsid w:val="00C10053"/>
    <w:rsid w:val="00C10C4C"/>
    <w:rsid w:val="00C10F45"/>
    <w:rsid w:val="00C12528"/>
    <w:rsid w:val="00C148D2"/>
    <w:rsid w:val="00C15A93"/>
    <w:rsid w:val="00C15C13"/>
    <w:rsid w:val="00C15F82"/>
    <w:rsid w:val="00C16FFC"/>
    <w:rsid w:val="00C17647"/>
    <w:rsid w:val="00C1783B"/>
    <w:rsid w:val="00C17F82"/>
    <w:rsid w:val="00C2055A"/>
    <w:rsid w:val="00C208DC"/>
    <w:rsid w:val="00C20AEA"/>
    <w:rsid w:val="00C2107B"/>
    <w:rsid w:val="00C2226F"/>
    <w:rsid w:val="00C224FD"/>
    <w:rsid w:val="00C22799"/>
    <w:rsid w:val="00C2279B"/>
    <w:rsid w:val="00C238F5"/>
    <w:rsid w:val="00C23EAF"/>
    <w:rsid w:val="00C254DB"/>
    <w:rsid w:val="00C25721"/>
    <w:rsid w:val="00C25DC8"/>
    <w:rsid w:val="00C3023F"/>
    <w:rsid w:val="00C30871"/>
    <w:rsid w:val="00C30A62"/>
    <w:rsid w:val="00C30C08"/>
    <w:rsid w:val="00C30D31"/>
    <w:rsid w:val="00C30FD7"/>
    <w:rsid w:val="00C312E4"/>
    <w:rsid w:val="00C322D3"/>
    <w:rsid w:val="00C323ED"/>
    <w:rsid w:val="00C32857"/>
    <w:rsid w:val="00C32943"/>
    <w:rsid w:val="00C32984"/>
    <w:rsid w:val="00C32D46"/>
    <w:rsid w:val="00C3315C"/>
    <w:rsid w:val="00C335AF"/>
    <w:rsid w:val="00C33A8D"/>
    <w:rsid w:val="00C33AF2"/>
    <w:rsid w:val="00C34035"/>
    <w:rsid w:val="00C35331"/>
    <w:rsid w:val="00C35C4A"/>
    <w:rsid w:val="00C3629B"/>
    <w:rsid w:val="00C3686A"/>
    <w:rsid w:val="00C370F8"/>
    <w:rsid w:val="00C3757E"/>
    <w:rsid w:val="00C378A5"/>
    <w:rsid w:val="00C3798E"/>
    <w:rsid w:val="00C40057"/>
    <w:rsid w:val="00C405CD"/>
    <w:rsid w:val="00C40A3B"/>
    <w:rsid w:val="00C4184F"/>
    <w:rsid w:val="00C419CC"/>
    <w:rsid w:val="00C4200B"/>
    <w:rsid w:val="00C42E99"/>
    <w:rsid w:val="00C43749"/>
    <w:rsid w:val="00C44363"/>
    <w:rsid w:val="00C44591"/>
    <w:rsid w:val="00C4495F"/>
    <w:rsid w:val="00C44CFB"/>
    <w:rsid w:val="00C467AD"/>
    <w:rsid w:val="00C46E3A"/>
    <w:rsid w:val="00C475D1"/>
    <w:rsid w:val="00C476F6"/>
    <w:rsid w:val="00C47FDB"/>
    <w:rsid w:val="00C50527"/>
    <w:rsid w:val="00C50AA8"/>
    <w:rsid w:val="00C51464"/>
    <w:rsid w:val="00C51D39"/>
    <w:rsid w:val="00C527A9"/>
    <w:rsid w:val="00C53485"/>
    <w:rsid w:val="00C535D8"/>
    <w:rsid w:val="00C54697"/>
    <w:rsid w:val="00C54BCB"/>
    <w:rsid w:val="00C55E83"/>
    <w:rsid w:val="00C57512"/>
    <w:rsid w:val="00C60090"/>
    <w:rsid w:val="00C60E80"/>
    <w:rsid w:val="00C60F8E"/>
    <w:rsid w:val="00C61613"/>
    <w:rsid w:val="00C618E8"/>
    <w:rsid w:val="00C61A4A"/>
    <w:rsid w:val="00C61C8C"/>
    <w:rsid w:val="00C626BE"/>
    <w:rsid w:val="00C62C0F"/>
    <w:rsid w:val="00C62E14"/>
    <w:rsid w:val="00C63E46"/>
    <w:rsid w:val="00C63ED4"/>
    <w:rsid w:val="00C64501"/>
    <w:rsid w:val="00C64C61"/>
    <w:rsid w:val="00C64F67"/>
    <w:rsid w:val="00C64FAD"/>
    <w:rsid w:val="00C663C2"/>
    <w:rsid w:val="00C66581"/>
    <w:rsid w:val="00C66E15"/>
    <w:rsid w:val="00C67415"/>
    <w:rsid w:val="00C674B8"/>
    <w:rsid w:val="00C675B1"/>
    <w:rsid w:val="00C67BA0"/>
    <w:rsid w:val="00C7012A"/>
    <w:rsid w:val="00C71058"/>
    <w:rsid w:val="00C71D2C"/>
    <w:rsid w:val="00C73E92"/>
    <w:rsid w:val="00C74A08"/>
    <w:rsid w:val="00C74B6F"/>
    <w:rsid w:val="00C75B11"/>
    <w:rsid w:val="00C75F8D"/>
    <w:rsid w:val="00C772E2"/>
    <w:rsid w:val="00C773D6"/>
    <w:rsid w:val="00C77505"/>
    <w:rsid w:val="00C80570"/>
    <w:rsid w:val="00C806BA"/>
    <w:rsid w:val="00C80A0C"/>
    <w:rsid w:val="00C81064"/>
    <w:rsid w:val="00C8139B"/>
    <w:rsid w:val="00C81732"/>
    <w:rsid w:val="00C820F8"/>
    <w:rsid w:val="00C8216D"/>
    <w:rsid w:val="00C82313"/>
    <w:rsid w:val="00C82F2F"/>
    <w:rsid w:val="00C830B7"/>
    <w:rsid w:val="00C84236"/>
    <w:rsid w:val="00C859D1"/>
    <w:rsid w:val="00C86319"/>
    <w:rsid w:val="00C86A00"/>
    <w:rsid w:val="00C900C1"/>
    <w:rsid w:val="00C900CF"/>
    <w:rsid w:val="00C90D4C"/>
    <w:rsid w:val="00C910A5"/>
    <w:rsid w:val="00C9127D"/>
    <w:rsid w:val="00C924C4"/>
    <w:rsid w:val="00C930B9"/>
    <w:rsid w:val="00C93690"/>
    <w:rsid w:val="00C93E21"/>
    <w:rsid w:val="00C947E2"/>
    <w:rsid w:val="00C95166"/>
    <w:rsid w:val="00C9557B"/>
    <w:rsid w:val="00C958C2"/>
    <w:rsid w:val="00C95DA5"/>
    <w:rsid w:val="00C9650D"/>
    <w:rsid w:val="00C974D3"/>
    <w:rsid w:val="00CA09FE"/>
    <w:rsid w:val="00CA0EE3"/>
    <w:rsid w:val="00CA11EF"/>
    <w:rsid w:val="00CA2324"/>
    <w:rsid w:val="00CA31EA"/>
    <w:rsid w:val="00CA3821"/>
    <w:rsid w:val="00CA399E"/>
    <w:rsid w:val="00CA3FCB"/>
    <w:rsid w:val="00CA4146"/>
    <w:rsid w:val="00CA44E8"/>
    <w:rsid w:val="00CA464B"/>
    <w:rsid w:val="00CA46F4"/>
    <w:rsid w:val="00CA488F"/>
    <w:rsid w:val="00CA4CE8"/>
    <w:rsid w:val="00CA59E9"/>
    <w:rsid w:val="00CA5E08"/>
    <w:rsid w:val="00CA60F9"/>
    <w:rsid w:val="00CA60FF"/>
    <w:rsid w:val="00CA657A"/>
    <w:rsid w:val="00CA6E57"/>
    <w:rsid w:val="00CA6FBE"/>
    <w:rsid w:val="00CA7482"/>
    <w:rsid w:val="00CA7C9C"/>
    <w:rsid w:val="00CB00E9"/>
    <w:rsid w:val="00CB24A0"/>
    <w:rsid w:val="00CB3845"/>
    <w:rsid w:val="00CB3A08"/>
    <w:rsid w:val="00CB3CE2"/>
    <w:rsid w:val="00CB56F2"/>
    <w:rsid w:val="00CB7472"/>
    <w:rsid w:val="00CB7E6D"/>
    <w:rsid w:val="00CB7ED4"/>
    <w:rsid w:val="00CC0207"/>
    <w:rsid w:val="00CC1648"/>
    <w:rsid w:val="00CC1C32"/>
    <w:rsid w:val="00CC2721"/>
    <w:rsid w:val="00CC2A60"/>
    <w:rsid w:val="00CC3043"/>
    <w:rsid w:val="00CC30B1"/>
    <w:rsid w:val="00CC367A"/>
    <w:rsid w:val="00CC3AB1"/>
    <w:rsid w:val="00CC42DE"/>
    <w:rsid w:val="00CC455A"/>
    <w:rsid w:val="00CC46A9"/>
    <w:rsid w:val="00CC48F2"/>
    <w:rsid w:val="00CC4AAD"/>
    <w:rsid w:val="00CC4D73"/>
    <w:rsid w:val="00CC5AF8"/>
    <w:rsid w:val="00CC69BE"/>
    <w:rsid w:val="00CC6DC3"/>
    <w:rsid w:val="00CC6ED9"/>
    <w:rsid w:val="00CC72B6"/>
    <w:rsid w:val="00CD1BE0"/>
    <w:rsid w:val="00CD1D13"/>
    <w:rsid w:val="00CD2E2E"/>
    <w:rsid w:val="00CD382B"/>
    <w:rsid w:val="00CD421A"/>
    <w:rsid w:val="00CD4E84"/>
    <w:rsid w:val="00CD5685"/>
    <w:rsid w:val="00CD57D8"/>
    <w:rsid w:val="00CD6558"/>
    <w:rsid w:val="00CD6559"/>
    <w:rsid w:val="00CD6B1B"/>
    <w:rsid w:val="00CD6C0D"/>
    <w:rsid w:val="00CD72E9"/>
    <w:rsid w:val="00CD7D31"/>
    <w:rsid w:val="00CD7DD2"/>
    <w:rsid w:val="00CE09FF"/>
    <w:rsid w:val="00CE1835"/>
    <w:rsid w:val="00CE18D2"/>
    <w:rsid w:val="00CE271B"/>
    <w:rsid w:val="00CE322D"/>
    <w:rsid w:val="00CE4044"/>
    <w:rsid w:val="00CE4EFC"/>
    <w:rsid w:val="00CE551D"/>
    <w:rsid w:val="00CE5806"/>
    <w:rsid w:val="00CE66E1"/>
    <w:rsid w:val="00CE6963"/>
    <w:rsid w:val="00CE69DF"/>
    <w:rsid w:val="00CE71A2"/>
    <w:rsid w:val="00CE730E"/>
    <w:rsid w:val="00CE7955"/>
    <w:rsid w:val="00CF0E73"/>
    <w:rsid w:val="00CF173A"/>
    <w:rsid w:val="00CF17D7"/>
    <w:rsid w:val="00CF1FCF"/>
    <w:rsid w:val="00CF215B"/>
    <w:rsid w:val="00CF2184"/>
    <w:rsid w:val="00CF47C4"/>
    <w:rsid w:val="00CF5867"/>
    <w:rsid w:val="00CF5AFA"/>
    <w:rsid w:val="00CF649D"/>
    <w:rsid w:val="00CF6640"/>
    <w:rsid w:val="00CF6ED4"/>
    <w:rsid w:val="00CF7D92"/>
    <w:rsid w:val="00D0023E"/>
    <w:rsid w:val="00D00E5C"/>
    <w:rsid w:val="00D00EC2"/>
    <w:rsid w:val="00D00EE3"/>
    <w:rsid w:val="00D01A28"/>
    <w:rsid w:val="00D02474"/>
    <w:rsid w:val="00D02D2E"/>
    <w:rsid w:val="00D03608"/>
    <w:rsid w:val="00D0365C"/>
    <w:rsid w:val="00D03E13"/>
    <w:rsid w:val="00D04910"/>
    <w:rsid w:val="00D04C43"/>
    <w:rsid w:val="00D057E4"/>
    <w:rsid w:val="00D05C50"/>
    <w:rsid w:val="00D05F3E"/>
    <w:rsid w:val="00D0619C"/>
    <w:rsid w:val="00D066FB"/>
    <w:rsid w:val="00D06BD0"/>
    <w:rsid w:val="00D06E21"/>
    <w:rsid w:val="00D073FE"/>
    <w:rsid w:val="00D0759E"/>
    <w:rsid w:val="00D07DDD"/>
    <w:rsid w:val="00D107AD"/>
    <w:rsid w:val="00D10FD0"/>
    <w:rsid w:val="00D118EC"/>
    <w:rsid w:val="00D11BB4"/>
    <w:rsid w:val="00D11C9D"/>
    <w:rsid w:val="00D12322"/>
    <w:rsid w:val="00D12C94"/>
    <w:rsid w:val="00D13435"/>
    <w:rsid w:val="00D13B4E"/>
    <w:rsid w:val="00D13DCD"/>
    <w:rsid w:val="00D14931"/>
    <w:rsid w:val="00D14CE2"/>
    <w:rsid w:val="00D14FCE"/>
    <w:rsid w:val="00D15379"/>
    <w:rsid w:val="00D15BDC"/>
    <w:rsid w:val="00D15CDD"/>
    <w:rsid w:val="00D16381"/>
    <w:rsid w:val="00D177D5"/>
    <w:rsid w:val="00D17A5B"/>
    <w:rsid w:val="00D21396"/>
    <w:rsid w:val="00D21CA0"/>
    <w:rsid w:val="00D21E85"/>
    <w:rsid w:val="00D21F3B"/>
    <w:rsid w:val="00D224F3"/>
    <w:rsid w:val="00D22516"/>
    <w:rsid w:val="00D226E9"/>
    <w:rsid w:val="00D22DC5"/>
    <w:rsid w:val="00D23856"/>
    <w:rsid w:val="00D24042"/>
    <w:rsid w:val="00D25124"/>
    <w:rsid w:val="00D2517A"/>
    <w:rsid w:val="00D251F8"/>
    <w:rsid w:val="00D25916"/>
    <w:rsid w:val="00D25C1A"/>
    <w:rsid w:val="00D26224"/>
    <w:rsid w:val="00D268A4"/>
    <w:rsid w:val="00D3032B"/>
    <w:rsid w:val="00D308BE"/>
    <w:rsid w:val="00D30964"/>
    <w:rsid w:val="00D30AC5"/>
    <w:rsid w:val="00D30AED"/>
    <w:rsid w:val="00D32122"/>
    <w:rsid w:val="00D32444"/>
    <w:rsid w:val="00D32445"/>
    <w:rsid w:val="00D32A4C"/>
    <w:rsid w:val="00D33CD1"/>
    <w:rsid w:val="00D33E87"/>
    <w:rsid w:val="00D33EAA"/>
    <w:rsid w:val="00D33F25"/>
    <w:rsid w:val="00D350C0"/>
    <w:rsid w:val="00D3536F"/>
    <w:rsid w:val="00D35C04"/>
    <w:rsid w:val="00D360BA"/>
    <w:rsid w:val="00D36B9A"/>
    <w:rsid w:val="00D37240"/>
    <w:rsid w:val="00D3760D"/>
    <w:rsid w:val="00D40D7E"/>
    <w:rsid w:val="00D410A9"/>
    <w:rsid w:val="00D41457"/>
    <w:rsid w:val="00D41715"/>
    <w:rsid w:val="00D41BA5"/>
    <w:rsid w:val="00D4223A"/>
    <w:rsid w:val="00D422CE"/>
    <w:rsid w:val="00D42C50"/>
    <w:rsid w:val="00D42F7B"/>
    <w:rsid w:val="00D432F7"/>
    <w:rsid w:val="00D436DB"/>
    <w:rsid w:val="00D443A5"/>
    <w:rsid w:val="00D44801"/>
    <w:rsid w:val="00D44C07"/>
    <w:rsid w:val="00D45F52"/>
    <w:rsid w:val="00D4625A"/>
    <w:rsid w:val="00D46B9C"/>
    <w:rsid w:val="00D476EE"/>
    <w:rsid w:val="00D500F9"/>
    <w:rsid w:val="00D50113"/>
    <w:rsid w:val="00D50852"/>
    <w:rsid w:val="00D510A0"/>
    <w:rsid w:val="00D512C2"/>
    <w:rsid w:val="00D51F53"/>
    <w:rsid w:val="00D52C35"/>
    <w:rsid w:val="00D539C5"/>
    <w:rsid w:val="00D544EF"/>
    <w:rsid w:val="00D54558"/>
    <w:rsid w:val="00D54EC4"/>
    <w:rsid w:val="00D54F73"/>
    <w:rsid w:val="00D568F0"/>
    <w:rsid w:val="00D5722A"/>
    <w:rsid w:val="00D57FEE"/>
    <w:rsid w:val="00D6006E"/>
    <w:rsid w:val="00D60180"/>
    <w:rsid w:val="00D60EA3"/>
    <w:rsid w:val="00D60FAC"/>
    <w:rsid w:val="00D616F3"/>
    <w:rsid w:val="00D61AD0"/>
    <w:rsid w:val="00D61DBE"/>
    <w:rsid w:val="00D630D1"/>
    <w:rsid w:val="00D63370"/>
    <w:rsid w:val="00D64AB2"/>
    <w:rsid w:val="00D64C17"/>
    <w:rsid w:val="00D64E19"/>
    <w:rsid w:val="00D64F29"/>
    <w:rsid w:val="00D65685"/>
    <w:rsid w:val="00D657F9"/>
    <w:rsid w:val="00D671C8"/>
    <w:rsid w:val="00D67273"/>
    <w:rsid w:val="00D70557"/>
    <w:rsid w:val="00D70ABF"/>
    <w:rsid w:val="00D71ADA"/>
    <w:rsid w:val="00D71EF1"/>
    <w:rsid w:val="00D71F4F"/>
    <w:rsid w:val="00D7209C"/>
    <w:rsid w:val="00D72D4B"/>
    <w:rsid w:val="00D72D9B"/>
    <w:rsid w:val="00D73FEF"/>
    <w:rsid w:val="00D74AD7"/>
    <w:rsid w:val="00D7544C"/>
    <w:rsid w:val="00D757CE"/>
    <w:rsid w:val="00D75D09"/>
    <w:rsid w:val="00D763E8"/>
    <w:rsid w:val="00D76D43"/>
    <w:rsid w:val="00D77214"/>
    <w:rsid w:val="00D774FB"/>
    <w:rsid w:val="00D77B6D"/>
    <w:rsid w:val="00D77C13"/>
    <w:rsid w:val="00D804D9"/>
    <w:rsid w:val="00D8137A"/>
    <w:rsid w:val="00D815CE"/>
    <w:rsid w:val="00D8170B"/>
    <w:rsid w:val="00D81C5C"/>
    <w:rsid w:val="00D81FB4"/>
    <w:rsid w:val="00D822B0"/>
    <w:rsid w:val="00D822CC"/>
    <w:rsid w:val="00D822F6"/>
    <w:rsid w:val="00D8259E"/>
    <w:rsid w:val="00D8264D"/>
    <w:rsid w:val="00D8275F"/>
    <w:rsid w:val="00D82B6B"/>
    <w:rsid w:val="00D82F11"/>
    <w:rsid w:val="00D8349F"/>
    <w:rsid w:val="00D835D9"/>
    <w:rsid w:val="00D84FC5"/>
    <w:rsid w:val="00D851B5"/>
    <w:rsid w:val="00D86D13"/>
    <w:rsid w:val="00D86DA6"/>
    <w:rsid w:val="00D8758B"/>
    <w:rsid w:val="00D90485"/>
    <w:rsid w:val="00D914D8"/>
    <w:rsid w:val="00D916A9"/>
    <w:rsid w:val="00D91774"/>
    <w:rsid w:val="00D91AB0"/>
    <w:rsid w:val="00D91BC4"/>
    <w:rsid w:val="00D9292E"/>
    <w:rsid w:val="00D92EBC"/>
    <w:rsid w:val="00D932FA"/>
    <w:rsid w:val="00D93E88"/>
    <w:rsid w:val="00D94919"/>
    <w:rsid w:val="00D94EAE"/>
    <w:rsid w:val="00D95685"/>
    <w:rsid w:val="00D96866"/>
    <w:rsid w:val="00D96FE2"/>
    <w:rsid w:val="00D9747A"/>
    <w:rsid w:val="00D974A4"/>
    <w:rsid w:val="00D9781B"/>
    <w:rsid w:val="00D97AF0"/>
    <w:rsid w:val="00DA098B"/>
    <w:rsid w:val="00DA1204"/>
    <w:rsid w:val="00DA2A0E"/>
    <w:rsid w:val="00DA3F0A"/>
    <w:rsid w:val="00DA40F9"/>
    <w:rsid w:val="00DA4AFF"/>
    <w:rsid w:val="00DA4C97"/>
    <w:rsid w:val="00DA5779"/>
    <w:rsid w:val="00DA5A45"/>
    <w:rsid w:val="00DA63DD"/>
    <w:rsid w:val="00DA717C"/>
    <w:rsid w:val="00DB0250"/>
    <w:rsid w:val="00DB08DD"/>
    <w:rsid w:val="00DB0CB6"/>
    <w:rsid w:val="00DB0CE1"/>
    <w:rsid w:val="00DB1894"/>
    <w:rsid w:val="00DB211C"/>
    <w:rsid w:val="00DB2239"/>
    <w:rsid w:val="00DB2410"/>
    <w:rsid w:val="00DB3FE3"/>
    <w:rsid w:val="00DB4E28"/>
    <w:rsid w:val="00DB63DB"/>
    <w:rsid w:val="00DB657C"/>
    <w:rsid w:val="00DB69FE"/>
    <w:rsid w:val="00DB76DA"/>
    <w:rsid w:val="00DB7DC5"/>
    <w:rsid w:val="00DC0542"/>
    <w:rsid w:val="00DC0931"/>
    <w:rsid w:val="00DC0DC0"/>
    <w:rsid w:val="00DC0EBB"/>
    <w:rsid w:val="00DC1AFE"/>
    <w:rsid w:val="00DC2661"/>
    <w:rsid w:val="00DC2D5D"/>
    <w:rsid w:val="00DC2E28"/>
    <w:rsid w:val="00DC3EF5"/>
    <w:rsid w:val="00DC404B"/>
    <w:rsid w:val="00DC4174"/>
    <w:rsid w:val="00DC4BFA"/>
    <w:rsid w:val="00DC69B0"/>
    <w:rsid w:val="00DC71AA"/>
    <w:rsid w:val="00DC74D1"/>
    <w:rsid w:val="00DC75CF"/>
    <w:rsid w:val="00DC79AB"/>
    <w:rsid w:val="00DC7CAB"/>
    <w:rsid w:val="00DD100A"/>
    <w:rsid w:val="00DD1E17"/>
    <w:rsid w:val="00DD2206"/>
    <w:rsid w:val="00DD323F"/>
    <w:rsid w:val="00DD3930"/>
    <w:rsid w:val="00DD3FA7"/>
    <w:rsid w:val="00DD5272"/>
    <w:rsid w:val="00DD535D"/>
    <w:rsid w:val="00DD5B24"/>
    <w:rsid w:val="00DD6395"/>
    <w:rsid w:val="00DD69A8"/>
    <w:rsid w:val="00DD6E61"/>
    <w:rsid w:val="00DD6EBD"/>
    <w:rsid w:val="00DD7448"/>
    <w:rsid w:val="00DD767F"/>
    <w:rsid w:val="00DD79F8"/>
    <w:rsid w:val="00DD7BCA"/>
    <w:rsid w:val="00DE0196"/>
    <w:rsid w:val="00DE1433"/>
    <w:rsid w:val="00DE1761"/>
    <w:rsid w:val="00DE17DA"/>
    <w:rsid w:val="00DE1FFA"/>
    <w:rsid w:val="00DE216C"/>
    <w:rsid w:val="00DE2C51"/>
    <w:rsid w:val="00DE3893"/>
    <w:rsid w:val="00DE3ED3"/>
    <w:rsid w:val="00DE4126"/>
    <w:rsid w:val="00DE4643"/>
    <w:rsid w:val="00DE5071"/>
    <w:rsid w:val="00DE5DA2"/>
    <w:rsid w:val="00DE5F13"/>
    <w:rsid w:val="00DE6111"/>
    <w:rsid w:val="00DE682B"/>
    <w:rsid w:val="00DE7C54"/>
    <w:rsid w:val="00DF0382"/>
    <w:rsid w:val="00DF04D9"/>
    <w:rsid w:val="00DF08BA"/>
    <w:rsid w:val="00DF0BF6"/>
    <w:rsid w:val="00DF0F58"/>
    <w:rsid w:val="00DF213B"/>
    <w:rsid w:val="00DF25AC"/>
    <w:rsid w:val="00DF292F"/>
    <w:rsid w:val="00DF2B58"/>
    <w:rsid w:val="00DF3115"/>
    <w:rsid w:val="00DF38C5"/>
    <w:rsid w:val="00DF39B0"/>
    <w:rsid w:val="00DF4B13"/>
    <w:rsid w:val="00DF4FE6"/>
    <w:rsid w:val="00DF5B41"/>
    <w:rsid w:val="00DF5C31"/>
    <w:rsid w:val="00DF5CD2"/>
    <w:rsid w:val="00DF628F"/>
    <w:rsid w:val="00DF62B6"/>
    <w:rsid w:val="00DF63D6"/>
    <w:rsid w:val="00DF6898"/>
    <w:rsid w:val="00DF68A9"/>
    <w:rsid w:val="00DF7766"/>
    <w:rsid w:val="00E00EC5"/>
    <w:rsid w:val="00E00F57"/>
    <w:rsid w:val="00E01329"/>
    <w:rsid w:val="00E019A8"/>
    <w:rsid w:val="00E03ADB"/>
    <w:rsid w:val="00E03BBD"/>
    <w:rsid w:val="00E03E22"/>
    <w:rsid w:val="00E04AD3"/>
    <w:rsid w:val="00E04F78"/>
    <w:rsid w:val="00E06052"/>
    <w:rsid w:val="00E069C9"/>
    <w:rsid w:val="00E07B8E"/>
    <w:rsid w:val="00E10935"/>
    <w:rsid w:val="00E10F24"/>
    <w:rsid w:val="00E11305"/>
    <w:rsid w:val="00E11A38"/>
    <w:rsid w:val="00E11D50"/>
    <w:rsid w:val="00E125B1"/>
    <w:rsid w:val="00E1299C"/>
    <w:rsid w:val="00E1316A"/>
    <w:rsid w:val="00E13952"/>
    <w:rsid w:val="00E1447D"/>
    <w:rsid w:val="00E1492C"/>
    <w:rsid w:val="00E14C76"/>
    <w:rsid w:val="00E14C92"/>
    <w:rsid w:val="00E14CC3"/>
    <w:rsid w:val="00E15118"/>
    <w:rsid w:val="00E15D9E"/>
    <w:rsid w:val="00E15F37"/>
    <w:rsid w:val="00E15F87"/>
    <w:rsid w:val="00E167F0"/>
    <w:rsid w:val="00E174E5"/>
    <w:rsid w:val="00E200F3"/>
    <w:rsid w:val="00E20C52"/>
    <w:rsid w:val="00E21655"/>
    <w:rsid w:val="00E21DF8"/>
    <w:rsid w:val="00E229ED"/>
    <w:rsid w:val="00E2503D"/>
    <w:rsid w:val="00E2529D"/>
    <w:rsid w:val="00E254E6"/>
    <w:rsid w:val="00E260EC"/>
    <w:rsid w:val="00E269AE"/>
    <w:rsid w:val="00E2739E"/>
    <w:rsid w:val="00E2768D"/>
    <w:rsid w:val="00E2772C"/>
    <w:rsid w:val="00E30032"/>
    <w:rsid w:val="00E316CA"/>
    <w:rsid w:val="00E316E4"/>
    <w:rsid w:val="00E31927"/>
    <w:rsid w:val="00E32F2D"/>
    <w:rsid w:val="00E32F92"/>
    <w:rsid w:val="00E331F8"/>
    <w:rsid w:val="00E33E4B"/>
    <w:rsid w:val="00E340FB"/>
    <w:rsid w:val="00E342A0"/>
    <w:rsid w:val="00E35254"/>
    <w:rsid w:val="00E36CBB"/>
    <w:rsid w:val="00E36CF6"/>
    <w:rsid w:val="00E37587"/>
    <w:rsid w:val="00E3766A"/>
    <w:rsid w:val="00E37678"/>
    <w:rsid w:val="00E37B0F"/>
    <w:rsid w:val="00E37E8B"/>
    <w:rsid w:val="00E37EE2"/>
    <w:rsid w:val="00E4022F"/>
    <w:rsid w:val="00E403BC"/>
    <w:rsid w:val="00E40640"/>
    <w:rsid w:val="00E4099B"/>
    <w:rsid w:val="00E41295"/>
    <w:rsid w:val="00E4152A"/>
    <w:rsid w:val="00E41802"/>
    <w:rsid w:val="00E41DE4"/>
    <w:rsid w:val="00E420C4"/>
    <w:rsid w:val="00E42E8F"/>
    <w:rsid w:val="00E445D3"/>
    <w:rsid w:val="00E44A5F"/>
    <w:rsid w:val="00E44B0B"/>
    <w:rsid w:val="00E454F2"/>
    <w:rsid w:val="00E45545"/>
    <w:rsid w:val="00E455F4"/>
    <w:rsid w:val="00E456EE"/>
    <w:rsid w:val="00E45A3B"/>
    <w:rsid w:val="00E45AAD"/>
    <w:rsid w:val="00E4669E"/>
    <w:rsid w:val="00E466C2"/>
    <w:rsid w:val="00E47533"/>
    <w:rsid w:val="00E4760C"/>
    <w:rsid w:val="00E477AB"/>
    <w:rsid w:val="00E47A49"/>
    <w:rsid w:val="00E50B17"/>
    <w:rsid w:val="00E50F0D"/>
    <w:rsid w:val="00E51B8E"/>
    <w:rsid w:val="00E51D7B"/>
    <w:rsid w:val="00E52520"/>
    <w:rsid w:val="00E53C4C"/>
    <w:rsid w:val="00E5457C"/>
    <w:rsid w:val="00E54A61"/>
    <w:rsid w:val="00E552DC"/>
    <w:rsid w:val="00E55333"/>
    <w:rsid w:val="00E554BF"/>
    <w:rsid w:val="00E5584A"/>
    <w:rsid w:val="00E55B30"/>
    <w:rsid w:val="00E5651C"/>
    <w:rsid w:val="00E565F1"/>
    <w:rsid w:val="00E56E07"/>
    <w:rsid w:val="00E5793A"/>
    <w:rsid w:val="00E57BBD"/>
    <w:rsid w:val="00E600EF"/>
    <w:rsid w:val="00E60A0A"/>
    <w:rsid w:val="00E61244"/>
    <w:rsid w:val="00E61434"/>
    <w:rsid w:val="00E6176A"/>
    <w:rsid w:val="00E6242C"/>
    <w:rsid w:val="00E62665"/>
    <w:rsid w:val="00E62D10"/>
    <w:rsid w:val="00E64B18"/>
    <w:rsid w:val="00E64B54"/>
    <w:rsid w:val="00E64E7D"/>
    <w:rsid w:val="00E65547"/>
    <w:rsid w:val="00E65571"/>
    <w:rsid w:val="00E65582"/>
    <w:rsid w:val="00E658D9"/>
    <w:rsid w:val="00E66B6F"/>
    <w:rsid w:val="00E672D8"/>
    <w:rsid w:val="00E67358"/>
    <w:rsid w:val="00E67B4A"/>
    <w:rsid w:val="00E70CAA"/>
    <w:rsid w:val="00E71B65"/>
    <w:rsid w:val="00E72095"/>
    <w:rsid w:val="00E72101"/>
    <w:rsid w:val="00E72AAC"/>
    <w:rsid w:val="00E7312E"/>
    <w:rsid w:val="00E73308"/>
    <w:rsid w:val="00E7370A"/>
    <w:rsid w:val="00E750C5"/>
    <w:rsid w:val="00E751CE"/>
    <w:rsid w:val="00E757D3"/>
    <w:rsid w:val="00E759FA"/>
    <w:rsid w:val="00E75E0F"/>
    <w:rsid w:val="00E760DF"/>
    <w:rsid w:val="00E767A0"/>
    <w:rsid w:val="00E76B64"/>
    <w:rsid w:val="00E76DE0"/>
    <w:rsid w:val="00E77323"/>
    <w:rsid w:val="00E77401"/>
    <w:rsid w:val="00E7779F"/>
    <w:rsid w:val="00E77C11"/>
    <w:rsid w:val="00E8055B"/>
    <w:rsid w:val="00E80E17"/>
    <w:rsid w:val="00E8106D"/>
    <w:rsid w:val="00E8264F"/>
    <w:rsid w:val="00E82753"/>
    <w:rsid w:val="00E828F4"/>
    <w:rsid w:val="00E82CE1"/>
    <w:rsid w:val="00E8311D"/>
    <w:rsid w:val="00E84401"/>
    <w:rsid w:val="00E8460C"/>
    <w:rsid w:val="00E84859"/>
    <w:rsid w:val="00E84C9B"/>
    <w:rsid w:val="00E85657"/>
    <w:rsid w:val="00E8612D"/>
    <w:rsid w:val="00E867CA"/>
    <w:rsid w:val="00E868AE"/>
    <w:rsid w:val="00E87185"/>
    <w:rsid w:val="00E873D2"/>
    <w:rsid w:val="00E874B3"/>
    <w:rsid w:val="00E879FB"/>
    <w:rsid w:val="00E87DA3"/>
    <w:rsid w:val="00E91748"/>
    <w:rsid w:val="00E91E8F"/>
    <w:rsid w:val="00E93747"/>
    <w:rsid w:val="00E93763"/>
    <w:rsid w:val="00E94D19"/>
    <w:rsid w:val="00E954D6"/>
    <w:rsid w:val="00E95BF8"/>
    <w:rsid w:val="00E96321"/>
    <w:rsid w:val="00E96723"/>
    <w:rsid w:val="00E96CC8"/>
    <w:rsid w:val="00E96E0A"/>
    <w:rsid w:val="00E9703E"/>
    <w:rsid w:val="00E97C3B"/>
    <w:rsid w:val="00EA001F"/>
    <w:rsid w:val="00EA0624"/>
    <w:rsid w:val="00EA09D9"/>
    <w:rsid w:val="00EA0A1C"/>
    <w:rsid w:val="00EA0BDB"/>
    <w:rsid w:val="00EA0DBE"/>
    <w:rsid w:val="00EA1317"/>
    <w:rsid w:val="00EA13FB"/>
    <w:rsid w:val="00EA1503"/>
    <w:rsid w:val="00EA1A0E"/>
    <w:rsid w:val="00EA1A2F"/>
    <w:rsid w:val="00EA1B19"/>
    <w:rsid w:val="00EA1C98"/>
    <w:rsid w:val="00EA2E37"/>
    <w:rsid w:val="00EA49FF"/>
    <w:rsid w:val="00EA4CAC"/>
    <w:rsid w:val="00EA4D5F"/>
    <w:rsid w:val="00EA7357"/>
    <w:rsid w:val="00EA7748"/>
    <w:rsid w:val="00EA77EB"/>
    <w:rsid w:val="00EA791C"/>
    <w:rsid w:val="00EA7CA6"/>
    <w:rsid w:val="00EB05C9"/>
    <w:rsid w:val="00EB16D7"/>
    <w:rsid w:val="00EB26C2"/>
    <w:rsid w:val="00EB285A"/>
    <w:rsid w:val="00EB380C"/>
    <w:rsid w:val="00EB4062"/>
    <w:rsid w:val="00EB4738"/>
    <w:rsid w:val="00EB4DC4"/>
    <w:rsid w:val="00EB68B6"/>
    <w:rsid w:val="00EB695F"/>
    <w:rsid w:val="00EB6B3E"/>
    <w:rsid w:val="00EB714F"/>
    <w:rsid w:val="00EC09EC"/>
    <w:rsid w:val="00EC2675"/>
    <w:rsid w:val="00EC2872"/>
    <w:rsid w:val="00EC28F2"/>
    <w:rsid w:val="00EC30B4"/>
    <w:rsid w:val="00EC352C"/>
    <w:rsid w:val="00EC3D75"/>
    <w:rsid w:val="00EC48B5"/>
    <w:rsid w:val="00EC48D9"/>
    <w:rsid w:val="00EC4AB9"/>
    <w:rsid w:val="00EC4E68"/>
    <w:rsid w:val="00EC5605"/>
    <w:rsid w:val="00EC5FB4"/>
    <w:rsid w:val="00EC65B9"/>
    <w:rsid w:val="00EC6DD3"/>
    <w:rsid w:val="00EC6DD6"/>
    <w:rsid w:val="00EC6EB8"/>
    <w:rsid w:val="00EC7022"/>
    <w:rsid w:val="00EC747E"/>
    <w:rsid w:val="00EC761D"/>
    <w:rsid w:val="00ED08F7"/>
    <w:rsid w:val="00ED11C6"/>
    <w:rsid w:val="00ED1557"/>
    <w:rsid w:val="00ED19D8"/>
    <w:rsid w:val="00ED2025"/>
    <w:rsid w:val="00ED213B"/>
    <w:rsid w:val="00ED2609"/>
    <w:rsid w:val="00ED2693"/>
    <w:rsid w:val="00ED3089"/>
    <w:rsid w:val="00ED3ACA"/>
    <w:rsid w:val="00ED3D43"/>
    <w:rsid w:val="00ED3DC3"/>
    <w:rsid w:val="00ED40B0"/>
    <w:rsid w:val="00ED42F3"/>
    <w:rsid w:val="00ED47EB"/>
    <w:rsid w:val="00ED4861"/>
    <w:rsid w:val="00ED58E9"/>
    <w:rsid w:val="00ED5B34"/>
    <w:rsid w:val="00ED628D"/>
    <w:rsid w:val="00ED6D3B"/>
    <w:rsid w:val="00ED7368"/>
    <w:rsid w:val="00ED7518"/>
    <w:rsid w:val="00ED7634"/>
    <w:rsid w:val="00ED7BB7"/>
    <w:rsid w:val="00ED7F37"/>
    <w:rsid w:val="00EE00A4"/>
    <w:rsid w:val="00EE1773"/>
    <w:rsid w:val="00EE1CE5"/>
    <w:rsid w:val="00EE233B"/>
    <w:rsid w:val="00EE2369"/>
    <w:rsid w:val="00EE31C0"/>
    <w:rsid w:val="00EE32C3"/>
    <w:rsid w:val="00EE4E4D"/>
    <w:rsid w:val="00EE54BF"/>
    <w:rsid w:val="00EE6238"/>
    <w:rsid w:val="00EE66C4"/>
    <w:rsid w:val="00EE69DA"/>
    <w:rsid w:val="00EE705B"/>
    <w:rsid w:val="00EE7136"/>
    <w:rsid w:val="00EF0966"/>
    <w:rsid w:val="00EF1E06"/>
    <w:rsid w:val="00EF20AF"/>
    <w:rsid w:val="00EF2183"/>
    <w:rsid w:val="00EF2569"/>
    <w:rsid w:val="00EF2DA1"/>
    <w:rsid w:val="00EF2E4E"/>
    <w:rsid w:val="00EF34FA"/>
    <w:rsid w:val="00EF3EEE"/>
    <w:rsid w:val="00EF3F6B"/>
    <w:rsid w:val="00EF56AD"/>
    <w:rsid w:val="00EF5EC3"/>
    <w:rsid w:val="00EF6032"/>
    <w:rsid w:val="00EF6960"/>
    <w:rsid w:val="00EF76D8"/>
    <w:rsid w:val="00EF7CB2"/>
    <w:rsid w:val="00F00103"/>
    <w:rsid w:val="00F013D4"/>
    <w:rsid w:val="00F01511"/>
    <w:rsid w:val="00F01EC2"/>
    <w:rsid w:val="00F03573"/>
    <w:rsid w:val="00F03E36"/>
    <w:rsid w:val="00F04546"/>
    <w:rsid w:val="00F055C2"/>
    <w:rsid w:val="00F05978"/>
    <w:rsid w:val="00F062B5"/>
    <w:rsid w:val="00F06BFD"/>
    <w:rsid w:val="00F07593"/>
    <w:rsid w:val="00F106A8"/>
    <w:rsid w:val="00F106B1"/>
    <w:rsid w:val="00F10AE6"/>
    <w:rsid w:val="00F10D11"/>
    <w:rsid w:val="00F119FC"/>
    <w:rsid w:val="00F12518"/>
    <w:rsid w:val="00F13CFE"/>
    <w:rsid w:val="00F1409C"/>
    <w:rsid w:val="00F140E3"/>
    <w:rsid w:val="00F142F9"/>
    <w:rsid w:val="00F14318"/>
    <w:rsid w:val="00F14D2F"/>
    <w:rsid w:val="00F15375"/>
    <w:rsid w:val="00F159CB"/>
    <w:rsid w:val="00F15B19"/>
    <w:rsid w:val="00F15F8D"/>
    <w:rsid w:val="00F1689E"/>
    <w:rsid w:val="00F17221"/>
    <w:rsid w:val="00F17313"/>
    <w:rsid w:val="00F17A97"/>
    <w:rsid w:val="00F17B71"/>
    <w:rsid w:val="00F202D7"/>
    <w:rsid w:val="00F20AF4"/>
    <w:rsid w:val="00F20AFC"/>
    <w:rsid w:val="00F20CCE"/>
    <w:rsid w:val="00F21DB4"/>
    <w:rsid w:val="00F21FE2"/>
    <w:rsid w:val="00F22149"/>
    <w:rsid w:val="00F22F7C"/>
    <w:rsid w:val="00F230BC"/>
    <w:rsid w:val="00F238BA"/>
    <w:rsid w:val="00F23BCB"/>
    <w:rsid w:val="00F23F73"/>
    <w:rsid w:val="00F24C62"/>
    <w:rsid w:val="00F25376"/>
    <w:rsid w:val="00F2573F"/>
    <w:rsid w:val="00F26569"/>
    <w:rsid w:val="00F266C7"/>
    <w:rsid w:val="00F26E0D"/>
    <w:rsid w:val="00F278B3"/>
    <w:rsid w:val="00F31198"/>
    <w:rsid w:val="00F31813"/>
    <w:rsid w:val="00F31C64"/>
    <w:rsid w:val="00F3207C"/>
    <w:rsid w:val="00F32ABE"/>
    <w:rsid w:val="00F32C0F"/>
    <w:rsid w:val="00F33257"/>
    <w:rsid w:val="00F33442"/>
    <w:rsid w:val="00F3357E"/>
    <w:rsid w:val="00F34B8A"/>
    <w:rsid w:val="00F3519D"/>
    <w:rsid w:val="00F3681A"/>
    <w:rsid w:val="00F37BC0"/>
    <w:rsid w:val="00F4078F"/>
    <w:rsid w:val="00F407D6"/>
    <w:rsid w:val="00F408C8"/>
    <w:rsid w:val="00F40977"/>
    <w:rsid w:val="00F4097E"/>
    <w:rsid w:val="00F40D62"/>
    <w:rsid w:val="00F41410"/>
    <w:rsid w:val="00F4207E"/>
    <w:rsid w:val="00F420A5"/>
    <w:rsid w:val="00F425D0"/>
    <w:rsid w:val="00F42A1F"/>
    <w:rsid w:val="00F42D09"/>
    <w:rsid w:val="00F42E12"/>
    <w:rsid w:val="00F43188"/>
    <w:rsid w:val="00F44009"/>
    <w:rsid w:val="00F44D69"/>
    <w:rsid w:val="00F44F77"/>
    <w:rsid w:val="00F457F3"/>
    <w:rsid w:val="00F45AF6"/>
    <w:rsid w:val="00F45DA5"/>
    <w:rsid w:val="00F45DBC"/>
    <w:rsid w:val="00F46914"/>
    <w:rsid w:val="00F47A34"/>
    <w:rsid w:val="00F5008D"/>
    <w:rsid w:val="00F5022B"/>
    <w:rsid w:val="00F507BB"/>
    <w:rsid w:val="00F515D0"/>
    <w:rsid w:val="00F51DFB"/>
    <w:rsid w:val="00F5219E"/>
    <w:rsid w:val="00F52217"/>
    <w:rsid w:val="00F52265"/>
    <w:rsid w:val="00F52604"/>
    <w:rsid w:val="00F52C45"/>
    <w:rsid w:val="00F5309E"/>
    <w:rsid w:val="00F53400"/>
    <w:rsid w:val="00F536D2"/>
    <w:rsid w:val="00F540F9"/>
    <w:rsid w:val="00F549A1"/>
    <w:rsid w:val="00F54D97"/>
    <w:rsid w:val="00F54EE9"/>
    <w:rsid w:val="00F5532E"/>
    <w:rsid w:val="00F5546B"/>
    <w:rsid w:val="00F56B74"/>
    <w:rsid w:val="00F56D02"/>
    <w:rsid w:val="00F56DA9"/>
    <w:rsid w:val="00F5787F"/>
    <w:rsid w:val="00F57DB3"/>
    <w:rsid w:val="00F57DCB"/>
    <w:rsid w:val="00F60147"/>
    <w:rsid w:val="00F6081B"/>
    <w:rsid w:val="00F60CFF"/>
    <w:rsid w:val="00F60FDF"/>
    <w:rsid w:val="00F620B4"/>
    <w:rsid w:val="00F62E12"/>
    <w:rsid w:val="00F633D6"/>
    <w:rsid w:val="00F63989"/>
    <w:rsid w:val="00F64155"/>
    <w:rsid w:val="00F641C9"/>
    <w:rsid w:val="00F645B1"/>
    <w:rsid w:val="00F64B64"/>
    <w:rsid w:val="00F64D17"/>
    <w:rsid w:val="00F650D8"/>
    <w:rsid w:val="00F651AE"/>
    <w:rsid w:val="00F6528D"/>
    <w:rsid w:val="00F65720"/>
    <w:rsid w:val="00F65AAC"/>
    <w:rsid w:val="00F66407"/>
    <w:rsid w:val="00F66D8A"/>
    <w:rsid w:val="00F670C7"/>
    <w:rsid w:val="00F6754E"/>
    <w:rsid w:val="00F6783E"/>
    <w:rsid w:val="00F70038"/>
    <w:rsid w:val="00F70204"/>
    <w:rsid w:val="00F70A55"/>
    <w:rsid w:val="00F72180"/>
    <w:rsid w:val="00F72184"/>
    <w:rsid w:val="00F72AA3"/>
    <w:rsid w:val="00F72ED3"/>
    <w:rsid w:val="00F7359F"/>
    <w:rsid w:val="00F7378E"/>
    <w:rsid w:val="00F7383D"/>
    <w:rsid w:val="00F73B9B"/>
    <w:rsid w:val="00F73F89"/>
    <w:rsid w:val="00F741EA"/>
    <w:rsid w:val="00F748B8"/>
    <w:rsid w:val="00F74D63"/>
    <w:rsid w:val="00F75954"/>
    <w:rsid w:val="00F76896"/>
    <w:rsid w:val="00F76F89"/>
    <w:rsid w:val="00F770E8"/>
    <w:rsid w:val="00F7718B"/>
    <w:rsid w:val="00F7796B"/>
    <w:rsid w:val="00F806F2"/>
    <w:rsid w:val="00F80DEE"/>
    <w:rsid w:val="00F8101B"/>
    <w:rsid w:val="00F81D5E"/>
    <w:rsid w:val="00F81E1B"/>
    <w:rsid w:val="00F839E5"/>
    <w:rsid w:val="00F83EF1"/>
    <w:rsid w:val="00F844CE"/>
    <w:rsid w:val="00F84FF0"/>
    <w:rsid w:val="00F85B75"/>
    <w:rsid w:val="00F85C03"/>
    <w:rsid w:val="00F86560"/>
    <w:rsid w:val="00F8680E"/>
    <w:rsid w:val="00F87BD7"/>
    <w:rsid w:val="00F903EF"/>
    <w:rsid w:val="00F923AF"/>
    <w:rsid w:val="00F92432"/>
    <w:rsid w:val="00F9304C"/>
    <w:rsid w:val="00F93086"/>
    <w:rsid w:val="00F93F44"/>
    <w:rsid w:val="00F94FEA"/>
    <w:rsid w:val="00F95096"/>
    <w:rsid w:val="00F9582D"/>
    <w:rsid w:val="00F96089"/>
    <w:rsid w:val="00F96827"/>
    <w:rsid w:val="00F96F63"/>
    <w:rsid w:val="00F97124"/>
    <w:rsid w:val="00F97B5D"/>
    <w:rsid w:val="00F97BE4"/>
    <w:rsid w:val="00FA0154"/>
    <w:rsid w:val="00FA19EB"/>
    <w:rsid w:val="00FA3142"/>
    <w:rsid w:val="00FA4A9E"/>
    <w:rsid w:val="00FA4DCB"/>
    <w:rsid w:val="00FA5DAA"/>
    <w:rsid w:val="00FA6432"/>
    <w:rsid w:val="00FA6DA0"/>
    <w:rsid w:val="00FA76BF"/>
    <w:rsid w:val="00FA7712"/>
    <w:rsid w:val="00FA7858"/>
    <w:rsid w:val="00FA7DAA"/>
    <w:rsid w:val="00FB0466"/>
    <w:rsid w:val="00FB0692"/>
    <w:rsid w:val="00FB072D"/>
    <w:rsid w:val="00FB1174"/>
    <w:rsid w:val="00FB321E"/>
    <w:rsid w:val="00FB3306"/>
    <w:rsid w:val="00FB354B"/>
    <w:rsid w:val="00FB3D4A"/>
    <w:rsid w:val="00FB45FD"/>
    <w:rsid w:val="00FB477D"/>
    <w:rsid w:val="00FB4900"/>
    <w:rsid w:val="00FB59F0"/>
    <w:rsid w:val="00FB623C"/>
    <w:rsid w:val="00FB6F6F"/>
    <w:rsid w:val="00FC034E"/>
    <w:rsid w:val="00FC152D"/>
    <w:rsid w:val="00FC1532"/>
    <w:rsid w:val="00FC1AA7"/>
    <w:rsid w:val="00FC20FC"/>
    <w:rsid w:val="00FC2715"/>
    <w:rsid w:val="00FC2EC8"/>
    <w:rsid w:val="00FC323D"/>
    <w:rsid w:val="00FC38C5"/>
    <w:rsid w:val="00FC3EC9"/>
    <w:rsid w:val="00FC4101"/>
    <w:rsid w:val="00FC43C0"/>
    <w:rsid w:val="00FC43D6"/>
    <w:rsid w:val="00FC5025"/>
    <w:rsid w:val="00FC5E25"/>
    <w:rsid w:val="00FC6542"/>
    <w:rsid w:val="00FC722E"/>
    <w:rsid w:val="00FC72A4"/>
    <w:rsid w:val="00FC73F0"/>
    <w:rsid w:val="00FC7A08"/>
    <w:rsid w:val="00FC7DDD"/>
    <w:rsid w:val="00FD06EC"/>
    <w:rsid w:val="00FD0723"/>
    <w:rsid w:val="00FD1DF9"/>
    <w:rsid w:val="00FD1FCB"/>
    <w:rsid w:val="00FD2B31"/>
    <w:rsid w:val="00FD36E9"/>
    <w:rsid w:val="00FD4227"/>
    <w:rsid w:val="00FD43B0"/>
    <w:rsid w:val="00FD4827"/>
    <w:rsid w:val="00FD50ED"/>
    <w:rsid w:val="00FD5251"/>
    <w:rsid w:val="00FD54C1"/>
    <w:rsid w:val="00FD6643"/>
    <w:rsid w:val="00FD6A60"/>
    <w:rsid w:val="00FD6BDE"/>
    <w:rsid w:val="00FD7B85"/>
    <w:rsid w:val="00FE03B3"/>
    <w:rsid w:val="00FE0B1F"/>
    <w:rsid w:val="00FE0D00"/>
    <w:rsid w:val="00FE1325"/>
    <w:rsid w:val="00FE1F08"/>
    <w:rsid w:val="00FE210F"/>
    <w:rsid w:val="00FE224F"/>
    <w:rsid w:val="00FE2450"/>
    <w:rsid w:val="00FE2AF9"/>
    <w:rsid w:val="00FE3143"/>
    <w:rsid w:val="00FE350B"/>
    <w:rsid w:val="00FE3662"/>
    <w:rsid w:val="00FE3AA4"/>
    <w:rsid w:val="00FE3F0C"/>
    <w:rsid w:val="00FE4478"/>
    <w:rsid w:val="00FE4503"/>
    <w:rsid w:val="00FE4C25"/>
    <w:rsid w:val="00FE5034"/>
    <w:rsid w:val="00FE5971"/>
    <w:rsid w:val="00FE5C84"/>
    <w:rsid w:val="00FE629B"/>
    <w:rsid w:val="00FE668D"/>
    <w:rsid w:val="00FE6B3F"/>
    <w:rsid w:val="00FE6B5B"/>
    <w:rsid w:val="00FE718E"/>
    <w:rsid w:val="00FE75A2"/>
    <w:rsid w:val="00FE7B2A"/>
    <w:rsid w:val="00FF0AC5"/>
    <w:rsid w:val="00FF0F11"/>
    <w:rsid w:val="00FF108D"/>
    <w:rsid w:val="00FF1104"/>
    <w:rsid w:val="00FF18E9"/>
    <w:rsid w:val="00FF1ECC"/>
    <w:rsid w:val="00FF22C7"/>
    <w:rsid w:val="00FF28C8"/>
    <w:rsid w:val="00FF2C46"/>
    <w:rsid w:val="00FF2D1A"/>
    <w:rsid w:val="00FF3821"/>
    <w:rsid w:val="00FF3B51"/>
    <w:rsid w:val="00FF4C0E"/>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32"/>
    <o:shapelayout v:ext="edit">
      <o:idmap v:ext="edit" data="1"/>
    </o:shapelayout>
  </w:shapeDefaults>
  <w:decimalSymbol w:val="."/>
  <w:listSeparator w:val=","/>
  <w14:docId w14:val="44885293"/>
  <w15:docId w15:val="{CF731B5A-94FD-4047-9865-57D1931E42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54558"/>
    <w:pPr>
      <w:spacing w:after="200" w:line="276" w:lineRule="auto"/>
    </w:pPr>
    <w:rPr>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99"/>
    <w:rsid w:val="0090316B"/>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rsid w:val="0025302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25302E"/>
    <w:rPr>
      <w:rFonts w:ascii="Tahoma" w:hAnsi="Tahoma" w:cs="Tahoma"/>
      <w:sz w:val="16"/>
      <w:szCs w:val="16"/>
    </w:rPr>
  </w:style>
  <w:style w:type="character" w:styleId="PlaceholderText">
    <w:name w:val="Placeholder Text"/>
    <w:basedOn w:val="DefaultParagraphFont"/>
    <w:uiPriority w:val="99"/>
    <w:semiHidden/>
    <w:rsid w:val="0021616C"/>
    <w:rPr>
      <w:rFonts w:cs="Times New Roman"/>
      <w:color w:val="808080"/>
    </w:rPr>
  </w:style>
  <w:style w:type="paragraph" w:styleId="HTMLPreformatted">
    <w:name w:val="HTML Preformatted"/>
    <w:basedOn w:val="Normal"/>
    <w:link w:val="HTMLPreformattedChar"/>
    <w:uiPriority w:val="99"/>
    <w:semiHidden/>
    <w:rsid w:val="00491E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es-ES"/>
    </w:rPr>
  </w:style>
  <w:style w:type="character" w:customStyle="1" w:styleId="HTMLPreformattedChar">
    <w:name w:val="HTML Preformatted Char"/>
    <w:basedOn w:val="DefaultParagraphFont"/>
    <w:link w:val="HTMLPreformatted"/>
    <w:uiPriority w:val="99"/>
    <w:semiHidden/>
    <w:locked/>
    <w:rsid w:val="00491E99"/>
    <w:rPr>
      <w:rFonts w:ascii="Courier New" w:hAnsi="Courier New" w:cs="Courier New"/>
      <w:sz w:val="20"/>
      <w:szCs w:val="20"/>
      <w:lang w:eastAsia="es-ES"/>
    </w:rPr>
  </w:style>
  <w:style w:type="paragraph" w:styleId="ListParagraph">
    <w:name w:val="List Paragraph"/>
    <w:basedOn w:val="Normal"/>
    <w:uiPriority w:val="99"/>
    <w:qFormat/>
    <w:rsid w:val="006D0207"/>
    <w:pPr>
      <w:ind w:left="720"/>
      <w:contextualSpacing/>
    </w:pPr>
  </w:style>
  <w:style w:type="character" w:styleId="Hyperlink">
    <w:name w:val="Hyperlink"/>
    <w:basedOn w:val="DefaultParagraphFont"/>
    <w:uiPriority w:val="99"/>
    <w:rsid w:val="00A622E7"/>
    <w:rPr>
      <w:rFonts w:cs="Times New Roman"/>
      <w:color w:val="0000FF"/>
      <w:u w:val="single"/>
    </w:rPr>
  </w:style>
  <w:style w:type="character" w:styleId="CommentReference">
    <w:name w:val="annotation reference"/>
    <w:basedOn w:val="DefaultParagraphFont"/>
    <w:uiPriority w:val="99"/>
    <w:semiHidden/>
    <w:rsid w:val="00EB695F"/>
    <w:rPr>
      <w:rFonts w:cs="Times New Roman"/>
      <w:sz w:val="18"/>
      <w:szCs w:val="18"/>
    </w:rPr>
  </w:style>
  <w:style w:type="paragraph" w:styleId="CommentText">
    <w:name w:val="annotation text"/>
    <w:basedOn w:val="Normal"/>
    <w:link w:val="CommentTextChar"/>
    <w:uiPriority w:val="99"/>
    <w:semiHidden/>
    <w:rsid w:val="00EB695F"/>
    <w:pPr>
      <w:spacing w:line="240" w:lineRule="auto"/>
    </w:pPr>
    <w:rPr>
      <w:sz w:val="24"/>
      <w:szCs w:val="24"/>
    </w:rPr>
  </w:style>
  <w:style w:type="character" w:customStyle="1" w:styleId="CommentTextChar">
    <w:name w:val="Comment Text Char"/>
    <w:basedOn w:val="DefaultParagraphFont"/>
    <w:link w:val="CommentText"/>
    <w:uiPriority w:val="99"/>
    <w:semiHidden/>
    <w:locked/>
    <w:rsid w:val="00EB695F"/>
    <w:rPr>
      <w:rFonts w:cs="Times New Roman"/>
      <w:sz w:val="24"/>
      <w:szCs w:val="24"/>
    </w:rPr>
  </w:style>
  <w:style w:type="paragraph" w:styleId="CommentSubject">
    <w:name w:val="annotation subject"/>
    <w:basedOn w:val="CommentText"/>
    <w:next w:val="CommentText"/>
    <w:link w:val="CommentSubjectChar"/>
    <w:uiPriority w:val="99"/>
    <w:semiHidden/>
    <w:rsid w:val="00EB695F"/>
    <w:rPr>
      <w:b/>
      <w:bCs/>
      <w:sz w:val="20"/>
      <w:szCs w:val="20"/>
    </w:rPr>
  </w:style>
  <w:style w:type="character" w:customStyle="1" w:styleId="CommentSubjectChar">
    <w:name w:val="Comment Subject Char"/>
    <w:basedOn w:val="CommentTextChar"/>
    <w:link w:val="CommentSubject"/>
    <w:uiPriority w:val="99"/>
    <w:semiHidden/>
    <w:locked/>
    <w:rsid w:val="00EB695F"/>
    <w:rPr>
      <w:rFonts w:cs="Times New Roman"/>
      <w:b/>
      <w:bCs/>
      <w:sz w:val="20"/>
      <w:szCs w:val="20"/>
    </w:rPr>
  </w:style>
  <w:style w:type="paragraph" w:customStyle="1" w:styleId="Pa14">
    <w:name w:val="Pa14"/>
    <w:basedOn w:val="Normal"/>
    <w:next w:val="Normal"/>
    <w:uiPriority w:val="99"/>
    <w:rsid w:val="00F42A1F"/>
    <w:pPr>
      <w:widowControl w:val="0"/>
      <w:autoSpaceDE w:val="0"/>
      <w:autoSpaceDN w:val="0"/>
      <w:adjustRightInd w:val="0"/>
      <w:spacing w:after="0" w:line="171" w:lineRule="atLeast"/>
    </w:pPr>
    <w:rPr>
      <w:rFonts w:ascii="Times" w:hAnsi="Times"/>
      <w:sz w:val="24"/>
      <w:szCs w:val="24"/>
      <w:lang w:val="en-US"/>
    </w:rPr>
  </w:style>
  <w:style w:type="paragraph" w:customStyle="1" w:styleId="BodytextJustified">
    <w:name w:val="Body text Justified"/>
    <w:basedOn w:val="Normal"/>
    <w:link w:val="BodytextJustifiedChar"/>
    <w:uiPriority w:val="99"/>
    <w:rsid w:val="00342C9A"/>
    <w:pPr>
      <w:spacing w:after="0" w:line="240" w:lineRule="auto"/>
      <w:jc w:val="both"/>
    </w:pPr>
    <w:rPr>
      <w:rFonts w:ascii="Georgia" w:hAnsi="Georgia"/>
      <w:sz w:val="20"/>
      <w:szCs w:val="20"/>
      <w:lang w:val="en-US" w:eastAsia="ja-JP"/>
    </w:rPr>
  </w:style>
  <w:style w:type="character" w:customStyle="1" w:styleId="BodytextJustifiedChar">
    <w:name w:val="Body text Justified Char"/>
    <w:link w:val="BodytextJustified"/>
    <w:uiPriority w:val="99"/>
    <w:locked/>
    <w:rsid w:val="00342C9A"/>
    <w:rPr>
      <w:rFonts w:ascii="Georgia" w:hAnsi="Georgia"/>
      <w:sz w:val="20"/>
      <w:lang w:val="en-US"/>
    </w:rPr>
  </w:style>
  <w:style w:type="paragraph" w:styleId="Revision">
    <w:name w:val="Revision"/>
    <w:hidden/>
    <w:uiPriority w:val="99"/>
    <w:semiHidden/>
    <w:rsid w:val="007964F3"/>
    <w:rPr>
      <w:lang w:eastAsia="en-US"/>
    </w:rPr>
  </w:style>
  <w:style w:type="character" w:styleId="FollowedHyperlink">
    <w:name w:val="FollowedHyperlink"/>
    <w:basedOn w:val="DefaultParagraphFont"/>
    <w:uiPriority w:val="99"/>
    <w:semiHidden/>
    <w:rsid w:val="007042E1"/>
    <w:rPr>
      <w:rFonts w:cs="Times New Roman"/>
      <w:color w:val="800080"/>
      <w:u w:val="single"/>
    </w:rPr>
  </w:style>
  <w:style w:type="paragraph" w:styleId="FootnoteText">
    <w:name w:val="footnote text"/>
    <w:basedOn w:val="Normal"/>
    <w:link w:val="FootnoteTextChar"/>
    <w:uiPriority w:val="99"/>
    <w:rsid w:val="00F40D62"/>
    <w:pPr>
      <w:spacing w:after="0" w:line="240" w:lineRule="auto"/>
    </w:pPr>
    <w:rPr>
      <w:sz w:val="24"/>
      <w:szCs w:val="24"/>
    </w:rPr>
  </w:style>
  <w:style w:type="character" w:customStyle="1" w:styleId="FootnoteTextChar">
    <w:name w:val="Footnote Text Char"/>
    <w:basedOn w:val="DefaultParagraphFont"/>
    <w:link w:val="FootnoteText"/>
    <w:uiPriority w:val="99"/>
    <w:locked/>
    <w:rsid w:val="00F40D62"/>
    <w:rPr>
      <w:rFonts w:cs="Times New Roman"/>
      <w:sz w:val="24"/>
      <w:szCs w:val="24"/>
    </w:rPr>
  </w:style>
  <w:style w:type="character" w:styleId="FootnoteReference">
    <w:name w:val="footnote reference"/>
    <w:basedOn w:val="DefaultParagraphFont"/>
    <w:uiPriority w:val="99"/>
    <w:rsid w:val="00F40D62"/>
    <w:rPr>
      <w:rFonts w:cs="Times New Roman"/>
      <w:vertAlign w:val="superscript"/>
    </w:rPr>
  </w:style>
  <w:style w:type="character" w:styleId="LineNumber">
    <w:name w:val="line number"/>
    <w:basedOn w:val="DefaultParagraphFont"/>
    <w:uiPriority w:val="99"/>
    <w:semiHidden/>
    <w:rsid w:val="00B53019"/>
    <w:rPr>
      <w:rFonts w:cs="Times New Roman"/>
    </w:rPr>
  </w:style>
  <w:style w:type="paragraph" w:styleId="Footer">
    <w:name w:val="footer"/>
    <w:basedOn w:val="Normal"/>
    <w:link w:val="FooterChar"/>
    <w:uiPriority w:val="99"/>
    <w:rsid w:val="00EB380C"/>
    <w:pPr>
      <w:tabs>
        <w:tab w:val="center" w:pos="4320"/>
        <w:tab w:val="right" w:pos="8640"/>
      </w:tabs>
      <w:spacing w:after="0" w:line="240" w:lineRule="auto"/>
    </w:pPr>
  </w:style>
  <w:style w:type="character" w:customStyle="1" w:styleId="FooterChar">
    <w:name w:val="Footer Char"/>
    <w:basedOn w:val="DefaultParagraphFont"/>
    <w:link w:val="Footer"/>
    <w:uiPriority w:val="99"/>
    <w:locked/>
    <w:rsid w:val="00EB380C"/>
    <w:rPr>
      <w:rFonts w:cs="Times New Roman"/>
    </w:rPr>
  </w:style>
  <w:style w:type="character" w:styleId="PageNumber">
    <w:name w:val="page number"/>
    <w:basedOn w:val="DefaultParagraphFont"/>
    <w:uiPriority w:val="99"/>
    <w:semiHidden/>
    <w:rsid w:val="00EB380C"/>
    <w:rPr>
      <w:rFonts w:cs="Times New Roman"/>
    </w:rPr>
  </w:style>
  <w:style w:type="paragraph" w:styleId="PlainText">
    <w:name w:val="Plain Text"/>
    <w:basedOn w:val="Normal"/>
    <w:link w:val="PlainTextChar"/>
    <w:uiPriority w:val="99"/>
    <w:rsid w:val="00CD7DD2"/>
    <w:pPr>
      <w:spacing w:after="0" w:line="240" w:lineRule="auto"/>
    </w:pPr>
    <w:rPr>
      <w:rFonts w:ascii="Consolas" w:hAnsi="Consolas" w:cs="Consolas"/>
      <w:sz w:val="21"/>
      <w:szCs w:val="21"/>
      <w:lang w:val="en-GB"/>
    </w:rPr>
  </w:style>
  <w:style w:type="character" w:customStyle="1" w:styleId="PlainTextChar">
    <w:name w:val="Plain Text Char"/>
    <w:basedOn w:val="DefaultParagraphFont"/>
    <w:link w:val="PlainText"/>
    <w:uiPriority w:val="99"/>
    <w:locked/>
    <w:rsid w:val="00CD7DD2"/>
    <w:rPr>
      <w:rFonts w:ascii="Consolas" w:hAnsi="Consolas" w:cs="Consolas"/>
      <w:sz w:val="21"/>
      <w:szCs w:val="21"/>
      <w:lang w:val="en-GB"/>
    </w:rPr>
  </w:style>
  <w:style w:type="paragraph" w:customStyle="1" w:styleId="Default">
    <w:name w:val="Default"/>
    <w:rsid w:val="00062917"/>
    <w:pPr>
      <w:widowControl w:val="0"/>
      <w:autoSpaceDE w:val="0"/>
      <w:autoSpaceDN w:val="0"/>
      <w:adjustRightInd w:val="0"/>
    </w:pPr>
    <w:rPr>
      <w:rFonts w:ascii="Trebuchet MS" w:hAnsi="Trebuchet MS" w:cs="Trebuchet MS"/>
      <w:color w:val="000000"/>
      <w:sz w:val="24"/>
      <w:szCs w:val="24"/>
      <w:lang w:val="en-US"/>
    </w:rPr>
  </w:style>
  <w:style w:type="paragraph" w:styleId="NormalWeb">
    <w:name w:val="Normal (Web)"/>
    <w:basedOn w:val="Normal"/>
    <w:uiPriority w:val="99"/>
    <w:semiHidden/>
    <w:unhideWhenUsed/>
    <w:rsid w:val="000A7F0D"/>
    <w:pPr>
      <w:spacing w:before="100" w:beforeAutospacing="1" w:after="100" w:afterAutospacing="1" w:line="240" w:lineRule="auto"/>
    </w:pPr>
    <w:rPr>
      <w:rFonts w:ascii="Times" w:hAnsi="Times"/>
      <w:sz w:val="20"/>
      <w:szCs w:val="20"/>
      <w:lang w:val="en-US"/>
    </w:rPr>
  </w:style>
  <w:style w:type="paragraph" w:styleId="Header">
    <w:name w:val="header"/>
    <w:basedOn w:val="Normal"/>
    <w:link w:val="HeaderChar"/>
    <w:uiPriority w:val="99"/>
    <w:unhideWhenUsed/>
    <w:rsid w:val="00773368"/>
    <w:pPr>
      <w:tabs>
        <w:tab w:val="center" w:pos="4513"/>
        <w:tab w:val="right" w:pos="9026"/>
      </w:tabs>
      <w:spacing w:after="0" w:line="240" w:lineRule="auto"/>
    </w:pPr>
  </w:style>
  <w:style w:type="character" w:customStyle="1" w:styleId="HeaderChar">
    <w:name w:val="Header Char"/>
    <w:basedOn w:val="DefaultParagraphFont"/>
    <w:link w:val="Header"/>
    <w:uiPriority w:val="99"/>
    <w:rsid w:val="00773368"/>
    <w:rPr>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025554">
      <w:bodyDiv w:val="1"/>
      <w:marLeft w:val="0"/>
      <w:marRight w:val="0"/>
      <w:marTop w:val="0"/>
      <w:marBottom w:val="0"/>
      <w:divBdr>
        <w:top w:val="none" w:sz="0" w:space="0" w:color="auto"/>
        <w:left w:val="none" w:sz="0" w:space="0" w:color="auto"/>
        <w:bottom w:val="none" w:sz="0" w:space="0" w:color="auto"/>
        <w:right w:val="none" w:sz="0" w:space="0" w:color="auto"/>
      </w:divBdr>
      <w:divsChild>
        <w:div w:id="1094787117">
          <w:marLeft w:val="0"/>
          <w:marRight w:val="0"/>
          <w:marTop w:val="0"/>
          <w:marBottom w:val="0"/>
          <w:divBdr>
            <w:top w:val="none" w:sz="0" w:space="0" w:color="auto"/>
            <w:left w:val="none" w:sz="0" w:space="0" w:color="auto"/>
            <w:bottom w:val="none" w:sz="0" w:space="0" w:color="auto"/>
            <w:right w:val="none" w:sz="0" w:space="0" w:color="auto"/>
          </w:divBdr>
          <w:divsChild>
            <w:div w:id="1082065595">
              <w:marLeft w:val="0"/>
              <w:marRight w:val="0"/>
              <w:marTop w:val="0"/>
              <w:marBottom w:val="0"/>
              <w:divBdr>
                <w:top w:val="none" w:sz="0" w:space="0" w:color="auto"/>
                <w:left w:val="none" w:sz="0" w:space="0" w:color="auto"/>
                <w:bottom w:val="none" w:sz="0" w:space="0" w:color="auto"/>
                <w:right w:val="none" w:sz="0" w:space="0" w:color="auto"/>
              </w:divBdr>
              <w:divsChild>
                <w:div w:id="257835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676692">
      <w:bodyDiv w:val="1"/>
      <w:marLeft w:val="0"/>
      <w:marRight w:val="0"/>
      <w:marTop w:val="0"/>
      <w:marBottom w:val="0"/>
      <w:divBdr>
        <w:top w:val="none" w:sz="0" w:space="0" w:color="auto"/>
        <w:left w:val="none" w:sz="0" w:space="0" w:color="auto"/>
        <w:bottom w:val="none" w:sz="0" w:space="0" w:color="auto"/>
        <w:right w:val="none" w:sz="0" w:space="0" w:color="auto"/>
      </w:divBdr>
      <w:divsChild>
        <w:div w:id="1915773013">
          <w:marLeft w:val="0"/>
          <w:marRight w:val="0"/>
          <w:marTop w:val="0"/>
          <w:marBottom w:val="0"/>
          <w:divBdr>
            <w:top w:val="none" w:sz="0" w:space="0" w:color="auto"/>
            <w:left w:val="none" w:sz="0" w:space="0" w:color="auto"/>
            <w:bottom w:val="none" w:sz="0" w:space="0" w:color="auto"/>
            <w:right w:val="none" w:sz="0" w:space="0" w:color="auto"/>
          </w:divBdr>
          <w:divsChild>
            <w:div w:id="967004045">
              <w:marLeft w:val="0"/>
              <w:marRight w:val="0"/>
              <w:marTop w:val="0"/>
              <w:marBottom w:val="0"/>
              <w:divBdr>
                <w:top w:val="none" w:sz="0" w:space="0" w:color="auto"/>
                <w:left w:val="none" w:sz="0" w:space="0" w:color="auto"/>
                <w:bottom w:val="none" w:sz="0" w:space="0" w:color="auto"/>
                <w:right w:val="none" w:sz="0" w:space="0" w:color="auto"/>
              </w:divBdr>
              <w:divsChild>
                <w:div w:id="962031512">
                  <w:marLeft w:val="0"/>
                  <w:marRight w:val="0"/>
                  <w:marTop w:val="0"/>
                  <w:marBottom w:val="0"/>
                  <w:divBdr>
                    <w:top w:val="none" w:sz="0" w:space="0" w:color="auto"/>
                    <w:left w:val="none" w:sz="0" w:space="0" w:color="auto"/>
                    <w:bottom w:val="none" w:sz="0" w:space="0" w:color="auto"/>
                    <w:right w:val="none" w:sz="0" w:space="0" w:color="auto"/>
                  </w:divBdr>
                </w:div>
              </w:divsChild>
            </w:div>
            <w:div w:id="855117344">
              <w:marLeft w:val="0"/>
              <w:marRight w:val="0"/>
              <w:marTop w:val="0"/>
              <w:marBottom w:val="0"/>
              <w:divBdr>
                <w:top w:val="none" w:sz="0" w:space="0" w:color="auto"/>
                <w:left w:val="none" w:sz="0" w:space="0" w:color="auto"/>
                <w:bottom w:val="none" w:sz="0" w:space="0" w:color="auto"/>
                <w:right w:val="none" w:sz="0" w:space="0" w:color="auto"/>
              </w:divBdr>
              <w:divsChild>
                <w:div w:id="186836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7460653">
          <w:marLeft w:val="0"/>
          <w:marRight w:val="0"/>
          <w:marTop w:val="0"/>
          <w:marBottom w:val="0"/>
          <w:divBdr>
            <w:top w:val="none" w:sz="0" w:space="0" w:color="auto"/>
            <w:left w:val="none" w:sz="0" w:space="0" w:color="auto"/>
            <w:bottom w:val="none" w:sz="0" w:space="0" w:color="auto"/>
            <w:right w:val="none" w:sz="0" w:space="0" w:color="auto"/>
          </w:divBdr>
          <w:divsChild>
            <w:div w:id="135952050">
              <w:marLeft w:val="0"/>
              <w:marRight w:val="0"/>
              <w:marTop w:val="0"/>
              <w:marBottom w:val="0"/>
              <w:divBdr>
                <w:top w:val="none" w:sz="0" w:space="0" w:color="auto"/>
                <w:left w:val="none" w:sz="0" w:space="0" w:color="auto"/>
                <w:bottom w:val="none" w:sz="0" w:space="0" w:color="auto"/>
                <w:right w:val="none" w:sz="0" w:space="0" w:color="auto"/>
              </w:divBdr>
              <w:divsChild>
                <w:div w:id="956108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0994724">
      <w:marLeft w:val="0"/>
      <w:marRight w:val="0"/>
      <w:marTop w:val="0"/>
      <w:marBottom w:val="0"/>
      <w:divBdr>
        <w:top w:val="none" w:sz="0" w:space="0" w:color="auto"/>
        <w:left w:val="none" w:sz="0" w:space="0" w:color="auto"/>
        <w:bottom w:val="none" w:sz="0" w:space="0" w:color="auto"/>
        <w:right w:val="none" w:sz="0" w:space="0" w:color="auto"/>
      </w:divBdr>
    </w:div>
    <w:div w:id="440994725">
      <w:marLeft w:val="0"/>
      <w:marRight w:val="0"/>
      <w:marTop w:val="0"/>
      <w:marBottom w:val="0"/>
      <w:divBdr>
        <w:top w:val="none" w:sz="0" w:space="0" w:color="auto"/>
        <w:left w:val="none" w:sz="0" w:space="0" w:color="auto"/>
        <w:bottom w:val="none" w:sz="0" w:space="0" w:color="auto"/>
        <w:right w:val="none" w:sz="0" w:space="0" w:color="auto"/>
      </w:divBdr>
    </w:div>
    <w:div w:id="440994726">
      <w:marLeft w:val="0"/>
      <w:marRight w:val="0"/>
      <w:marTop w:val="0"/>
      <w:marBottom w:val="0"/>
      <w:divBdr>
        <w:top w:val="none" w:sz="0" w:space="0" w:color="auto"/>
        <w:left w:val="none" w:sz="0" w:space="0" w:color="auto"/>
        <w:bottom w:val="none" w:sz="0" w:space="0" w:color="auto"/>
        <w:right w:val="none" w:sz="0" w:space="0" w:color="auto"/>
      </w:divBdr>
    </w:div>
    <w:div w:id="440994727">
      <w:marLeft w:val="0"/>
      <w:marRight w:val="0"/>
      <w:marTop w:val="0"/>
      <w:marBottom w:val="0"/>
      <w:divBdr>
        <w:top w:val="none" w:sz="0" w:space="0" w:color="auto"/>
        <w:left w:val="none" w:sz="0" w:space="0" w:color="auto"/>
        <w:bottom w:val="none" w:sz="0" w:space="0" w:color="auto"/>
        <w:right w:val="none" w:sz="0" w:space="0" w:color="auto"/>
      </w:divBdr>
    </w:div>
    <w:div w:id="1709572273">
      <w:bodyDiv w:val="1"/>
      <w:marLeft w:val="0"/>
      <w:marRight w:val="0"/>
      <w:marTop w:val="0"/>
      <w:marBottom w:val="0"/>
      <w:divBdr>
        <w:top w:val="none" w:sz="0" w:space="0" w:color="auto"/>
        <w:left w:val="none" w:sz="0" w:space="0" w:color="auto"/>
        <w:bottom w:val="none" w:sz="0" w:space="0" w:color="auto"/>
        <w:right w:val="none" w:sz="0" w:space="0" w:color="auto"/>
      </w:divBdr>
      <w:divsChild>
        <w:div w:id="1961649458">
          <w:marLeft w:val="0"/>
          <w:marRight w:val="0"/>
          <w:marTop w:val="0"/>
          <w:marBottom w:val="0"/>
          <w:divBdr>
            <w:top w:val="none" w:sz="0" w:space="0" w:color="auto"/>
            <w:left w:val="none" w:sz="0" w:space="0" w:color="auto"/>
            <w:bottom w:val="none" w:sz="0" w:space="0" w:color="auto"/>
            <w:right w:val="none" w:sz="0" w:space="0" w:color="auto"/>
          </w:divBdr>
          <w:divsChild>
            <w:div w:id="309529457">
              <w:marLeft w:val="0"/>
              <w:marRight w:val="0"/>
              <w:marTop w:val="0"/>
              <w:marBottom w:val="0"/>
              <w:divBdr>
                <w:top w:val="none" w:sz="0" w:space="0" w:color="auto"/>
                <w:left w:val="none" w:sz="0" w:space="0" w:color="auto"/>
                <w:bottom w:val="none" w:sz="0" w:space="0" w:color="auto"/>
                <w:right w:val="none" w:sz="0" w:space="0" w:color="auto"/>
              </w:divBdr>
              <w:divsChild>
                <w:div w:id="8810936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2118400">
      <w:bodyDiv w:val="1"/>
      <w:marLeft w:val="0"/>
      <w:marRight w:val="0"/>
      <w:marTop w:val="0"/>
      <w:marBottom w:val="0"/>
      <w:divBdr>
        <w:top w:val="none" w:sz="0" w:space="0" w:color="auto"/>
        <w:left w:val="none" w:sz="0" w:space="0" w:color="auto"/>
        <w:bottom w:val="none" w:sz="0" w:space="0" w:color="auto"/>
        <w:right w:val="none" w:sz="0" w:space="0" w:color="auto"/>
      </w:divBdr>
      <w:divsChild>
        <w:div w:id="105196447">
          <w:marLeft w:val="0"/>
          <w:marRight w:val="0"/>
          <w:marTop w:val="0"/>
          <w:marBottom w:val="0"/>
          <w:divBdr>
            <w:top w:val="none" w:sz="0" w:space="0" w:color="auto"/>
            <w:left w:val="none" w:sz="0" w:space="0" w:color="auto"/>
            <w:bottom w:val="none" w:sz="0" w:space="0" w:color="auto"/>
            <w:right w:val="none" w:sz="0" w:space="0" w:color="auto"/>
          </w:divBdr>
        </w:div>
        <w:div w:id="33819093">
          <w:marLeft w:val="0"/>
          <w:marRight w:val="0"/>
          <w:marTop w:val="0"/>
          <w:marBottom w:val="0"/>
          <w:divBdr>
            <w:top w:val="none" w:sz="0" w:space="0" w:color="auto"/>
            <w:left w:val="none" w:sz="0" w:space="0" w:color="auto"/>
            <w:bottom w:val="none" w:sz="0" w:space="0" w:color="auto"/>
            <w:right w:val="none" w:sz="0" w:space="0" w:color="auto"/>
          </w:divBdr>
        </w:div>
        <w:div w:id="1033337318">
          <w:marLeft w:val="0"/>
          <w:marRight w:val="0"/>
          <w:marTop w:val="0"/>
          <w:marBottom w:val="0"/>
          <w:divBdr>
            <w:top w:val="none" w:sz="0" w:space="0" w:color="auto"/>
            <w:left w:val="none" w:sz="0" w:space="0" w:color="auto"/>
            <w:bottom w:val="none" w:sz="0" w:space="0" w:color="auto"/>
            <w:right w:val="none" w:sz="0" w:space="0" w:color="auto"/>
          </w:divBdr>
        </w:div>
        <w:div w:id="423381283">
          <w:marLeft w:val="0"/>
          <w:marRight w:val="0"/>
          <w:marTop w:val="0"/>
          <w:marBottom w:val="0"/>
          <w:divBdr>
            <w:top w:val="none" w:sz="0" w:space="0" w:color="auto"/>
            <w:left w:val="none" w:sz="0" w:space="0" w:color="auto"/>
            <w:bottom w:val="none" w:sz="0" w:space="0" w:color="auto"/>
            <w:right w:val="none" w:sz="0" w:space="0" w:color="auto"/>
          </w:divBdr>
        </w:div>
        <w:div w:id="1488978493">
          <w:marLeft w:val="0"/>
          <w:marRight w:val="0"/>
          <w:marTop w:val="0"/>
          <w:marBottom w:val="0"/>
          <w:divBdr>
            <w:top w:val="none" w:sz="0" w:space="0" w:color="auto"/>
            <w:left w:val="none" w:sz="0" w:space="0" w:color="auto"/>
            <w:bottom w:val="none" w:sz="0" w:space="0" w:color="auto"/>
            <w:right w:val="none" w:sz="0" w:space="0" w:color="auto"/>
          </w:divBdr>
        </w:div>
        <w:div w:id="1651516727">
          <w:marLeft w:val="0"/>
          <w:marRight w:val="0"/>
          <w:marTop w:val="0"/>
          <w:marBottom w:val="0"/>
          <w:divBdr>
            <w:top w:val="none" w:sz="0" w:space="0" w:color="auto"/>
            <w:left w:val="none" w:sz="0" w:space="0" w:color="auto"/>
            <w:bottom w:val="none" w:sz="0" w:space="0" w:color="auto"/>
            <w:right w:val="none" w:sz="0" w:space="0" w:color="auto"/>
          </w:divBdr>
        </w:div>
        <w:div w:id="1090464912">
          <w:marLeft w:val="0"/>
          <w:marRight w:val="0"/>
          <w:marTop w:val="0"/>
          <w:marBottom w:val="0"/>
          <w:divBdr>
            <w:top w:val="none" w:sz="0" w:space="0" w:color="auto"/>
            <w:left w:val="none" w:sz="0" w:space="0" w:color="auto"/>
            <w:bottom w:val="none" w:sz="0" w:space="0" w:color="auto"/>
            <w:right w:val="none" w:sz="0" w:space="0" w:color="auto"/>
          </w:divBdr>
        </w:div>
        <w:div w:id="329135986">
          <w:marLeft w:val="0"/>
          <w:marRight w:val="0"/>
          <w:marTop w:val="0"/>
          <w:marBottom w:val="0"/>
          <w:divBdr>
            <w:top w:val="none" w:sz="0" w:space="0" w:color="auto"/>
            <w:left w:val="none" w:sz="0" w:space="0" w:color="auto"/>
            <w:bottom w:val="none" w:sz="0" w:space="0" w:color="auto"/>
            <w:right w:val="none" w:sz="0" w:space="0" w:color="auto"/>
          </w:divBdr>
        </w:div>
        <w:div w:id="7798339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wmf"/><Relationship Id="rId18" Type="http://schemas.openxmlformats.org/officeDocument/2006/relationships/image" Target="media/image11.wmf"/><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image" Target="media/image40.png"/><Relationship Id="rId50" Type="http://schemas.openxmlformats.org/officeDocument/2006/relationships/hyperlink" Target="http://doi.org/10.1002/2013JC009067" TargetMode="External"/><Relationship Id="rId55"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tiff"/><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54" Type="http://schemas.openxmlformats.org/officeDocument/2006/relationships/hyperlink" Target="http://polar.ncep.noaa.gov/mmab/papers/tn276/MMAB_276.pdf"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hyperlink" Target="http://dx.doi.org/10.1029/2008GL036530" TargetMode="External"/><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hyperlink" Target="http://esamultimedia.esa.int/docs/ISAG7_CryoSat_39A236_final.pdf" TargetMode="External"/><Relationship Id="rId57"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wmf"/><Relationship Id="rId31" Type="http://schemas.openxmlformats.org/officeDocument/2006/relationships/image" Target="media/image24.tiff"/><Relationship Id="rId44" Type="http://schemas.openxmlformats.org/officeDocument/2006/relationships/image" Target="media/image37.png"/><Relationship Id="rId52" Type="http://schemas.openxmlformats.org/officeDocument/2006/relationships/hyperlink" Target="http://dx.doi.org/10.1029/2012GL051301" TargetMode="External"/><Relationship Id="rId4" Type="http://schemas.openxmlformats.org/officeDocument/2006/relationships/settings" Target="settings.xml"/><Relationship Id="rId9" Type="http://schemas.openxmlformats.org/officeDocument/2006/relationships/hyperlink" Target="https://earth.esa.int/documents" TargetMode="External"/><Relationship Id="rId14" Type="http://schemas.openxmlformats.org/officeDocument/2006/relationships/image" Target="media/image7.w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hyperlink" Target="http://dx.doi.org/10.1002/jgrc.20195" TargetMode="External"/><Relationship Id="rId56" Type="http://schemas.openxmlformats.org/officeDocument/2006/relationships/footer" Target="footer2.xml"/><Relationship Id="rId8" Type="http://schemas.openxmlformats.org/officeDocument/2006/relationships/image" Target="media/image2.png"/><Relationship Id="rId51" Type="http://schemas.openxmlformats.org/officeDocument/2006/relationships/hyperlink" Target="http://dx.doi.org/10.1029/JC094iC10p14445" TargetMode="External"/><Relationship Id="rId3" Type="http://schemas.openxmlformats.org/officeDocument/2006/relationships/styles" Target="styles.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93039A-E075-4719-9845-3D8B31C945D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851</TotalTime>
  <Pages>50</Pages>
  <Words>11342</Words>
  <Characters>64654</Characters>
  <Application>Microsoft Office Word</Application>
  <DocSecurity>0</DocSecurity>
  <Lines>538</Lines>
  <Paragraphs>151</Paragraphs>
  <ScaleCrop>false</ScaleCrop>
  <HeadingPairs>
    <vt:vector size="2" baseType="variant">
      <vt:variant>
        <vt:lpstr>Title</vt:lpstr>
      </vt:variant>
      <vt:variant>
        <vt:i4>1</vt:i4>
      </vt:variant>
    </vt:vector>
  </HeadingPairs>
  <TitlesOfParts>
    <vt:vector size="1" baseType="lpstr">
      <vt:lpstr/>
    </vt:vector>
  </TitlesOfParts>
  <Company>NOC</Company>
  <LinksUpToDate>false</LinksUpToDate>
  <CharactersWithSpaces>75845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Francisco Mir Calafat</dc:creator>
  <cp:keywords/>
  <dc:description/>
  <cp:lastModifiedBy>Mir Calafat, Francisco J.</cp:lastModifiedBy>
  <cp:revision>64</cp:revision>
  <cp:lastPrinted>2016-10-05T09:31:00Z</cp:lastPrinted>
  <dcterms:created xsi:type="dcterms:W3CDTF">2016-10-09T21:24:00Z</dcterms:created>
  <dcterms:modified xsi:type="dcterms:W3CDTF">2017-02-20T10:50:00Z</dcterms:modified>
</cp:coreProperties>
</file>