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DF596D0" w14:textId="4DD70EC6" w:rsidR="00F71C3E" w:rsidRDefault="00C4027B">
      <w:pPr>
        <w:pStyle w:val="Title"/>
        <w:spacing w:line="360" w:lineRule="auto"/>
      </w:pPr>
      <w:bookmarkStart w:id="0" w:name="_GoBack"/>
      <w:bookmarkEnd w:id="0"/>
      <w:r>
        <w:t xml:space="preserve">Macrofaunal nematodes </w:t>
      </w:r>
      <w:r w:rsidR="00975EAB">
        <w:t xml:space="preserve">of </w:t>
      </w:r>
      <w:r>
        <w:t xml:space="preserve">the </w:t>
      </w:r>
      <w:r w:rsidR="00975EAB">
        <w:t>deep</w:t>
      </w:r>
      <w:r>
        <w:t xml:space="preserve"> Whittard Canyon (NE Atlantic): assemblage characteristics and comparison with polychaete</w:t>
      </w:r>
      <w:r w:rsidR="00975EAB">
        <w:t>s</w:t>
      </w:r>
    </w:p>
    <w:p w14:paraId="71A75F82" w14:textId="4006EEA2" w:rsidR="00F71C3E" w:rsidRDefault="00C4027B">
      <w:pPr>
        <w:spacing w:line="360" w:lineRule="auto"/>
      </w:pPr>
      <w:r>
        <w:t>Laetitia M. Gunton*</w:t>
      </w:r>
      <w:r w:rsidR="00390D33">
        <w:rPr>
          <w:vertAlign w:val="superscript"/>
        </w:rPr>
        <w:t>1,</w:t>
      </w:r>
      <w:r w:rsidR="00E24FD5">
        <w:rPr>
          <w:vertAlign w:val="superscript"/>
        </w:rPr>
        <w:t xml:space="preserve"> </w:t>
      </w:r>
      <w:r w:rsidR="00390D33">
        <w:rPr>
          <w:vertAlign w:val="superscript"/>
        </w:rPr>
        <w:t>2</w:t>
      </w:r>
      <w:r>
        <w:t>,</w:t>
      </w:r>
      <w:r w:rsidR="00975EAB">
        <w:t xml:space="preserve"> Brian J. Bett</w:t>
      </w:r>
      <w:r w:rsidR="00975EAB">
        <w:rPr>
          <w:vertAlign w:val="superscript"/>
        </w:rPr>
        <w:t>3</w:t>
      </w:r>
      <w:r w:rsidR="00975EAB">
        <w:t xml:space="preserve">, </w:t>
      </w:r>
      <w:r>
        <w:t>Andrew J. Gooday</w:t>
      </w:r>
      <w:r w:rsidR="00390D33">
        <w:rPr>
          <w:vertAlign w:val="superscript"/>
        </w:rPr>
        <w:t>3</w:t>
      </w:r>
      <w:r>
        <w:t xml:space="preserve">, </w:t>
      </w:r>
      <w:r w:rsidR="00390D33">
        <w:t>Adrian G. Glover</w:t>
      </w:r>
      <w:r w:rsidR="00390D33">
        <w:rPr>
          <w:vertAlign w:val="superscript"/>
        </w:rPr>
        <w:t>2</w:t>
      </w:r>
      <w:r w:rsidR="00390D33">
        <w:t xml:space="preserve">, </w:t>
      </w:r>
      <w:r>
        <w:t>Ann Vanreusel</w:t>
      </w:r>
      <w:r w:rsidR="00390D33">
        <w:rPr>
          <w:vertAlign w:val="superscript"/>
        </w:rPr>
        <w:t>4</w:t>
      </w:r>
    </w:p>
    <w:p w14:paraId="3D07F60A" w14:textId="77777777" w:rsidR="00F71C3E" w:rsidRDefault="00F71C3E">
      <w:pPr>
        <w:spacing w:line="360" w:lineRule="auto"/>
      </w:pPr>
    </w:p>
    <w:p w14:paraId="3C1D14E0" w14:textId="77777777" w:rsidR="00975EAB" w:rsidRDefault="00975EAB">
      <w:pPr>
        <w:spacing w:line="360" w:lineRule="auto"/>
      </w:pPr>
    </w:p>
    <w:p w14:paraId="7576A230" w14:textId="64FD933E" w:rsidR="00F71C3E" w:rsidRDefault="00C4027B">
      <w:pPr>
        <w:spacing w:line="360" w:lineRule="auto"/>
      </w:pPr>
      <w:r>
        <w:t>*Corresponding author. Email: Laetitia.gunton@</w:t>
      </w:r>
      <w:r w:rsidR="00FC21F3">
        <w:t>gmail.com</w:t>
      </w:r>
    </w:p>
    <w:p w14:paraId="6339135B" w14:textId="77777777" w:rsidR="00F71C3E" w:rsidRDefault="00F71C3E">
      <w:pPr>
        <w:spacing w:line="360" w:lineRule="auto"/>
      </w:pPr>
    </w:p>
    <w:p w14:paraId="1FA87715" w14:textId="77777777" w:rsidR="00F71C3E" w:rsidRDefault="00F71C3E">
      <w:pPr>
        <w:spacing w:line="360" w:lineRule="auto"/>
      </w:pPr>
    </w:p>
    <w:p w14:paraId="1CED1F1F" w14:textId="6F069BEB" w:rsidR="00F71C3E" w:rsidRDefault="00C4027B">
      <w:pPr>
        <w:spacing w:line="360" w:lineRule="auto"/>
      </w:pPr>
      <w:r>
        <w:rPr>
          <w:vertAlign w:val="superscript"/>
        </w:rPr>
        <w:t>1</w:t>
      </w:r>
      <w:r>
        <w:t>Ocean and Earth Science,</w:t>
      </w:r>
      <w:r w:rsidR="00975EAB">
        <w:t xml:space="preserve"> University of Southampton,</w:t>
      </w:r>
      <w:r>
        <w:t xml:space="preserve"> National Oceanography Centre</w:t>
      </w:r>
      <w:r w:rsidR="00221EF2">
        <w:t>,</w:t>
      </w:r>
      <w:r>
        <w:t xml:space="preserve"> Southampton, SO14 3ZH, United Kingdom</w:t>
      </w:r>
    </w:p>
    <w:p w14:paraId="4FCFAE78" w14:textId="77777777" w:rsidR="00390D33" w:rsidRDefault="00390D33">
      <w:pPr>
        <w:spacing w:line="360" w:lineRule="auto"/>
      </w:pPr>
    </w:p>
    <w:p w14:paraId="6D651300" w14:textId="77777777" w:rsidR="00390D33" w:rsidRPr="00390D33" w:rsidRDefault="00390D33">
      <w:pPr>
        <w:spacing w:line="360" w:lineRule="auto"/>
      </w:pPr>
      <w:r>
        <w:rPr>
          <w:vertAlign w:val="superscript"/>
        </w:rPr>
        <w:t>2</w:t>
      </w:r>
      <w:r>
        <w:t>Life Sciences Department, Natural History Museum, London SW7 5BD, United Kingdom</w:t>
      </w:r>
    </w:p>
    <w:p w14:paraId="5996C5EF" w14:textId="77777777" w:rsidR="00F71C3E" w:rsidRDefault="00F71C3E">
      <w:pPr>
        <w:spacing w:line="360" w:lineRule="auto"/>
      </w:pPr>
    </w:p>
    <w:p w14:paraId="08344110" w14:textId="6B9883E0" w:rsidR="00F71C3E" w:rsidRDefault="00390D33">
      <w:pPr>
        <w:spacing w:line="360" w:lineRule="auto"/>
      </w:pPr>
      <w:r>
        <w:rPr>
          <w:vertAlign w:val="superscript"/>
        </w:rPr>
        <w:t>3</w:t>
      </w:r>
      <w:r w:rsidR="00C4027B">
        <w:t>National Oceanography Centre, University of Southampton Waterfront Campus, Southampton SO14 3ZH, United Kingdom</w:t>
      </w:r>
    </w:p>
    <w:p w14:paraId="57B0B11E" w14:textId="77777777" w:rsidR="00F71C3E" w:rsidRDefault="00F71C3E">
      <w:pPr>
        <w:spacing w:line="360" w:lineRule="auto"/>
      </w:pPr>
    </w:p>
    <w:p w14:paraId="3087AF7B" w14:textId="627D646C" w:rsidR="00F71C3E" w:rsidRDefault="00390D33">
      <w:pPr>
        <w:spacing w:line="360" w:lineRule="auto"/>
      </w:pPr>
      <w:r>
        <w:rPr>
          <w:vertAlign w:val="superscript"/>
        </w:rPr>
        <w:t>4</w:t>
      </w:r>
      <w:r w:rsidR="00C4027B">
        <w:t>Marine Biology Research Group, Ghent University</w:t>
      </w:r>
      <w:r w:rsidR="0072609C">
        <w:t>,</w:t>
      </w:r>
      <w:r w:rsidR="00C4027B">
        <w:t xml:space="preserve"> Krijgslaan</w:t>
      </w:r>
      <w:r w:rsidR="0072609C">
        <w:t xml:space="preserve"> 281, B-9000</w:t>
      </w:r>
      <w:r w:rsidR="00C4027B">
        <w:t>, Ghent, Belgium</w:t>
      </w:r>
    </w:p>
    <w:p w14:paraId="6063C485" w14:textId="77777777" w:rsidR="00F71C3E" w:rsidRDefault="00C4027B">
      <w:r>
        <w:br w:type="page"/>
      </w:r>
    </w:p>
    <w:p w14:paraId="65D6DAA6" w14:textId="77777777" w:rsidR="00F71C3E" w:rsidRDefault="00C4027B" w:rsidP="00CF5E54">
      <w:pPr>
        <w:pStyle w:val="Heading1"/>
        <w:spacing w:line="360" w:lineRule="auto"/>
      </w:pPr>
      <w:r>
        <w:lastRenderedPageBreak/>
        <w:t xml:space="preserve">Abstract </w:t>
      </w:r>
    </w:p>
    <w:p w14:paraId="5010EA8E" w14:textId="37EF9885" w:rsidR="00F71C3E" w:rsidRDefault="00C4027B" w:rsidP="00CF5E54">
      <w:pPr>
        <w:spacing w:line="360" w:lineRule="auto"/>
      </w:pPr>
      <w:r>
        <w:t>Large nematodes form a</w:t>
      </w:r>
      <w:r w:rsidR="0072609C">
        <w:t>n important</w:t>
      </w:r>
      <w:r>
        <w:t xml:space="preserve"> component of deep-sea macrofaunal assemblages, but are </w:t>
      </w:r>
      <w:r w:rsidR="0072609C">
        <w:t xml:space="preserve">often </w:t>
      </w:r>
      <w:r>
        <w:t xml:space="preserve">considered to be part of the meiobenthos and </w:t>
      </w:r>
      <w:r w:rsidR="00FC21F3">
        <w:t>are</w:t>
      </w:r>
      <w:r>
        <w:t xml:space="preserve"> rarely studied. We analysed the </w:t>
      </w:r>
      <w:r w:rsidR="0072609C">
        <w:t>standing stocks</w:t>
      </w:r>
      <w:r>
        <w:t>, diversity</w:t>
      </w:r>
      <w:r w:rsidR="0072609C">
        <w:t>,</w:t>
      </w:r>
      <w:r>
        <w:t xml:space="preserve"> and functional </w:t>
      </w:r>
      <w:r w:rsidR="0072609C">
        <w:t xml:space="preserve">group and genus-level composition </w:t>
      </w:r>
      <w:r>
        <w:t>of macrofaunal nematode</w:t>
      </w:r>
      <w:r w:rsidR="0072609C">
        <w:t>s</w:t>
      </w:r>
      <w:r>
        <w:t xml:space="preserve"> at lower bathyal depths </w:t>
      </w:r>
      <w:r w:rsidR="0072609C">
        <w:t xml:space="preserve">(3500 m water depth) in </w:t>
      </w:r>
      <w:r>
        <w:t xml:space="preserve">the Whittard </w:t>
      </w:r>
      <w:r w:rsidR="0072609C">
        <w:t>Canyon system</w:t>
      </w:r>
      <w:r w:rsidR="00C224CA">
        <w:t xml:space="preserve"> </w:t>
      </w:r>
      <w:r>
        <w:t xml:space="preserve">(NE Atlantic) and on the </w:t>
      </w:r>
      <w:r w:rsidR="0072609C">
        <w:t xml:space="preserve">adjacent </w:t>
      </w:r>
      <w:r>
        <w:t xml:space="preserve">continental slope. </w:t>
      </w:r>
      <w:r w:rsidR="0072609C">
        <w:t>Five replicate sample sets were obtained</w:t>
      </w:r>
      <w:r w:rsidR="00E24FD5">
        <w:t xml:space="preserve"> using a</w:t>
      </w:r>
      <w:r w:rsidR="0072609C">
        <w:t xml:space="preserve"> </w:t>
      </w:r>
      <w:r>
        <w:t xml:space="preserve">Megacorer, </w:t>
      </w:r>
      <w:r w:rsidR="0072609C">
        <w:t xml:space="preserve">at four locations (three </w:t>
      </w:r>
      <w:r>
        <w:t>canyon branches</w:t>
      </w:r>
      <w:r w:rsidR="0072609C">
        <w:t xml:space="preserve">, </w:t>
      </w:r>
      <w:r>
        <w:t>one slope</w:t>
      </w:r>
      <w:r w:rsidR="0072609C">
        <w:t>).</w:t>
      </w:r>
      <w:r>
        <w:t xml:space="preserve"> </w:t>
      </w:r>
      <w:r w:rsidR="0072609C">
        <w:t xml:space="preserve">Sediment samples were processed </w:t>
      </w:r>
      <w:r>
        <w:t>on a 500</w:t>
      </w:r>
      <w:r w:rsidR="0072609C">
        <w:t xml:space="preserve"> </w:t>
      </w:r>
      <w:r>
        <w:t xml:space="preserve">μm mesh </w:t>
      </w:r>
      <w:r w:rsidR="0072609C">
        <w:t>to provide both nematode and</w:t>
      </w:r>
      <w:r>
        <w:t xml:space="preserve"> polychaete </w:t>
      </w:r>
      <w:r w:rsidR="0072609C">
        <w:t xml:space="preserve">data from the same samples. The dominant nematode genera included </w:t>
      </w:r>
      <w:r>
        <w:rPr>
          <w:i/>
        </w:rPr>
        <w:t>Paramesacanthion</w:t>
      </w:r>
      <w:r w:rsidR="0072609C">
        <w:rPr>
          <w:i/>
        </w:rPr>
        <w:t>,</w:t>
      </w:r>
      <w:r>
        <w:t xml:space="preserve"> </w:t>
      </w:r>
      <w:r>
        <w:rPr>
          <w:i/>
        </w:rPr>
        <w:t>Metacylicolaimus</w:t>
      </w:r>
      <w:r w:rsidR="0072609C">
        <w:rPr>
          <w:i/>
        </w:rPr>
        <w:t>,</w:t>
      </w:r>
      <w:r>
        <w:t xml:space="preserve"> </w:t>
      </w:r>
      <w:r>
        <w:rPr>
          <w:i/>
        </w:rPr>
        <w:t>Cylicolaimus</w:t>
      </w:r>
      <w:r w:rsidR="0072609C">
        <w:rPr>
          <w:i/>
        </w:rPr>
        <w:t xml:space="preserve"> </w:t>
      </w:r>
      <w:r>
        <w:t xml:space="preserve">and </w:t>
      </w:r>
      <w:r>
        <w:rPr>
          <w:i/>
        </w:rPr>
        <w:t>Phanodermopsis</w:t>
      </w:r>
      <w:r>
        <w:t xml:space="preserve">. Nematode </w:t>
      </w:r>
      <w:r w:rsidR="0072609C">
        <w:t>standing stocks (density and biomass) increased significantly from slope to canyon locations. Similarly, nematode dominance increase</w:t>
      </w:r>
      <w:r w:rsidR="00FA720D">
        <w:t>d</w:t>
      </w:r>
      <w:r w:rsidR="0072609C">
        <w:t xml:space="preserve"> substantially (</w:t>
      </w:r>
      <w:r w:rsidR="00E24FD5">
        <w:t xml:space="preserve">and </w:t>
      </w:r>
      <w:r w:rsidR="0072609C">
        <w:t xml:space="preserve">diversity decreased) from slope to canyon locations. Nematode feeding groups and tail shape groups also appeared to exhibit common trends across study locations. Nematode genus-level faunal composition </w:t>
      </w:r>
      <w:r w:rsidR="00FA720D">
        <w:t>var</w:t>
      </w:r>
      <w:r w:rsidR="0072609C">
        <w:t xml:space="preserve">ied significantly between slope and canyon locations. We describe and discuss </w:t>
      </w:r>
      <w:r w:rsidR="00FA720D">
        <w:t xml:space="preserve">the </w:t>
      </w:r>
      <w:r w:rsidR="0072609C">
        <w:t xml:space="preserve">broadly similar trends detected in the matching polychaete data, noting some </w:t>
      </w:r>
      <w:r w:rsidR="00E24FD5">
        <w:t>differ</w:t>
      </w:r>
      <w:r w:rsidR="00221EF2">
        <w:t>e</w:t>
      </w:r>
      <w:r w:rsidR="00E24FD5">
        <w:t>nces</w:t>
      </w:r>
      <w:r w:rsidR="0072609C">
        <w:t xml:space="preserve"> in the polychaete density and diversity responses. We suggest that the </w:t>
      </w:r>
      <w:r w:rsidR="00E24FD5">
        <w:t>similar trends</w:t>
      </w:r>
      <w:r w:rsidR="0072609C">
        <w:t xml:space="preserve"> in macrofaunal nematode and polychaete ecology across our four study locations reflects responses to both chan</w:t>
      </w:r>
      <w:r w:rsidR="00FA720D">
        <w:t>g</w:t>
      </w:r>
      <w:r w:rsidR="0072609C">
        <w:t xml:space="preserve">ing sedimentology and food availability. </w:t>
      </w:r>
    </w:p>
    <w:p w14:paraId="34032FB7" w14:textId="77777777" w:rsidR="00F71C3E" w:rsidRDefault="00C4027B" w:rsidP="00CF5E54">
      <w:pPr>
        <w:pStyle w:val="Heading1"/>
        <w:spacing w:line="360" w:lineRule="auto"/>
      </w:pPr>
      <w:r>
        <w:t>1. Problem</w:t>
      </w:r>
    </w:p>
    <w:p w14:paraId="31E1AC87" w14:textId="158DCAF0" w:rsidR="00F71C3E" w:rsidRDefault="00C4027B" w:rsidP="00CF5E54">
      <w:pPr>
        <w:spacing w:line="360" w:lineRule="auto"/>
      </w:pPr>
      <w:r>
        <w:t>The Nematoda is the most abundant and species-rich metazoan phylum living in deep-sea sediments (</w:t>
      </w:r>
      <w:hyperlink w:anchor="h.2afmg28">
        <w:r>
          <w:t>Vincx</w:t>
        </w:r>
      </w:hyperlink>
      <w:hyperlink w:anchor="h.2afmg28">
        <w:r>
          <w:rPr>
            <w:i/>
          </w:rPr>
          <w:t xml:space="preserve"> et al.</w:t>
        </w:r>
      </w:hyperlink>
      <w:hyperlink w:anchor="h.2afmg28">
        <w:r>
          <w:t xml:space="preserve"> 1994)</w:t>
        </w:r>
      </w:hyperlink>
      <w:r>
        <w:t>, often representing 90 % or more of total metazoan meiofaunal numbers (</w:t>
      </w:r>
      <w:hyperlink w:anchor="h.1jlao46">
        <w:r>
          <w:t>Thiel 1975)</w:t>
        </w:r>
      </w:hyperlink>
      <w:r>
        <w:t>. As part of the meiobenthos</w:t>
      </w:r>
      <w:r w:rsidR="00C224CA">
        <w:t xml:space="preserve"> (</w:t>
      </w:r>
      <w:r>
        <w:t>pass</w:t>
      </w:r>
      <w:r w:rsidR="00C224CA">
        <w:t>ing</w:t>
      </w:r>
      <w:r>
        <w:t xml:space="preserve"> through </w:t>
      </w:r>
      <w:r w:rsidR="00A411BC">
        <w:t xml:space="preserve">sieves with a mesh size in the range of </w:t>
      </w:r>
      <w:r w:rsidR="00842BC0">
        <w:t>300</w:t>
      </w:r>
      <w:r w:rsidR="00C224CA">
        <w:t>-</w:t>
      </w:r>
      <w:r>
        <w:t xml:space="preserve">1000 μm and retained on </w:t>
      </w:r>
      <w:r w:rsidR="00710C96">
        <w:t>32</w:t>
      </w:r>
      <w:r w:rsidR="00C224CA">
        <w:t>-</w:t>
      </w:r>
      <w:r>
        <w:t>63 μm mesh</w:t>
      </w:r>
      <w:r w:rsidR="00C224CA">
        <w:t>es</w:t>
      </w:r>
      <w:r w:rsidR="00FA146E">
        <w:t>;</w:t>
      </w:r>
      <w:r w:rsidR="00C224CA">
        <w:t xml:space="preserve"> </w:t>
      </w:r>
      <w:r>
        <w:t>Giere 2009), their patterns of abundance and distribution are relatively well documented (</w:t>
      </w:r>
      <w:hyperlink w:anchor="h.1jlao46">
        <w:r>
          <w:t>Thiel,</w:t>
        </w:r>
      </w:hyperlink>
      <w:r>
        <w:t xml:space="preserve"> 1983; </w:t>
      </w:r>
      <w:hyperlink w:anchor="h.2w5ecyt">
        <w:r>
          <w:t>Vanreusel</w:t>
        </w:r>
      </w:hyperlink>
      <w:hyperlink w:anchor="h.2w5ecyt">
        <w:r>
          <w:rPr>
            <w:i/>
          </w:rPr>
          <w:t xml:space="preserve"> et al.</w:t>
        </w:r>
      </w:hyperlink>
      <w:hyperlink w:anchor="h.2w5ecyt">
        <w:r>
          <w:t xml:space="preserve"> 2010;</w:t>
        </w:r>
      </w:hyperlink>
      <w:r>
        <w:t xml:space="preserve"> </w:t>
      </w:r>
      <w:hyperlink w:anchor="h.2zbgiuw">
        <w:r>
          <w:t>Pape</w:t>
        </w:r>
      </w:hyperlink>
      <w:hyperlink w:anchor="h.2zbgiuw">
        <w:r>
          <w:rPr>
            <w:i/>
          </w:rPr>
          <w:t xml:space="preserve"> et al.</w:t>
        </w:r>
      </w:hyperlink>
      <w:hyperlink w:anchor="h.2zbgiuw">
        <w:r>
          <w:t xml:space="preserve"> 2013</w:t>
        </w:r>
        <w:r w:rsidR="00AE7A35">
          <w:t xml:space="preserve">; Moens </w:t>
        </w:r>
        <w:r w:rsidR="00AE7A35" w:rsidRPr="00CF5E54">
          <w:rPr>
            <w:i/>
          </w:rPr>
          <w:t xml:space="preserve">et al. </w:t>
        </w:r>
        <w:r w:rsidR="00AE7A35" w:rsidRPr="00AE7A35">
          <w:t>2013</w:t>
        </w:r>
        <w:r w:rsidRPr="00DC6246">
          <w:t>)</w:t>
        </w:r>
      </w:hyperlink>
      <w:r>
        <w:t xml:space="preserve">. However, deep-sea nematodes are also found in the macrobenthic size fraction (retained on </w:t>
      </w:r>
      <w:r w:rsidR="00C224CA">
        <w:t>≥</w:t>
      </w:r>
      <w:r>
        <w:t xml:space="preserve"> 300 μm mesh</w:t>
      </w:r>
      <w:r w:rsidR="00C224CA">
        <w:t xml:space="preserve">es; </w:t>
      </w:r>
      <w:hyperlink w:anchor="h.43ky6rz">
        <w:r>
          <w:t>Thiel 1983)</w:t>
        </w:r>
      </w:hyperlink>
      <w:r>
        <w:t>, although being considered meiobenthic animals they are often omitted from macrobenthic studies. Nevertheless, these large nematodes have sometimes been recorded in high densities (Giere, 2009). Specimens measuring up to 1</w:t>
      </w:r>
      <w:r w:rsidR="00C224CA">
        <w:t>0 m</w:t>
      </w:r>
      <w:r>
        <w:t xml:space="preserve">m in length were </w:t>
      </w:r>
      <w:r w:rsidR="00C224CA">
        <w:t>re</w:t>
      </w:r>
      <w:r w:rsidR="005003E0">
        <w:t>ported</w:t>
      </w:r>
      <w:r w:rsidR="00C224CA">
        <w:t xml:space="preserve"> from </w:t>
      </w:r>
      <w:r>
        <w:t>epibenthic sled</w:t>
      </w:r>
      <w:r w:rsidR="00C224CA">
        <w:t>ge</w:t>
      </w:r>
      <w:r>
        <w:t xml:space="preserve"> samples in the </w:t>
      </w:r>
      <w:r w:rsidR="00C224CA">
        <w:lastRenderedPageBreak/>
        <w:t xml:space="preserve">deep </w:t>
      </w:r>
      <w:r>
        <w:t>Rockall Trough, NE Atlantic (</w:t>
      </w:r>
      <w:hyperlink w:anchor="h.3as4poj">
        <w:r w:rsidR="00D52663">
          <w:t>Gage &amp; Tyler 1991)</w:t>
        </w:r>
      </w:hyperlink>
      <w:r>
        <w:t>, where they made up about half of the total number of macrofaunal animals</w:t>
      </w:r>
      <w:r w:rsidR="00D52663">
        <w:t xml:space="preserve"> collected</w:t>
      </w:r>
      <w:r>
        <w:t xml:space="preserve"> (</w:t>
      </w:r>
      <w:hyperlink w:anchor="h.qsh70q">
        <w:r>
          <w:t>Gage 1979)</w:t>
        </w:r>
      </w:hyperlink>
      <w:r>
        <w:t xml:space="preserve">. On </w:t>
      </w:r>
      <w:r w:rsidR="00D52663">
        <w:t>the</w:t>
      </w:r>
      <w:r>
        <w:t xml:space="preserve"> Goban Spur</w:t>
      </w:r>
      <w:r w:rsidR="00D52663">
        <w:t xml:space="preserve"> (NE Atlantic)</w:t>
      </w:r>
      <w:r>
        <w:t>, macrofaunal nematodes became relatively more important with increasing water depth, representing up to 20 % of total macrofaunal numbers at the deepest (4460 m)</w:t>
      </w:r>
      <w:r w:rsidR="00D52663">
        <w:t xml:space="preserve"> station sampled</w:t>
      </w:r>
      <w:r>
        <w:t xml:space="preserve"> (</w:t>
      </w:r>
      <w:hyperlink w:anchor="h.1ci93xb">
        <w:r>
          <w:t>Flach</w:t>
        </w:r>
      </w:hyperlink>
      <w:hyperlink w:anchor="h.1ci93xb">
        <w:r>
          <w:rPr>
            <w:i/>
          </w:rPr>
          <w:t xml:space="preserve"> et al.</w:t>
        </w:r>
      </w:hyperlink>
      <w:hyperlink w:anchor="h.1ci93xb">
        <w:r>
          <w:t xml:space="preserve"> 1999)</w:t>
        </w:r>
      </w:hyperlink>
      <w:r>
        <w:t xml:space="preserve">. In </w:t>
      </w:r>
      <w:r w:rsidR="00D52663">
        <w:t xml:space="preserve">studies of </w:t>
      </w:r>
      <w:r>
        <w:t xml:space="preserve">the abyssal Pacific, nematodes comprised around half of all animals retained on </w:t>
      </w:r>
      <w:r w:rsidR="00D52663">
        <w:t xml:space="preserve">300 </w:t>
      </w:r>
      <w:r>
        <w:t xml:space="preserve">μm </w:t>
      </w:r>
      <w:r w:rsidR="00D52663">
        <w:t xml:space="preserve">mesh sieves </w:t>
      </w:r>
      <w:r>
        <w:t>(</w:t>
      </w:r>
      <w:hyperlink w:anchor="h.vx1227">
        <w:r>
          <w:t xml:space="preserve">Hessler </w:t>
        </w:r>
        <w:r w:rsidR="00D52663">
          <w:t xml:space="preserve">&amp; </w:t>
        </w:r>
        <w:r>
          <w:t>Jumars 1974</w:t>
        </w:r>
      </w:hyperlink>
      <w:r w:rsidR="00D52663">
        <w:t>,</w:t>
      </w:r>
      <w:r w:rsidR="00221EF2">
        <w:t xml:space="preserve"> </w:t>
      </w:r>
      <w:hyperlink w:anchor="h.ihv636">
        <w:r>
          <w:t xml:space="preserve">Hecker </w:t>
        </w:r>
        <w:r w:rsidR="00D52663">
          <w:t>&amp;</w:t>
        </w:r>
        <w:r>
          <w:t>Paul 1979)</w:t>
        </w:r>
      </w:hyperlink>
      <w:r>
        <w:t xml:space="preserve">. </w:t>
      </w:r>
    </w:p>
    <w:p w14:paraId="39A4760F" w14:textId="745C27AC" w:rsidR="00F71C3E" w:rsidRDefault="00C4027B" w:rsidP="00CF5E54">
      <w:pPr>
        <w:spacing w:line="360" w:lineRule="auto"/>
        <w:ind w:firstLine="720"/>
      </w:pPr>
      <w:r>
        <w:t xml:space="preserve">Despite sometimes being considered as part of the macrofauna, these large nematodes are rarely identified taxonomically. One of the few such studies is that of </w:t>
      </w:r>
      <w:hyperlink w:anchor="h.25b2l0r">
        <w:r>
          <w:t>Sharma</w:t>
        </w:r>
      </w:hyperlink>
      <w:hyperlink w:anchor="h.25b2l0r">
        <w:r>
          <w:rPr>
            <w:i/>
          </w:rPr>
          <w:t xml:space="preserve"> et al.</w:t>
        </w:r>
      </w:hyperlink>
      <w:hyperlink w:anchor="h.25b2l0r">
        <w:r>
          <w:t xml:space="preserve"> (2011),</w:t>
        </w:r>
      </w:hyperlink>
      <w:r>
        <w:t xml:space="preserve"> who compared meio- and macrobenthic nematode assemblages from the deep Arctic (Canada Basin), Gulf of Mexico and the Bermuda slope</w:t>
      </w:r>
      <w:r w:rsidR="00D52663">
        <w:t>.</w:t>
      </w:r>
      <w:r>
        <w:t xml:space="preserve"> They concluded that the meio- and macrobenthic nematodes were distinct assemblages in terms of community structure, body size and functional </w:t>
      </w:r>
      <w:r w:rsidR="00D52663">
        <w:t xml:space="preserve">groups, </w:t>
      </w:r>
      <w:r>
        <w:t xml:space="preserve">and that large nematodes should be included in macrobenthic studies. The study by Baldrighi &amp; Manini (2015) of meio- and macrobenthic nematodes and polychaetes from six sites in the deep Mediterranean Sea reached a similar conclusion. Other studies that have identified macrofaunal nematodes to the species level are those of </w:t>
      </w:r>
      <w:hyperlink w:anchor="h.3ygebqi">
        <w:r>
          <w:t>Pavithran</w:t>
        </w:r>
      </w:hyperlink>
      <w:hyperlink w:anchor="h.3ygebqi">
        <w:r>
          <w:rPr>
            <w:i/>
          </w:rPr>
          <w:t xml:space="preserve"> et al.</w:t>
        </w:r>
      </w:hyperlink>
      <w:hyperlink w:anchor="h.3ygebqi">
        <w:r>
          <w:t xml:space="preserve"> (2009),</w:t>
        </w:r>
      </w:hyperlink>
      <w:r>
        <w:t xml:space="preserve"> </w:t>
      </w:r>
      <w:hyperlink w:anchor="h.2grqrue">
        <w:r>
          <w:t xml:space="preserve">Henry </w:t>
        </w:r>
        <w:r w:rsidR="00D52663">
          <w:t xml:space="preserve">&amp; </w:t>
        </w:r>
        <w:r>
          <w:t xml:space="preserve">Roberts (2007) </w:t>
        </w:r>
      </w:hyperlink>
      <w:r>
        <w:t xml:space="preserve">and </w:t>
      </w:r>
      <w:hyperlink w:anchor="h.3l18frh">
        <w:r>
          <w:t>Netto</w:t>
        </w:r>
      </w:hyperlink>
      <w:hyperlink w:anchor="h.3l18frh">
        <w:r>
          <w:rPr>
            <w:i/>
          </w:rPr>
          <w:t xml:space="preserve"> et al.</w:t>
        </w:r>
      </w:hyperlink>
      <w:hyperlink w:anchor="h.3l18frh">
        <w:r>
          <w:t xml:space="preserve"> (1999).</w:t>
        </w:r>
      </w:hyperlink>
    </w:p>
    <w:p w14:paraId="1F8D710D" w14:textId="5BD3E49E" w:rsidR="00100BAE" w:rsidRDefault="00C4027B" w:rsidP="00CF5E54">
      <w:pPr>
        <w:spacing w:line="360" w:lineRule="auto"/>
        <w:ind w:firstLine="720"/>
      </w:pPr>
      <w:r>
        <w:t xml:space="preserve">In a previous paper (Gunton </w:t>
      </w:r>
      <w:r>
        <w:rPr>
          <w:i/>
        </w:rPr>
        <w:t>et al.</w:t>
      </w:r>
      <w:r>
        <w:t xml:space="preserve"> 2015</w:t>
      </w:r>
      <w:r w:rsidR="009C16B7">
        <w:t>a</w:t>
      </w:r>
      <w:r>
        <w:t xml:space="preserve">), we described the polychaete family-level assemblage composition and structure at sites located at 3500 m water depth in the Whittard Canyon </w:t>
      </w:r>
      <w:r w:rsidR="006A6432">
        <w:t>system</w:t>
      </w:r>
      <w:r>
        <w:t xml:space="preserve"> and on the </w:t>
      </w:r>
      <w:r w:rsidR="006A6432">
        <w:t xml:space="preserve">continental </w:t>
      </w:r>
      <w:r>
        <w:t xml:space="preserve">slope </w:t>
      </w:r>
      <w:r w:rsidR="006A6432">
        <w:t>adjacent to</w:t>
      </w:r>
      <w:r>
        <w:t xml:space="preserve"> the canyon. </w:t>
      </w:r>
      <w:r w:rsidR="00842BC0">
        <w:t>Here</w:t>
      </w:r>
      <w:r>
        <w:t>, we focus on the community structure and functional traits of large nematodes from the same samples</w:t>
      </w:r>
      <w:r w:rsidR="006A6432">
        <w:t xml:space="preserve"> (&gt; 500 μm </w:t>
      </w:r>
      <w:r w:rsidR="00B92AF6">
        <w:t>fraction</w:t>
      </w:r>
      <w:r w:rsidR="006A6432">
        <w:t>)</w:t>
      </w:r>
      <w:r>
        <w:t xml:space="preserve">. Submarine canyons are conduits for </w:t>
      </w:r>
      <w:r w:rsidR="006A6432">
        <w:t xml:space="preserve">the transport of </w:t>
      </w:r>
      <w:r>
        <w:t>organic matter and sediment</w:t>
      </w:r>
      <w:r w:rsidR="006A6432">
        <w:t>s,</w:t>
      </w:r>
      <w:r>
        <w:t xml:space="preserve"> and often harbour an increased density of macrofauna (</w:t>
      </w:r>
      <w:hyperlink w:anchor="h.3vac5uf">
        <w:r>
          <w:t xml:space="preserve">Vetter </w:t>
        </w:r>
        <w:r w:rsidR="006A6432">
          <w:t xml:space="preserve">&amp; </w:t>
        </w:r>
        <w:r>
          <w:t>Dayton 1998)</w:t>
        </w:r>
      </w:hyperlink>
      <w:r>
        <w:t xml:space="preserve"> and meiofauna (</w:t>
      </w:r>
      <w:hyperlink w:anchor="h.28h4qwu">
        <w:r>
          <w:t>Ingels</w:t>
        </w:r>
      </w:hyperlink>
      <w:hyperlink w:anchor="h.28h4qwu">
        <w:r>
          <w:rPr>
            <w:i/>
          </w:rPr>
          <w:t xml:space="preserve"> et al.</w:t>
        </w:r>
      </w:hyperlink>
      <w:hyperlink w:anchor="h.28h4qwu">
        <w:r>
          <w:t xml:space="preserve"> 2011c)</w:t>
        </w:r>
      </w:hyperlink>
      <w:r>
        <w:t xml:space="preserve">. There are differences in </w:t>
      </w:r>
      <w:r w:rsidR="006A6432">
        <w:t xml:space="preserve">the </w:t>
      </w:r>
      <w:r>
        <w:t>environmental conditions</w:t>
      </w:r>
      <w:r w:rsidR="006A6432">
        <w:t xml:space="preserve"> of the main </w:t>
      </w:r>
      <w:r>
        <w:t xml:space="preserve">branches of the Whittard Canyon and the adjacent slope. Sediments inside the canyon are organically enriched compared with the slope (Duineveld </w:t>
      </w:r>
      <w:r w:rsidRPr="00390D33">
        <w:rPr>
          <w:i/>
        </w:rPr>
        <w:t>et al.</w:t>
      </w:r>
      <w:r>
        <w:t xml:space="preserve"> 2001), </w:t>
      </w:r>
      <w:r w:rsidR="00D8554A">
        <w:t xml:space="preserve">and </w:t>
      </w:r>
      <w:r>
        <w:t>bathymet</w:t>
      </w:r>
      <w:r w:rsidR="006A6432">
        <w:t>ric</w:t>
      </w:r>
      <w:r>
        <w:t xml:space="preserve"> derivatives (e.g. Bathymetric Position Index, slope angle</w:t>
      </w:r>
      <w:r w:rsidR="006A6432">
        <w:t>,</w:t>
      </w:r>
      <w:r>
        <w:t xml:space="preserve"> and rugosity) differ between branches (Gunton </w:t>
      </w:r>
      <w:r>
        <w:rPr>
          <w:i/>
        </w:rPr>
        <w:t>et al.</w:t>
      </w:r>
      <w:r>
        <w:t xml:space="preserve"> 2015</w:t>
      </w:r>
      <w:r w:rsidR="009C16B7">
        <w:t>a</w:t>
      </w:r>
      <w:r>
        <w:t xml:space="preserve">). </w:t>
      </w:r>
      <w:r w:rsidR="00100BAE">
        <w:t>B</w:t>
      </w:r>
      <w:r>
        <w:t>enthic community composition also differs between the branches of the Whittard Canyon and adjacent slope (</w:t>
      </w:r>
      <w:r w:rsidR="002A4151">
        <w:t xml:space="preserve">Amaro </w:t>
      </w:r>
      <w:r w:rsidR="002A4151" w:rsidRPr="00CF5E54">
        <w:rPr>
          <w:i/>
        </w:rPr>
        <w:t>et al.</w:t>
      </w:r>
      <w:r w:rsidR="002A4151">
        <w:t xml:space="preserve"> 2016; </w:t>
      </w:r>
      <w:hyperlink w:anchor="h.4i7ojhp">
        <w:r>
          <w:t>Duineveld</w:t>
        </w:r>
      </w:hyperlink>
      <w:hyperlink w:anchor="h.4i7ojhp">
        <w:r>
          <w:rPr>
            <w:i/>
          </w:rPr>
          <w:t xml:space="preserve"> et al.</w:t>
        </w:r>
      </w:hyperlink>
      <w:hyperlink w:anchor="h.4i7ojhp">
        <w:r>
          <w:t xml:space="preserve"> 2001;</w:t>
        </w:r>
      </w:hyperlink>
      <w:r>
        <w:t xml:space="preserve"> </w:t>
      </w:r>
      <w:hyperlink w:anchor="h.2xcytpi">
        <w:r>
          <w:t>Duros</w:t>
        </w:r>
      </w:hyperlink>
      <w:hyperlink w:anchor="h.2xcytpi">
        <w:r>
          <w:rPr>
            <w:i/>
          </w:rPr>
          <w:t xml:space="preserve"> et al.</w:t>
        </w:r>
      </w:hyperlink>
      <w:hyperlink w:anchor="h.2xcytpi">
        <w:r>
          <w:t xml:space="preserve"> 2011;</w:t>
        </w:r>
      </w:hyperlink>
      <w:r>
        <w:t xml:space="preserve"> </w:t>
      </w:r>
      <w:hyperlink w:anchor="h.3o7alnk">
        <w:r>
          <w:t>Gunton</w:t>
        </w:r>
      </w:hyperlink>
      <w:hyperlink w:anchor="h.3o7alnk">
        <w:r>
          <w:rPr>
            <w:i/>
          </w:rPr>
          <w:t xml:space="preserve"> et al.</w:t>
        </w:r>
      </w:hyperlink>
      <w:hyperlink w:anchor="h.3o7alnk">
        <w:r>
          <w:t xml:space="preserve"> 2015</w:t>
        </w:r>
        <w:r w:rsidR="009C16B7">
          <w:t>a,b</w:t>
        </w:r>
        <w:r>
          <w:t>)</w:t>
        </w:r>
      </w:hyperlink>
      <w:r>
        <w:t xml:space="preserve">. </w:t>
      </w:r>
    </w:p>
    <w:p w14:paraId="7551EE12" w14:textId="6D785834" w:rsidR="00F71C3E" w:rsidRDefault="00100BAE" w:rsidP="00CF5E54">
      <w:pPr>
        <w:spacing w:line="360" w:lineRule="auto"/>
        <w:ind w:firstLine="720"/>
      </w:pPr>
      <w:r>
        <w:t>The</w:t>
      </w:r>
      <w:r w:rsidR="00C4027B">
        <w:t xml:space="preserve"> objectives of the present study</w:t>
      </w:r>
      <w:r>
        <w:t xml:space="preserve"> were therefore as follows:</w:t>
      </w:r>
      <w:r w:rsidR="00C4027B">
        <w:t xml:space="preserve"> 1)</w:t>
      </w:r>
      <w:r w:rsidR="009272B5">
        <w:t xml:space="preserve"> </w:t>
      </w:r>
      <w:r w:rsidR="00C4027B">
        <w:t xml:space="preserve">describe the </w:t>
      </w:r>
      <w:r>
        <w:t xml:space="preserve">standing stock, genus-level composition and </w:t>
      </w:r>
      <w:r w:rsidR="00C4027B">
        <w:t>diversity</w:t>
      </w:r>
      <w:r w:rsidR="00FC21F3">
        <w:t>,</w:t>
      </w:r>
      <w:r w:rsidR="00C4027B">
        <w:t xml:space="preserve"> </w:t>
      </w:r>
      <w:r>
        <w:t xml:space="preserve">and functional group </w:t>
      </w:r>
      <w:r>
        <w:lastRenderedPageBreak/>
        <w:t xml:space="preserve">composition of macrofaunal nematode assemblages; </w:t>
      </w:r>
      <w:r w:rsidR="009272B5">
        <w:t>2</w:t>
      </w:r>
      <w:r w:rsidR="00C4027B">
        <w:t>) compare th</w:t>
      </w:r>
      <w:r w:rsidR="00B92AF6">
        <w:t>e</w:t>
      </w:r>
      <w:r>
        <w:t>se parameters among study locations (slope, and canyon branches) for the macrofaunal nematode assemblage</w:t>
      </w:r>
      <w:r w:rsidR="00B92AF6">
        <w:t>;</w:t>
      </w:r>
      <w:r>
        <w:t xml:space="preserve"> and </w:t>
      </w:r>
      <w:r w:rsidR="00B92AF6">
        <w:t xml:space="preserve">3) </w:t>
      </w:r>
      <w:r>
        <w:t>contrast them with comparable measures of the corresponding polychaete assemblages as recorded for the same samples.</w:t>
      </w:r>
    </w:p>
    <w:p w14:paraId="63271376" w14:textId="77777777" w:rsidR="00F71C3E" w:rsidRDefault="00C4027B">
      <w:pPr>
        <w:pStyle w:val="Heading1"/>
      </w:pPr>
      <w:r>
        <w:t>2. Material and Methods</w:t>
      </w:r>
    </w:p>
    <w:p w14:paraId="6D22777F" w14:textId="3CDCA2A6" w:rsidR="00F71C3E" w:rsidRDefault="00C4027B" w:rsidP="00CF5E54">
      <w:pPr>
        <w:pStyle w:val="Heading2"/>
        <w:spacing w:line="360" w:lineRule="auto"/>
      </w:pPr>
      <w:r>
        <w:t>2.1 Sampling</w:t>
      </w:r>
    </w:p>
    <w:p w14:paraId="173B92EE" w14:textId="6E9C7ED1" w:rsidR="00081E17" w:rsidRDefault="00C4027B" w:rsidP="00CF5E54">
      <w:pPr>
        <w:spacing w:line="360" w:lineRule="auto"/>
        <w:rPr>
          <w:color w:val="3366FF"/>
        </w:rPr>
      </w:pPr>
      <w:r>
        <w:t xml:space="preserve">Sediment cores for macrofauna were collected using a Megacorer </w:t>
      </w:r>
      <w:r w:rsidR="00F14C13">
        <w:t xml:space="preserve">(Gage &amp; Bett, 2005) </w:t>
      </w:r>
      <w:r>
        <w:t xml:space="preserve">from three sites inside the Whittard </w:t>
      </w:r>
      <w:r w:rsidR="00F14C13">
        <w:t xml:space="preserve">Canyon system </w:t>
      </w:r>
      <w:r>
        <w:t xml:space="preserve">and one site on the adjacent </w:t>
      </w:r>
      <w:r w:rsidR="00F14C13">
        <w:t xml:space="preserve">continental </w:t>
      </w:r>
      <w:r>
        <w:t xml:space="preserve">slope </w:t>
      </w:r>
      <w:r w:rsidR="00F14C13">
        <w:t xml:space="preserve">(Fig. 1) </w:t>
      </w:r>
      <w:r>
        <w:t xml:space="preserve">during the RRS </w:t>
      </w:r>
      <w:r>
        <w:rPr>
          <w:i/>
        </w:rPr>
        <w:t xml:space="preserve">James Cook </w:t>
      </w:r>
      <w:r>
        <w:t>cruise 036 in June and July 2009</w:t>
      </w:r>
      <w:r w:rsidR="00F14C13">
        <w:t xml:space="preserve"> (Masson 2009)</w:t>
      </w:r>
      <w:r>
        <w:t>. Samples were taken from 22 deployments</w:t>
      </w:r>
      <w:r w:rsidR="00F14C13">
        <w:t>,</w:t>
      </w:r>
      <w:r>
        <w:t xml:space="preserve"> all located at a depth of around 3500 m</w:t>
      </w:r>
      <w:r w:rsidR="00F14C13">
        <w:t xml:space="preserve"> (Table 1)</w:t>
      </w:r>
      <w:r>
        <w:t>. In general, the Megacore</w:t>
      </w:r>
      <w:r w:rsidR="00F14C13">
        <w:t>r</w:t>
      </w:r>
      <w:r>
        <w:t xml:space="preserve"> was fitted with eight large core tubes (100 mm internal diameter). Five deployments were </w:t>
      </w:r>
      <w:r w:rsidR="00F14C13">
        <w:t>carried out at the Slope and</w:t>
      </w:r>
      <w:r>
        <w:t xml:space="preserve"> Western branch</w:t>
      </w:r>
      <w:r w:rsidR="00F14C13">
        <w:t xml:space="preserve"> locations</w:t>
      </w:r>
      <w:r>
        <w:t xml:space="preserve">, </w:t>
      </w:r>
      <w:r w:rsidR="00F14C13">
        <w:t xml:space="preserve">and </w:t>
      </w:r>
      <w:r>
        <w:t xml:space="preserve">six </w:t>
      </w:r>
      <w:r w:rsidR="00F14C13">
        <w:t xml:space="preserve">at </w:t>
      </w:r>
      <w:r>
        <w:t xml:space="preserve">the Central branch and Eastern branch </w:t>
      </w:r>
      <w:r w:rsidR="00F14C13">
        <w:t xml:space="preserve">locations (the </w:t>
      </w:r>
      <w:r>
        <w:t>additional deployment</w:t>
      </w:r>
      <w:r w:rsidR="00F14C13">
        <w:t xml:space="preserve">s at </w:t>
      </w:r>
      <w:r>
        <w:t>Central and Eastern</w:t>
      </w:r>
      <w:r w:rsidR="00F14C13">
        <w:t xml:space="preserve"> sites represented </w:t>
      </w:r>
      <w:r w:rsidR="000E46F6">
        <w:t xml:space="preserve">repeats to improve sample size; see Table 1). The environmental characteristics of each study location are detailed in Gunton </w:t>
      </w:r>
      <w:r w:rsidR="000E46F6" w:rsidRPr="00CF5E54">
        <w:rPr>
          <w:i/>
        </w:rPr>
        <w:t>et al.</w:t>
      </w:r>
      <w:r w:rsidR="000E46F6">
        <w:t xml:space="preserve"> (2015a) and summarised here as in Table 2. Briefly, locations were selected to target a common depth (c. 3500 m), seabed slope angle was 1° at Slope and 3° at canyon locations, mean sediment grain size was 72 μm at Slope and 30 μm at canyon locations, sediment mud content was 73 % at Slope and 88 % at canyon locations, total macrofaunal density (</w:t>
      </w:r>
      <w:r w:rsidR="000E46F6" w:rsidRPr="00A41FE8">
        <w:rPr>
          <w:i/>
        </w:rPr>
        <w:t>sensu stricto</w:t>
      </w:r>
      <w:r w:rsidR="000E46F6">
        <w:t xml:space="preserve"> &gt; 300 μm) increased from west to east in the canyon branches.</w:t>
      </w:r>
      <w:r w:rsidR="00874684">
        <w:rPr>
          <w:color w:val="3366FF"/>
        </w:rPr>
        <w:t xml:space="preserve"> </w:t>
      </w:r>
    </w:p>
    <w:p w14:paraId="1FFCE7C5" w14:textId="65875B92" w:rsidR="00F71C3E" w:rsidRDefault="00C4027B" w:rsidP="00CF5E54">
      <w:pPr>
        <w:spacing w:line="360" w:lineRule="auto"/>
        <w:ind w:firstLine="720"/>
      </w:pPr>
      <w:r>
        <w:t xml:space="preserve">On deck, all the cores from </w:t>
      </w:r>
      <w:r w:rsidR="000E46F6">
        <w:t xml:space="preserve">a </w:t>
      </w:r>
      <w:r>
        <w:t xml:space="preserve">Megacorer deployment were </w:t>
      </w:r>
      <w:r w:rsidR="00A41FE8">
        <w:t>sliced</w:t>
      </w:r>
      <w:r>
        <w:t xml:space="preserve"> into five sediment layers (0-1, 1-3, 3-5, 5-10 and 10-15 cm) and each</w:t>
      </w:r>
      <w:r w:rsidR="00390D33">
        <w:t xml:space="preserve"> </w:t>
      </w:r>
      <w:r w:rsidR="00A41FE8">
        <w:t xml:space="preserve">layer </w:t>
      </w:r>
      <w:r>
        <w:t>sieved</w:t>
      </w:r>
      <w:r w:rsidR="000E46F6">
        <w:t>,</w:t>
      </w:r>
      <w:r>
        <w:t xml:space="preserve"> using filtered </w:t>
      </w:r>
      <w:r w:rsidR="000E46F6">
        <w:t xml:space="preserve">seawater, through </w:t>
      </w:r>
      <w:r>
        <w:t>500 and 300</w:t>
      </w:r>
      <w:r w:rsidR="000E46F6">
        <w:t xml:space="preserve"> </w:t>
      </w:r>
      <w:r>
        <w:rPr>
          <w:rFonts w:ascii="Cambria" w:eastAsia="Cambria" w:hAnsi="Cambria" w:cs="Cambria"/>
        </w:rPr>
        <w:t>μ</w:t>
      </w:r>
      <w:r w:rsidR="00A41FE8">
        <w:t>m mesh screen</w:t>
      </w:r>
      <w:r>
        <w:t>s. For each deployment, all of the 500</w:t>
      </w:r>
      <w:r w:rsidR="000E46F6">
        <w:t xml:space="preserve"> </w:t>
      </w:r>
      <w:r>
        <w:rPr>
          <w:rFonts w:ascii="Cambria" w:eastAsia="Cambria" w:hAnsi="Cambria" w:cs="Cambria"/>
        </w:rPr>
        <w:t>μ</w:t>
      </w:r>
      <w:r>
        <w:t>m sieve residues from one layer were combined into a single residue and the same procedure performed for the 300-500</w:t>
      </w:r>
      <w:r w:rsidR="000E46F6">
        <w:t xml:space="preserve"> </w:t>
      </w:r>
      <w:r>
        <w:rPr>
          <w:rFonts w:ascii="Cambria" w:eastAsia="Cambria" w:hAnsi="Cambria" w:cs="Cambria"/>
        </w:rPr>
        <w:t>μ</w:t>
      </w:r>
      <w:r>
        <w:t xml:space="preserve">m fraction. Thus, each deployment yielded ten sieve residues (five &gt; 500 </w:t>
      </w:r>
      <w:r>
        <w:rPr>
          <w:rFonts w:ascii="Cambria" w:eastAsia="Cambria" w:hAnsi="Cambria" w:cs="Cambria"/>
        </w:rPr>
        <w:t>μ</w:t>
      </w:r>
      <w:r>
        <w:t xml:space="preserve">m and five 300-500 </w:t>
      </w:r>
      <w:r>
        <w:rPr>
          <w:rFonts w:ascii="Cambria" w:eastAsia="Cambria" w:hAnsi="Cambria" w:cs="Cambria"/>
        </w:rPr>
        <w:t>μ</w:t>
      </w:r>
      <w:r>
        <w:t xml:space="preserve">m). Samples were fixed with 10 % borax-buffered formalin. See Gunton </w:t>
      </w:r>
      <w:r w:rsidRPr="00390D33">
        <w:rPr>
          <w:i/>
        </w:rPr>
        <w:t>et al.</w:t>
      </w:r>
      <w:r>
        <w:t xml:space="preserve"> (2015</w:t>
      </w:r>
      <w:r w:rsidR="009C16B7">
        <w:t>a</w:t>
      </w:r>
      <w:r>
        <w:t>) for further details of Megacore</w:t>
      </w:r>
      <w:r w:rsidR="000E46F6">
        <w:t>r</w:t>
      </w:r>
      <w:r>
        <w:t xml:space="preserve"> sample processing and preservation. For this study, only the pooled top </w:t>
      </w:r>
      <w:r w:rsidR="000E46F6">
        <w:t xml:space="preserve">three </w:t>
      </w:r>
      <w:r>
        <w:t xml:space="preserve">layers (0-5 cm) </w:t>
      </w:r>
      <w:r w:rsidR="000E46F6">
        <w:t>from the</w:t>
      </w:r>
      <w:r>
        <w:t xml:space="preserve"> </w:t>
      </w:r>
      <w:r w:rsidR="00A41FE8">
        <w:t xml:space="preserve">&gt; </w:t>
      </w:r>
      <w:r>
        <w:t>500</w:t>
      </w:r>
      <w:r w:rsidR="000E46F6">
        <w:t xml:space="preserve"> </w:t>
      </w:r>
      <w:r>
        <w:rPr>
          <w:rFonts w:ascii="Cambria" w:eastAsia="Cambria" w:hAnsi="Cambria" w:cs="Cambria"/>
        </w:rPr>
        <w:t>μ</w:t>
      </w:r>
      <w:r>
        <w:t xml:space="preserve">m </w:t>
      </w:r>
      <w:r w:rsidR="000E46F6">
        <w:t>residues</w:t>
      </w:r>
      <w:r>
        <w:t xml:space="preserve"> were analysed.</w:t>
      </w:r>
    </w:p>
    <w:p w14:paraId="445426F7" w14:textId="14D0F005" w:rsidR="00F71C3E" w:rsidRDefault="00C4027B" w:rsidP="00CF5E54">
      <w:pPr>
        <w:pStyle w:val="Heading2"/>
        <w:spacing w:line="360" w:lineRule="auto"/>
      </w:pPr>
      <w:r>
        <w:lastRenderedPageBreak/>
        <w:t xml:space="preserve">2.2 Macrofaunal </w:t>
      </w:r>
      <w:r w:rsidR="000E46F6">
        <w:t>Specimen</w:t>
      </w:r>
      <w:r>
        <w:t xml:space="preserve"> identification</w:t>
      </w:r>
    </w:p>
    <w:p w14:paraId="02701A40" w14:textId="3B96A340" w:rsidR="00F71C3E" w:rsidRDefault="00C4027B" w:rsidP="00CF5E54">
      <w:pPr>
        <w:spacing w:line="360" w:lineRule="auto"/>
      </w:pPr>
      <w:r>
        <w:t xml:space="preserve">In the laboratory, </w:t>
      </w:r>
      <w:r w:rsidR="006F7AA1">
        <w:t xml:space="preserve">samples </w:t>
      </w:r>
      <w:r>
        <w:t>were transferred from formalin onto a 300</w:t>
      </w:r>
      <w:r w:rsidR="006F7AA1">
        <w:t xml:space="preserve"> </w:t>
      </w:r>
      <w:r>
        <w:t>μm mesh sieve, rinsed with fresh water</w:t>
      </w:r>
      <w:r w:rsidR="006F7AA1">
        <w:t>,</w:t>
      </w:r>
      <w:r>
        <w:t xml:space="preserve"> and sorted in 70 % ethanol. All nematodes were picked out under a stereomicroscope, transferred to glycerine (</w:t>
      </w:r>
      <w:hyperlink w:anchor="h.3q5sasy">
        <w:r>
          <w:t>Seinhorst 1959)</w:t>
        </w:r>
      </w:hyperlink>
      <w:r>
        <w:t xml:space="preserve">, mounted on glass slides under cover slips sealed with paraffin wax, and identified to genus level using the pictorial key of </w:t>
      </w:r>
      <w:hyperlink w:anchor="h.1302m92">
        <w:r>
          <w:t>Warwick</w:t>
        </w:r>
      </w:hyperlink>
      <w:hyperlink w:anchor="h.1302m92">
        <w:r>
          <w:rPr>
            <w:i/>
          </w:rPr>
          <w:t xml:space="preserve"> et al.</w:t>
        </w:r>
      </w:hyperlink>
      <w:hyperlink w:anchor="h.1302m92">
        <w:r>
          <w:t xml:space="preserve"> </w:t>
        </w:r>
        <w:r w:rsidR="00B6769B">
          <w:t>(</w:t>
        </w:r>
        <w:r>
          <w:t>1998)</w:t>
        </w:r>
      </w:hyperlink>
      <w:r>
        <w:t xml:space="preserve">. </w:t>
      </w:r>
      <w:r w:rsidR="006F7AA1">
        <w:t xml:space="preserve">The body lengths of nematode specimens (excluding filiform </w:t>
      </w:r>
      <w:r w:rsidR="008021D5">
        <w:t>tail when present) and their maximal body widths were measured using and Olympus BX 51 microscope, a Nixon Coolpix 500 camera and ImageJ software</w:t>
      </w:r>
      <w:r w:rsidR="00F3210A">
        <w:t xml:space="preserve"> (Schneider </w:t>
      </w:r>
      <w:r w:rsidR="00F3210A" w:rsidRPr="00CF5E54">
        <w:rPr>
          <w:i/>
        </w:rPr>
        <w:t>et al.</w:t>
      </w:r>
      <w:r w:rsidR="00F3210A">
        <w:t xml:space="preserve"> 2012). Nematode wet weight was then estimated using the formula provided by Andrassy (1956). Polychaete identification was as detailed by </w:t>
      </w:r>
      <w:r w:rsidR="00F3210A">
        <w:rPr>
          <w:lang w:val="en-US"/>
        </w:rPr>
        <w:t xml:space="preserve">Gunton </w:t>
      </w:r>
      <w:r w:rsidR="00F3210A" w:rsidRPr="00C716C3">
        <w:rPr>
          <w:i/>
          <w:lang w:val="en-US"/>
        </w:rPr>
        <w:t>et al.</w:t>
      </w:r>
      <w:r w:rsidR="00F3210A">
        <w:rPr>
          <w:lang w:val="en-US"/>
        </w:rPr>
        <w:t xml:space="preserve"> (2015b), with the resultant species-level data aggregated to genus-level for the comparisons reported here.</w:t>
      </w:r>
    </w:p>
    <w:p w14:paraId="54E6F812" w14:textId="6058B188" w:rsidR="00F71C3E" w:rsidRDefault="00C4027B" w:rsidP="00CF5E54">
      <w:pPr>
        <w:pStyle w:val="Heading2"/>
        <w:spacing w:line="360" w:lineRule="auto"/>
      </w:pPr>
      <w:r>
        <w:t xml:space="preserve">2.3 </w:t>
      </w:r>
      <w:r w:rsidR="003E1C24">
        <w:t>Functional Groups Assessments</w:t>
      </w:r>
      <w:r>
        <w:t xml:space="preserve"> </w:t>
      </w:r>
    </w:p>
    <w:p w14:paraId="6557811F" w14:textId="16234583" w:rsidR="003E1C24" w:rsidRDefault="003E1C24" w:rsidP="00CF5E54">
      <w:pPr>
        <w:spacing w:line="360" w:lineRule="auto"/>
      </w:pPr>
      <w:r>
        <w:t>Individuals were assigned to four feeding groups based on buccal morphology (</w:t>
      </w:r>
      <w:hyperlink w:anchor="h.haapch">
        <w:r>
          <w:t>Wieser 1953)</w:t>
        </w:r>
      </w:hyperlink>
      <w:r w:rsidR="005033C0">
        <w:t xml:space="preserve">: buccal cavity </w:t>
      </w:r>
      <w:r>
        <w:t>absent or minimal - selective deposit feeders (1A); large but unarmed buccal cavity - non-selective deposit feeders (1B); buccal cavity with scraping tooth or teeth - epigrowth feeders (2A); buccal cavity with large jaws</w:t>
      </w:r>
      <w:r w:rsidR="005033C0">
        <w:t xml:space="preserve"> – omnivores / predators</w:t>
      </w:r>
      <w:r>
        <w:t xml:space="preserve"> (2B). The index of trophic diversity (ITD) was </w:t>
      </w:r>
      <w:r w:rsidR="005033C0">
        <w:t>then calculated as ITD = sum[</w:t>
      </w:r>
      <w:r>
        <w:t>Ø</w:t>
      </w:r>
      <w:r>
        <w:rPr>
          <w:vertAlign w:val="superscript"/>
        </w:rPr>
        <w:t>2</w:t>
      </w:r>
      <w:r w:rsidR="005033C0">
        <w:t>],</w:t>
      </w:r>
      <w:r>
        <w:t xml:space="preserve"> wher</w:t>
      </w:r>
      <w:r w:rsidR="005033C0">
        <w:t>e Ø is the proportional representation</w:t>
      </w:r>
      <w:r>
        <w:t xml:space="preserve"> of each trophic group (</w:t>
      </w:r>
      <w:hyperlink w:anchor="h.32hioqz">
        <w:r>
          <w:t>Heip</w:t>
        </w:r>
      </w:hyperlink>
      <w:hyperlink w:anchor="h.32hioqz">
        <w:r>
          <w:rPr>
            <w:i/>
          </w:rPr>
          <w:t xml:space="preserve"> et al.</w:t>
        </w:r>
      </w:hyperlink>
      <w:hyperlink w:anchor="h.32hioqz">
        <w:r>
          <w:t xml:space="preserve"> 1998)</w:t>
        </w:r>
      </w:hyperlink>
      <w:r>
        <w:t xml:space="preserve">. </w:t>
      </w:r>
      <w:r w:rsidR="005033C0">
        <w:t xml:space="preserve">Nematodes were also classified on the ‘coloniser to persister’ scale of </w:t>
      </w:r>
      <w:hyperlink w:anchor="h.35nkun2">
        <w:r>
          <w:t>Bongers</w:t>
        </w:r>
      </w:hyperlink>
      <w:hyperlink w:anchor="h.35nkun2">
        <w:r>
          <w:rPr>
            <w:i/>
          </w:rPr>
          <w:t xml:space="preserve"> et al.</w:t>
        </w:r>
      </w:hyperlink>
      <w:hyperlink w:anchor="h.35nkun2">
        <w:r>
          <w:t xml:space="preserve"> (1991,</w:t>
        </w:r>
        <w:r w:rsidR="005033C0">
          <w:t xml:space="preserve"> 1995), and the</w:t>
        </w:r>
      </w:hyperlink>
      <w:r>
        <w:t xml:space="preserve"> maturity index (MI) calculated </w:t>
      </w:r>
      <w:r w:rsidR="005033C0">
        <w:t xml:space="preserve">as </w:t>
      </w:r>
      <w:r>
        <w:t>MI</w:t>
      </w:r>
      <w:r w:rsidR="005033C0">
        <w:t xml:space="preserve"> </w:t>
      </w:r>
      <w:r>
        <w:t>=</w:t>
      </w:r>
      <w:r w:rsidR="005033C0">
        <w:t xml:space="preserve"> sum[</w:t>
      </w:r>
      <w:r w:rsidR="005033C0" w:rsidRPr="00CF5E54">
        <w:rPr>
          <w:i/>
        </w:rPr>
        <w:t>y</w:t>
      </w:r>
      <w:r>
        <w:rPr>
          <w:i/>
        </w:rPr>
        <w:t>(i)</w:t>
      </w:r>
      <w:r w:rsidR="005033C0">
        <w:rPr>
          <w:i/>
        </w:rPr>
        <w:t>*</w:t>
      </w:r>
      <w:r>
        <w:rPr>
          <w:i/>
        </w:rPr>
        <w:t>f(i)</w:t>
      </w:r>
      <w:r w:rsidR="005033C0" w:rsidRPr="00CF5E54">
        <w:t>]</w:t>
      </w:r>
      <w:r>
        <w:rPr>
          <w:i/>
        </w:rPr>
        <w:t>,</w:t>
      </w:r>
      <w:r>
        <w:t xml:space="preserve">where </w:t>
      </w:r>
      <w:r>
        <w:rPr>
          <w:i/>
        </w:rPr>
        <w:t>v(i)</w:t>
      </w:r>
      <w:r w:rsidR="005033C0">
        <w:t xml:space="preserve"> is the c-p value of the taxon and</w:t>
      </w:r>
      <w:r>
        <w:t xml:space="preserve"> </w:t>
      </w:r>
      <w:r>
        <w:rPr>
          <w:i/>
        </w:rPr>
        <w:t>f(i)</w:t>
      </w:r>
      <w:r>
        <w:t xml:space="preserve"> is the </w:t>
      </w:r>
      <w:r w:rsidR="005033C0">
        <w:t xml:space="preserve">relative </w:t>
      </w:r>
      <w:r>
        <w:t xml:space="preserve">frequency of the taxon. </w:t>
      </w:r>
      <w:r w:rsidR="005033C0">
        <w:t>Finally, nematodes were classified by tail shape</w:t>
      </w:r>
      <w:r w:rsidR="004971A8">
        <w:t>, thought to be important in locomotion, feeding and reproduction</w:t>
      </w:r>
      <w:r w:rsidR="005033C0">
        <w:t xml:space="preserve"> (see Thistle &amp; Sherman 1985), into f</w:t>
      </w:r>
      <w:r>
        <w:t xml:space="preserve">our groups based on the scheme of </w:t>
      </w:r>
      <w:hyperlink w:anchor="h.2iq8gzs">
        <w:r>
          <w:t>Thistle</w:t>
        </w:r>
      </w:hyperlink>
      <w:hyperlink w:anchor="h.2iq8gzs">
        <w:r>
          <w:rPr>
            <w:i/>
          </w:rPr>
          <w:t xml:space="preserve"> et al.</w:t>
        </w:r>
      </w:hyperlink>
      <w:r w:rsidR="005033C0">
        <w:t xml:space="preserve"> (1995):</w:t>
      </w:r>
      <w:r>
        <w:t xml:space="preserve"> type 1, “rounded” tails with a blunt end; type 2, “clavate-conicocylindrical” tails, initially conical with an extension to the tip; type 3, “conical” tails with a pointed tip and tail length less than five body widths</w:t>
      </w:r>
      <w:r w:rsidR="005033C0">
        <w:t>;</w:t>
      </w:r>
      <w:r>
        <w:t xml:space="preserve"> and type 4, “long”, a tail longer than five body widths.</w:t>
      </w:r>
    </w:p>
    <w:p w14:paraId="428F20D3" w14:textId="41214867" w:rsidR="00E36411" w:rsidRDefault="005033C0" w:rsidP="00CF5E54">
      <w:pPr>
        <w:spacing w:line="360" w:lineRule="auto"/>
        <w:ind w:firstLine="720"/>
      </w:pPr>
      <w:r>
        <w:t>Polychaete</w:t>
      </w:r>
      <w:r w:rsidR="00221EF2">
        <w:t>s</w:t>
      </w:r>
      <w:r>
        <w:t xml:space="preserve"> </w:t>
      </w:r>
      <w:r w:rsidR="00DC1B9B">
        <w:t xml:space="preserve">were similarly classified into feeding groups using the scheme proposed by </w:t>
      </w:r>
      <w:hyperlink w:anchor="h.37m2jsg">
        <w:r>
          <w:t>Jumars</w:t>
        </w:r>
      </w:hyperlink>
      <w:hyperlink w:anchor="h.37m2jsg">
        <w:r>
          <w:rPr>
            <w:i/>
          </w:rPr>
          <w:t xml:space="preserve"> et al.</w:t>
        </w:r>
      </w:hyperlink>
      <w:hyperlink w:anchor="h.37m2jsg">
        <w:r>
          <w:t xml:space="preserve"> (2015)</w:t>
        </w:r>
        <w:r w:rsidR="00DC1B9B">
          <w:t>:</w:t>
        </w:r>
        <w:r>
          <w:t xml:space="preserve"> </w:t>
        </w:r>
      </w:hyperlink>
      <w:r w:rsidR="00DC1B9B">
        <w:t xml:space="preserve">microphagous (feeding on small particles), macrophagous (feeding on larger items), omnivorous (simultaneously feeding on more than one type of food). We also followed </w:t>
      </w:r>
      <w:hyperlink w:anchor="h.37m2jsg">
        <w:r w:rsidR="00DC1B9B">
          <w:t>Jumars</w:t>
        </w:r>
      </w:hyperlink>
      <w:hyperlink w:anchor="h.37m2jsg">
        <w:r w:rsidR="00DC1B9B">
          <w:rPr>
            <w:i/>
          </w:rPr>
          <w:t xml:space="preserve"> et al.</w:t>
        </w:r>
      </w:hyperlink>
      <w:hyperlink w:anchor="h.37m2jsg">
        <w:r w:rsidR="00DC1B9B">
          <w:t xml:space="preserve"> (</w:t>
        </w:r>
        <w:r w:rsidR="00DC1B9B" w:rsidRPr="00CF5E54">
          <w:rPr>
            <w:i/>
          </w:rPr>
          <w:t>loc. cit</w:t>
        </w:r>
        <w:r w:rsidR="00DC1B9B">
          <w:t xml:space="preserve">.) in classifying polychaetes into three motility groups: </w:t>
        </w:r>
      </w:hyperlink>
      <w:r>
        <w:t xml:space="preserve">motile (burrowing, crawling, swimming), </w:t>
      </w:r>
      <w:r>
        <w:lastRenderedPageBreak/>
        <w:t xml:space="preserve">discretely motile (burrow constructing, tube dwelling, able to rebuild or extend tube, portable tube) or sessile (unlikely to survive if removed from attachment site, tube or burrow). </w:t>
      </w:r>
    </w:p>
    <w:p w14:paraId="747EA486" w14:textId="25A96831" w:rsidR="00E36411" w:rsidRDefault="00E36411" w:rsidP="00CF5E54">
      <w:pPr>
        <w:pStyle w:val="Heading2"/>
        <w:spacing w:line="360" w:lineRule="auto"/>
      </w:pPr>
      <w:r>
        <w:t xml:space="preserve">2.4 Statistical Analysis </w:t>
      </w:r>
    </w:p>
    <w:p w14:paraId="252BB5A9" w14:textId="289F90C7" w:rsidR="009E7ED7" w:rsidRDefault="00973E85" w:rsidP="00CF5E54">
      <w:pPr>
        <w:spacing w:line="360" w:lineRule="auto"/>
      </w:pPr>
      <w:r>
        <w:t xml:space="preserve">Faunal </w:t>
      </w:r>
      <w:r w:rsidR="002E66DF">
        <w:t>density</w:t>
      </w:r>
      <w:r>
        <w:t xml:space="preserve"> was assessed by conventional oneway analysis of variance (ANOVA), by study location, of log transforms, using Tukey’s method for subsequent pairwise comparisons (5 % family-wise error rate) as implemented in the Minitab statistical software package (V17, Minitab Inc.) (see e.g. Sokal &amp; Rohlf 2012). Results are reported as geometric means and corresponding 95 % confidence intervals (i.e. back-transforms of the log variables; see e.g. Elliot 1977). To estimate biomass, we first estimated geometric mean individual body weight for a statistically standardised sample</w:t>
      </w:r>
      <w:r w:rsidR="007C18FE">
        <w:t xml:space="preserve"> of 100 individuals from each location</w:t>
      </w:r>
      <w:r w:rsidR="00A41FE8">
        <w:t xml:space="preserve">. </w:t>
      </w:r>
      <w:r w:rsidR="007C18FE">
        <w:t xml:space="preserve"> </w:t>
      </w:r>
      <w:r w:rsidR="00A41FE8">
        <w:t>T</w:t>
      </w:r>
      <w:r w:rsidR="007C18FE">
        <w:t xml:space="preserve">his was achieved by bootstrapping using ‘boot’ package (Canty &amp; Ripley 2015) in the R programming environment (R Core Team 2015), using the adjusted bootstrap percentile (BCa) method to produce corresponding 95 % confidence intervals (see e.g. Davison &amp; Hinkley 1997). A biomass estimate for each study location was then obtained as the product of geometric mean density and </w:t>
      </w:r>
      <w:r w:rsidR="009E7ED7">
        <w:t>g</w:t>
      </w:r>
      <w:r w:rsidR="007C18FE">
        <w:t>eometric mean individual body weight. All other univariate statistical comparisons were undertaken using Mood’</w:t>
      </w:r>
      <w:r w:rsidR="009E7ED7">
        <w:t xml:space="preserve">s </w:t>
      </w:r>
      <w:r w:rsidR="00963919">
        <w:t>m</w:t>
      </w:r>
      <w:r w:rsidR="007C18FE">
        <w:t>edian test (see e.g. Siegel &amp; Castellan 1988) as implemented in Minitab.</w:t>
      </w:r>
      <w:r>
        <w:t xml:space="preserve"> </w:t>
      </w:r>
    </w:p>
    <w:p w14:paraId="3BC7AF8B" w14:textId="158E122C" w:rsidR="00F71C3E" w:rsidRDefault="00EF166C" w:rsidP="00CF5E54">
      <w:pPr>
        <w:spacing w:line="360" w:lineRule="auto"/>
        <w:ind w:firstLine="720"/>
      </w:pPr>
      <w:r>
        <w:t xml:space="preserve">Multivariate analyses of faunal composition were carried out using non-metric multidimensional scaling (MDS) ordination and analysis of similarities (ANOSIM) in the PRIMER software package (V6, PRIMER-E; Clarke &amp; Gorley 2006; for method detail see e.g. Clarke 1993). All results reported here (nematodes and polychaetes) refer to Bray-Curtis dissimilarity calculated from </w:t>
      </w:r>
      <w:r w:rsidRPr="00963919">
        <w:rPr>
          <w:color w:val="auto"/>
        </w:rPr>
        <w:t>√</w:t>
      </w:r>
      <w:r w:rsidRPr="00963919">
        <w:rPr>
          <w:i/>
          <w:color w:val="auto"/>
        </w:rPr>
        <w:t>x</w:t>
      </w:r>
      <w:r w:rsidDel="00DC1B9B">
        <w:t xml:space="preserve"> </w:t>
      </w:r>
      <w:r>
        <w:t xml:space="preserve"> transforms of the faunal density data. Similarly, all results reported here (nematodes and polychaetes) concerning faunal diversity refer to rarefied estimates of genus richness, Fisher’s alpha, Shannon index, and Simpson’s index, as determined using EstimateS software (V9 Colwell 2013; for method details see e.g. Colwell </w:t>
      </w:r>
      <w:r w:rsidRPr="00A41FE8">
        <w:rPr>
          <w:i/>
        </w:rPr>
        <w:t xml:space="preserve">et al. </w:t>
      </w:r>
      <w:r>
        <w:t>2012).</w:t>
      </w:r>
    </w:p>
    <w:p w14:paraId="5108F76C" w14:textId="46EB2F0C" w:rsidR="00F71C3E" w:rsidRDefault="00C4027B" w:rsidP="00CF5E54">
      <w:pPr>
        <w:spacing w:line="360" w:lineRule="auto"/>
      </w:pPr>
      <w:r>
        <w:t xml:space="preserve"> </w:t>
      </w:r>
    </w:p>
    <w:p w14:paraId="6008C75E" w14:textId="77777777" w:rsidR="00F71C3E" w:rsidRPr="00117542" w:rsidRDefault="00C4027B">
      <w:pPr>
        <w:pStyle w:val="Heading1"/>
        <w:spacing w:before="0" w:line="480" w:lineRule="auto"/>
      </w:pPr>
      <w:r w:rsidRPr="00CF5E54">
        <w:rPr>
          <w:rFonts w:ascii="Times New Roman" w:eastAsia="Times New Roman" w:hAnsi="Times New Roman" w:cs="Times New Roman"/>
        </w:rPr>
        <w:t>3. Results</w:t>
      </w:r>
    </w:p>
    <w:p w14:paraId="4BD558E2" w14:textId="77777777" w:rsidR="00F71C3E" w:rsidRDefault="00C4027B">
      <w:pPr>
        <w:pStyle w:val="Heading2"/>
      </w:pPr>
      <w:r>
        <w:t xml:space="preserve">3.1 Nematodes Assemblages </w:t>
      </w:r>
    </w:p>
    <w:p w14:paraId="52BFB9FB" w14:textId="77777777" w:rsidR="00F71C3E" w:rsidRDefault="00F71C3E"/>
    <w:p w14:paraId="05E50B73" w14:textId="7D9C48BD" w:rsidR="00F71C3E" w:rsidRDefault="00C4027B" w:rsidP="00CF5E54">
      <w:pPr>
        <w:pStyle w:val="Heading3"/>
        <w:spacing w:line="360" w:lineRule="auto"/>
      </w:pPr>
      <w:r>
        <w:lastRenderedPageBreak/>
        <w:t xml:space="preserve">3.1.1 Nematode Abundance and </w:t>
      </w:r>
      <w:r w:rsidR="00117542">
        <w:t>B</w:t>
      </w:r>
      <w:r>
        <w:t>iomass</w:t>
      </w:r>
    </w:p>
    <w:p w14:paraId="3EF4EE7A" w14:textId="1B83EE0A" w:rsidR="00F71C3E" w:rsidRDefault="00C4027B" w:rsidP="00CF5E54">
      <w:pPr>
        <w:spacing w:line="360" w:lineRule="auto"/>
      </w:pPr>
      <w:r>
        <w:t xml:space="preserve">In total, 410 macrofaunal nematodes were </w:t>
      </w:r>
      <w:r w:rsidR="006758FF">
        <w:t xml:space="preserve">recorded </w:t>
      </w:r>
      <w:r>
        <w:t xml:space="preserve">from the samples and identified to genus level (supplementary Table 1). There was a </w:t>
      </w:r>
      <w:r w:rsidR="006758FF">
        <w:t xml:space="preserve">statistically </w:t>
      </w:r>
      <w:r>
        <w:t xml:space="preserve">significant difference in </w:t>
      </w:r>
      <w:r w:rsidR="006758FF">
        <w:t xml:space="preserve">macrofaunal nematode density </w:t>
      </w:r>
      <w:r w:rsidR="001F051C">
        <w:t xml:space="preserve">between </w:t>
      </w:r>
      <w:r w:rsidR="006758FF">
        <w:t xml:space="preserve">locations </w:t>
      </w:r>
      <w:r w:rsidR="001F051C">
        <w:t xml:space="preserve">(ANOVA, </w:t>
      </w:r>
      <w:r w:rsidR="006758FF">
        <w:t xml:space="preserve">F[3,16] = 6.26, </w:t>
      </w:r>
      <w:r>
        <w:t>p = 0.</w:t>
      </w:r>
      <w:r w:rsidR="006758FF">
        <w:t>005</w:t>
      </w:r>
      <w:r>
        <w:t xml:space="preserve">). Pairwise comparison revealed </w:t>
      </w:r>
      <w:r w:rsidR="006758FF">
        <w:t xml:space="preserve">a statistically </w:t>
      </w:r>
      <w:r>
        <w:t xml:space="preserve">significant (p &lt; 0.05) </w:t>
      </w:r>
      <w:r w:rsidR="006758FF">
        <w:t xml:space="preserve">difference between Slope </w:t>
      </w:r>
      <w:r w:rsidR="00F50613">
        <w:t>and all canyon locations</w:t>
      </w:r>
      <w:r w:rsidR="00A41FE8">
        <w:t>;</w:t>
      </w:r>
      <w:r w:rsidR="00F50613">
        <w:t xml:space="preserve"> no significant differences were detected among canyon locations (Fig. 2, Table 3). Estimated macrofaunal nematode biomass followed a similar pattern (Fig. 2, Table 3), with substantially higher biomass recorded at canyon locations than </w:t>
      </w:r>
      <w:r w:rsidR="00A41FE8">
        <w:t xml:space="preserve">at </w:t>
      </w:r>
      <w:r w:rsidR="00F50613">
        <w:t xml:space="preserve">the </w:t>
      </w:r>
      <w:r w:rsidR="00A41FE8">
        <w:t>S</w:t>
      </w:r>
      <w:r w:rsidR="00F50613">
        <w:t xml:space="preserve">lope location (the clear non-overlap in estimated confidence intervals was conservatively significant at p &lt; 0.05). </w:t>
      </w:r>
    </w:p>
    <w:p w14:paraId="6A5BD894" w14:textId="2F4FAD9B" w:rsidR="00F71C3E" w:rsidRDefault="00C4027B" w:rsidP="00CF5E54">
      <w:pPr>
        <w:pStyle w:val="Heading3"/>
        <w:spacing w:line="360" w:lineRule="auto"/>
      </w:pPr>
      <w:r>
        <w:t>3.1.2 Nematode</w:t>
      </w:r>
      <w:r w:rsidR="003502C6">
        <w:t xml:space="preserve"> Genus</w:t>
      </w:r>
      <w:r>
        <w:t xml:space="preserve"> Composition </w:t>
      </w:r>
    </w:p>
    <w:p w14:paraId="26A97EE0" w14:textId="6756A474" w:rsidR="00F71C3E" w:rsidRDefault="00C4027B" w:rsidP="00CF5E54">
      <w:pPr>
        <w:spacing w:line="360" w:lineRule="auto"/>
      </w:pPr>
      <w:r>
        <w:t xml:space="preserve">Nineteen nematode families and 48 genera were identified. </w:t>
      </w:r>
      <w:r>
        <w:rPr>
          <w:i/>
        </w:rPr>
        <w:t>Paramesacanthion</w:t>
      </w:r>
      <w:r>
        <w:t xml:space="preserve"> was the most abundant genus overall (21 % total abundance) followed by </w:t>
      </w:r>
      <w:r>
        <w:rPr>
          <w:i/>
        </w:rPr>
        <w:t>Metacylicolaimus</w:t>
      </w:r>
      <w:r>
        <w:t xml:space="preserve"> (20 %)</w:t>
      </w:r>
      <w:r w:rsidR="0056742B">
        <w:t>,</w:t>
      </w:r>
      <w:r>
        <w:t xml:space="preserve"> </w:t>
      </w:r>
      <w:r>
        <w:rPr>
          <w:i/>
        </w:rPr>
        <w:t>Cylicolaimus</w:t>
      </w:r>
      <w:r>
        <w:t xml:space="preserve"> (9 %)</w:t>
      </w:r>
      <w:r w:rsidR="0056742B">
        <w:t>,</w:t>
      </w:r>
      <w:r>
        <w:t xml:space="preserve"> and </w:t>
      </w:r>
      <w:r>
        <w:rPr>
          <w:i/>
        </w:rPr>
        <w:t>Phanodermopsis</w:t>
      </w:r>
      <w:r>
        <w:t xml:space="preserve"> (6 %). </w:t>
      </w:r>
      <w:r>
        <w:rPr>
          <w:i/>
        </w:rPr>
        <w:t>Paramesacanthion</w:t>
      </w:r>
      <w:r>
        <w:t xml:space="preserve"> was the most abundant genus at </w:t>
      </w:r>
      <w:r w:rsidR="00146042">
        <w:t>S</w:t>
      </w:r>
      <w:r>
        <w:t xml:space="preserve">lope, </w:t>
      </w:r>
      <w:r>
        <w:rPr>
          <w:i/>
        </w:rPr>
        <w:t>Metacylicolaimus</w:t>
      </w:r>
      <w:r>
        <w:t xml:space="preserve"> at Western and Central</w:t>
      </w:r>
      <w:r w:rsidR="0056742B">
        <w:t>,</w:t>
      </w:r>
      <w:r>
        <w:t xml:space="preserve"> and </w:t>
      </w:r>
      <w:r>
        <w:rPr>
          <w:i/>
        </w:rPr>
        <w:t>Cylicolaimus</w:t>
      </w:r>
      <w:r>
        <w:t xml:space="preserve"> </w:t>
      </w:r>
      <w:r w:rsidR="00146042">
        <w:t xml:space="preserve">at </w:t>
      </w:r>
      <w:r>
        <w:t xml:space="preserve">Eastern </w:t>
      </w:r>
      <w:r w:rsidR="00146042">
        <w:t>(supplementary Table 1</w:t>
      </w:r>
      <w:r>
        <w:t xml:space="preserve">). </w:t>
      </w:r>
      <w:r w:rsidR="00146042">
        <w:t xml:space="preserve">Non-metric multidimensional scaling ordination (MDS) of the macrofaunal nematode fauna (Fig. 3D) </w:t>
      </w:r>
      <w:r w:rsidR="00A41FE8">
        <w:t>revealed</w:t>
      </w:r>
      <w:r w:rsidR="00146042">
        <w:t xml:space="preserve"> considerable similarity among canyon samples, and </w:t>
      </w:r>
      <w:r w:rsidR="00A41FE8">
        <w:t xml:space="preserve">the </w:t>
      </w:r>
      <w:r w:rsidR="00146042">
        <w:t>relative distinctiveness of the Slope samples. Analysis of similarities (ANOSIM) indicated statistically significant moderate variation in faunal composition among sites (</w:t>
      </w:r>
      <w:r w:rsidR="000628A4">
        <w:t xml:space="preserve">R = 0.299, p &lt; 0.001), with Slope significantly different from all canyon locations (R = 0.404-0.644, p &lt; 0.05), and no significant difference detected between any pair of canyon locations (Table 4). A similar trend is </w:t>
      </w:r>
      <w:r w:rsidR="00A41FE8">
        <w:t>evident</w:t>
      </w:r>
      <w:r w:rsidR="000628A4">
        <w:t xml:space="preserve"> in macrofaunal </w:t>
      </w:r>
      <w:r w:rsidR="0056742B">
        <w:t xml:space="preserve">nematode genus diversity (Table 5). For all comparative measures estimated (rarefied richness, Fisher’s alpha, Shannon and Simpson’s index), higher diversity was recorded at Slope than at any canyon location. This distinctiveness in diversity between slope and canyon areas appears to be largely driven by the dominance component of diversity (see Fig. 5). </w:t>
      </w:r>
      <w:r w:rsidR="000628A4">
        <w:t xml:space="preserve"> </w:t>
      </w:r>
    </w:p>
    <w:p w14:paraId="58565D0E" w14:textId="6AD661A7" w:rsidR="00F71C3E" w:rsidRDefault="00C4027B" w:rsidP="00CF5E54">
      <w:pPr>
        <w:pStyle w:val="Heading3"/>
        <w:spacing w:line="360" w:lineRule="auto"/>
      </w:pPr>
      <w:r>
        <w:t xml:space="preserve">3.1.3 Nematode </w:t>
      </w:r>
      <w:r w:rsidR="004175C1">
        <w:t xml:space="preserve">Functional Group Composition </w:t>
      </w:r>
      <w:r>
        <w:t xml:space="preserve"> </w:t>
      </w:r>
    </w:p>
    <w:p w14:paraId="53159F18" w14:textId="10B03D20" w:rsidR="001F592D" w:rsidRDefault="00D534C4" w:rsidP="00CF5E54">
      <w:pPr>
        <w:spacing w:line="360" w:lineRule="auto"/>
      </w:pPr>
      <w:r>
        <w:t xml:space="preserve">Macrofaunal nematode composition by feeding group and tail shape classification is illustrated in Fig. 4A and B. Slope </w:t>
      </w:r>
      <w:r w:rsidR="00031015">
        <w:t xml:space="preserve">exhibited </w:t>
      </w:r>
      <w:r w:rsidR="00C4027B">
        <w:t>a significant</w:t>
      </w:r>
      <w:r w:rsidR="00031015">
        <w:t xml:space="preserve">ly higher </w:t>
      </w:r>
      <w:r w:rsidR="00C4027B">
        <w:t xml:space="preserve">percentage </w:t>
      </w:r>
      <w:r w:rsidR="00031015">
        <w:t xml:space="preserve">of nematodes belonging to </w:t>
      </w:r>
      <w:r w:rsidR="00390D33">
        <w:t>feeding Group 1A (selective deposit feeders)</w:t>
      </w:r>
      <w:r w:rsidR="00C4027B">
        <w:t xml:space="preserve"> </w:t>
      </w:r>
      <w:r w:rsidR="00031015">
        <w:t xml:space="preserve">than the canyon </w:t>
      </w:r>
      <w:r w:rsidR="003B354E">
        <w:lastRenderedPageBreak/>
        <w:t xml:space="preserve">locations </w:t>
      </w:r>
      <w:r w:rsidR="00C4027B">
        <w:t>(M</w:t>
      </w:r>
      <w:r w:rsidR="00B256B5">
        <w:t>ood</w:t>
      </w:r>
      <w:r w:rsidR="003B354E">
        <w:t>’</w:t>
      </w:r>
      <w:r w:rsidR="00B256B5">
        <w:t xml:space="preserve">s </w:t>
      </w:r>
      <w:r w:rsidR="008A2EFC">
        <w:t>m</w:t>
      </w:r>
      <w:r w:rsidR="00B256B5">
        <w:t>edian test</w:t>
      </w:r>
      <w:r w:rsidR="003B354E">
        <w:t>,</w:t>
      </w:r>
      <w:r w:rsidR="00B256B5">
        <w:t xml:space="preserve"> p = 0.015),</w:t>
      </w:r>
      <w:r w:rsidR="00C4027B">
        <w:t xml:space="preserve"> </w:t>
      </w:r>
      <w:r w:rsidR="00B95578">
        <w:t xml:space="preserve">but </w:t>
      </w:r>
      <w:r w:rsidR="00C4027B">
        <w:t>no significant difference</w:t>
      </w:r>
      <w:r w:rsidR="00031015">
        <w:t>s</w:t>
      </w:r>
      <w:r w:rsidR="00C4027B">
        <w:t xml:space="preserve"> </w:t>
      </w:r>
      <w:r w:rsidR="003B354E">
        <w:t xml:space="preserve">were detected for the other feeding groups. </w:t>
      </w:r>
      <w:r w:rsidR="00C4027B">
        <w:t xml:space="preserve">Nematodes </w:t>
      </w:r>
      <w:r w:rsidR="003B354E">
        <w:t>from</w:t>
      </w:r>
      <w:r w:rsidR="00C4027B">
        <w:t xml:space="preserve"> canyon </w:t>
      </w:r>
      <w:r w:rsidR="003B354E">
        <w:t xml:space="preserve">locations </w:t>
      </w:r>
      <w:r w:rsidR="00C4027B">
        <w:t>were predominantly (77</w:t>
      </w:r>
      <w:r w:rsidR="003B354E">
        <w:t>-</w:t>
      </w:r>
      <w:r w:rsidR="00C4027B">
        <w:t>88 %) either epigrowth feeders (2A, 34-45%) or omnivores</w:t>
      </w:r>
      <w:r w:rsidR="003B354E">
        <w:t xml:space="preserve">/ predators </w:t>
      </w:r>
      <w:r w:rsidR="00C4027B">
        <w:t>(2B, 35-53</w:t>
      </w:r>
      <w:r w:rsidR="008A2EFC">
        <w:t xml:space="preserve"> </w:t>
      </w:r>
      <w:r w:rsidR="00C4027B">
        <w:t xml:space="preserve">%) (Table 3). </w:t>
      </w:r>
      <w:r w:rsidR="001F592D" w:rsidRPr="00B95578">
        <w:rPr>
          <w:color w:val="auto"/>
        </w:rPr>
        <w:t>Nematode feeding group 1A</w:t>
      </w:r>
      <w:r w:rsidR="003B354E" w:rsidRPr="00B95578">
        <w:rPr>
          <w:color w:val="auto"/>
        </w:rPr>
        <w:t xml:space="preserve"> represen</w:t>
      </w:r>
      <w:r w:rsidR="001F592D" w:rsidRPr="00B95578">
        <w:rPr>
          <w:color w:val="auto"/>
        </w:rPr>
        <w:t>ted 40 % of individuals at S</w:t>
      </w:r>
      <w:r w:rsidR="003B354E" w:rsidRPr="00B95578">
        <w:rPr>
          <w:color w:val="auto"/>
        </w:rPr>
        <w:t>lope site</w:t>
      </w:r>
      <w:r w:rsidR="001F592D" w:rsidRPr="00B95578">
        <w:rPr>
          <w:color w:val="auto"/>
        </w:rPr>
        <w:t xml:space="preserve"> but only </w:t>
      </w:r>
      <w:r w:rsidR="003B354E" w:rsidRPr="00B95578">
        <w:rPr>
          <w:color w:val="auto"/>
        </w:rPr>
        <w:t xml:space="preserve">12 % </w:t>
      </w:r>
      <w:r w:rsidR="001F592D" w:rsidRPr="00B95578">
        <w:rPr>
          <w:color w:val="auto"/>
        </w:rPr>
        <w:t>at canyon locations. Neither trophic diversity nor maturity index varied significa</w:t>
      </w:r>
      <w:r w:rsidR="008A2EFC" w:rsidRPr="00B95578">
        <w:rPr>
          <w:color w:val="auto"/>
        </w:rPr>
        <w:t>ntly between locations (Mood’s m</w:t>
      </w:r>
      <w:r w:rsidR="001F592D" w:rsidRPr="00B95578">
        <w:rPr>
          <w:color w:val="auto"/>
        </w:rPr>
        <w:t>edian test, Table</w:t>
      </w:r>
      <w:r w:rsidR="001F592D">
        <w:rPr>
          <w:color w:val="1F497D" w:themeColor="text2"/>
        </w:rPr>
        <w:t xml:space="preserve"> </w:t>
      </w:r>
      <w:r w:rsidR="001F592D" w:rsidRPr="00B95578">
        <w:rPr>
          <w:color w:val="auto"/>
        </w:rPr>
        <w:t>3).</w:t>
      </w:r>
      <w:r w:rsidR="001F592D">
        <w:rPr>
          <w:color w:val="1F497D" w:themeColor="text2"/>
        </w:rPr>
        <w:t xml:space="preserve"> </w:t>
      </w:r>
      <w:r w:rsidR="001F592D">
        <w:t>There was a significant difference in the percentage contribution of tail-shape type 4 (long) between locations (Mood</w:t>
      </w:r>
      <w:r w:rsidR="00995E21">
        <w:t>’</w:t>
      </w:r>
      <w:r w:rsidR="001F592D">
        <w:t xml:space="preserve">s </w:t>
      </w:r>
      <w:r w:rsidR="008A2EFC">
        <w:t>m</w:t>
      </w:r>
      <w:r w:rsidR="001F592D">
        <w:t xml:space="preserve">edian </w:t>
      </w:r>
      <w:r w:rsidR="00995E21">
        <w:t>t</w:t>
      </w:r>
      <w:r w:rsidR="001F592D">
        <w:t xml:space="preserve">est, p = 0.034), all other tail types showed no significant differences between </w:t>
      </w:r>
      <w:r w:rsidR="00995E21">
        <w:t>locations</w:t>
      </w:r>
      <w:r w:rsidR="001F592D">
        <w:t xml:space="preserve">. </w:t>
      </w:r>
      <w:r w:rsidR="00995E21">
        <w:t>T</w:t>
      </w:r>
      <w:r w:rsidR="001F592D">
        <w:t xml:space="preserve">ail-shape type 2 (clavate-conicocylindrical) was the most abundant, and type 4 was the second most abundant, at all of the sites (Fig. </w:t>
      </w:r>
      <w:r w:rsidR="00995E21">
        <w:t>4C</w:t>
      </w:r>
      <w:r w:rsidR="001F592D">
        <w:t xml:space="preserve">). </w:t>
      </w:r>
      <w:r w:rsidR="00995E21">
        <w:t>S</w:t>
      </w:r>
      <w:r w:rsidR="001F592D">
        <w:t xml:space="preserve">lope had a higher percentage of tail type 3 (conical, 24 %) </w:t>
      </w:r>
      <w:r w:rsidR="00995E21">
        <w:t xml:space="preserve">than other </w:t>
      </w:r>
      <w:r w:rsidR="00963919">
        <w:t xml:space="preserve">the </w:t>
      </w:r>
      <w:r w:rsidR="00995E21">
        <w:t>canyon locations</w:t>
      </w:r>
      <w:r w:rsidR="001F592D">
        <w:t xml:space="preserve"> (average 10 %). </w:t>
      </w:r>
    </w:p>
    <w:p w14:paraId="3CB0DFD8" w14:textId="7878FF50" w:rsidR="00F71C3E" w:rsidRDefault="00C4027B" w:rsidP="00CF5E54">
      <w:pPr>
        <w:pStyle w:val="Heading2"/>
        <w:spacing w:line="360" w:lineRule="auto"/>
      </w:pPr>
      <w:r>
        <w:t xml:space="preserve">3.2 </w:t>
      </w:r>
      <w:r w:rsidR="0042559A">
        <w:t>C</w:t>
      </w:r>
      <w:r>
        <w:t xml:space="preserve">omparison with </w:t>
      </w:r>
      <w:r w:rsidR="0042559A">
        <w:t>Polychaetes</w:t>
      </w:r>
    </w:p>
    <w:p w14:paraId="2E4FBF48" w14:textId="35F64438" w:rsidR="00B17F7C" w:rsidRDefault="00C4027B" w:rsidP="00CF5E54">
      <w:pPr>
        <w:spacing w:line="360" w:lineRule="auto"/>
      </w:pPr>
      <w:r>
        <w:t>An MDS analysis of polychaete genus-level data (</w:t>
      </w:r>
      <w:r w:rsidR="00EC5B0B">
        <w:t>Fig.</w:t>
      </w:r>
      <w:r w:rsidR="00963919">
        <w:t xml:space="preserve"> </w:t>
      </w:r>
      <w:r>
        <w:t>3</w:t>
      </w:r>
      <w:r w:rsidR="00EC5B0B">
        <w:t>C</w:t>
      </w:r>
      <w:r>
        <w:t xml:space="preserve">) </w:t>
      </w:r>
      <w:r w:rsidR="00EC5B0B">
        <w:t xml:space="preserve">suggested that all study locations were relatively </w:t>
      </w:r>
      <w:r w:rsidR="00E940E8">
        <w:t xml:space="preserve">distinct with regard to polychaete faunal composition. </w:t>
      </w:r>
      <w:r>
        <w:t xml:space="preserve">ANOSIM </w:t>
      </w:r>
      <w:r w:rsidR="00E940E8">
        <w:t xml:space="preserve">confirmed </w:t>
      </w:r>
      <w:r w:rsidR="006E4BA4">
        <w:t>a substantial and statistically significant difference in composition among locations (R = 0.660, p &lt; 0.001), and appreciable significant differences in all pair</w:t>
      </w:r>
      <w:r w:rsidR="003D22CE">
        <w:t>wise comparisons of locations (R = 0.432-0.964, p &lt; 0.05; Table 4).</w:t>
      </w:r>
      <w:r w:rsidR="006E4BA4">
        <w:t xml:space="preserve"> </w:t>
      </w:r>
      <w:r>
        <w:t xml:space="preserve">In terms of </w:t>
      </w:r>
      <w:r w:rsidR="003D22CE">
        <w:t>polychaete ge</w:t>
      </w:r>
      <w:r w:rsidR="00B95578">
        <w:t xml:space="preserve">neric </w:t>
      </w:r>
      <w:r w:rsidR="003D22CE">
        <w:t>diversity</w:t>
      </w:r>
      <w:r w:rsidR="00B17F7C">
        <w:t>, all comparative measures estimated (rarefied richness, Fisher’s alpha, Shannon and Simpson’s index; Table 5) produced the same ordering of study locations: Slope &gt; Western &gt; Central &gt; Eastern</w:t>
      </w:r>
      <w:r w:rsidR="00B95578">
        <w:t>, with c</w:t>
      </w:r>
      <w:r>
        <w:t xml:space="preserve">anyon branches </w:t>
      </w:r>
      <w:r w:rsidR="00963919">
        <w:t>having</w:t>
      </w:r>
      <w:r>
        <w:t xml:space="preserve"> similar levels of rarefied pol</w:t>
      </w:r>
      <w:r w:rsidR="00515A05">
        <w:t>ychaete genus richness</w:t>
      </w:r>
      <w:r>
        <w:t xml:space="preserve">. The </w:t>
      </w:r>
      <w:r w:rsidR="00B17F7C">
        <w:t xml:space="preserve">dominance component of diversity appears to be </w:t>
      </w:r>
      <w:r w:rsidR="007C0B8F">
        <w:t>the main</w:t>
      </w:r>
      <w:r w:rsidR="00B17F7C">
        <w:t xml:space="preserve"> driver of this consistent west-east variation in polychaete diversity (see Fig. 5).</w:t>
      </w:r>
    </w:p>
    <w:p w14:paraId="4E46ACA3" w14:textId="24B62CE2" w:rsidR="00F71C3E" w:rsidRDefault="00C4027B" w:rsidP="00CF5E54">
      <w:pPr>
        <w:spacing w:line="360" w:lineRule="auto"/>
      </w:pPr>
      <w:r>
        <w:tab/>
      </w:r>
      <w:r w:rsidR="0086448C">
        <w:t xml:space="preserve">Variations </w:t>
      </w:r>
      <w:r>
        <w:t xml:space="preserve">in polychaete feeding </w:t>
      </w:r>
      <w:r w:rsidR="0086448C">
        <w:t xml:space="preserve">group composition were observed across the </w:t>
      </w:r>
      <w:r>
        <w:t xml:space="preserve">study </w:t>
      </w:r>
      <w:r w:rsidR="0086448C">
        <w:t xml:space="preserve">location </w:t>
      </w:r>
      <w:r>
        <w:t xml:space="preserve">(Fig. </w:t>
      </w:r>
      <w:r w:rsidR="0086448C">
        <w:t>4B</w:t>
      </w:r>
      <w:r>
        <w:t xml:space="preserve">). </w:t>
      </w:r>
      <w:r w:rsidR="0086448C">
        <w:t>M</w:t>
      </w:r>
      <w:r>
        <w:t xml:space="preserve">icrophages were consistently the most abundant trophic group (&gt; 50 %), although their </w:t>
      </w:r>
      <w:r w:rsidR="00D67444">
        <w:t xml:space="preserve">contribution </w:t>
      </w:r>
      <w:r>
        <w:t xml:space="preserve">decreased from </w:t>
      </w:r>
      <w:r w:rsidR="00D67444">
        <w:t>S</w:t>
      </w:r>
      <w:r w:rsidR="008A6B4C">
        <w:t>lope (62%) to</w:t>
      </w:r>
      <w:r>
        <w:t xml:space="preserve"> Eastern (56 %). The proportion of macrophages was relatively consistent </w:t>
      </w:r>
      <w:r w:rsidR="00E447E5">
        <w:t>between</w:t>
      </w:r>
      <w:r>
        <w:t xml:space="preserve"> </w:t>
      </w:r>
      <w:r w:rsidR="00D67444">
        <w:t xml:space="preserve">locations </w:t>
      </w:r>
      <w:r>
        <w:t xml:space="preserve">(25-26 %), while the proportion of omnivores increased from 11 % </w:t>
      </w:r>
      <w:r w:rsidR="00D67444">
        <w:t>at S</w:t>
      </w:r>
      <w:r>
        <w:t>lope to 19</w:t>
      </w:r>
      <w:r w:rsidR="003F7456">
        <w:t xml:space="preserve"> </w:t>
      </w:r>
      <w:r>
        <w:t xml:space="preserve">% </w:t>
      </w:r>
      <w:r w:rsidR="00D67444">
        <w:t>at</w:t>
      </w:r>
      <w:r>
        <w:t xml:space="preserve"> Eastern. These proportional shifts were </w:t>
      </w:r>
      <w:r w:rsidR="0019586D">
        <w:t xml:space="preserve">statistically </w:t>
      </w:r>
      <w:r>
        <w:t xml:space="preserve">significant in the case of the omnivorous (Mood’s </w:t>
      </w:r>
      <w:r w:rsidR="0019586D">
        <w:t xml:space="preserve">median </w:t>
      </w:r>
      <w:r>
        <w:t xml:space="preserve">test p = 0.015), but not the </w:t>
      </w:r>
      <w:r w:rsidR="00B64FEE">
        <w:t xml:space="preserve">micro- or </w:t>
      </w:r>
      <w:r>
        <w:t>macrophage</w:t>
      </w:r>
      <w:r w:rsidR="008A6B4C">
        <w:t>s</w:t>
      </w:r>
      <w:r>
        <w:t xml:space="preserve">. There were also changes in the proportions of polychaete motility </w:t>
      </w:r>
      <w:r w:rsidR="00B64FEE">
        <w:t xml:space="preserve">groups between study locations </w:t>
      </w:r>
      <w:r>
        <w:t xml:space="preserve">(Fig. </w:t>
      </w:r>
      <w:r w:rsidR="00B64FEE">
        <w:t>4D</w:t>
      </w:r>
      <w:r>
        <w:t xml:space="preserve">). Motile taxa were most abundant, </w:t>
      </w:r>
      <w:r w:rsidR="00B64FEE">
        <w:t xml:space="preserve">and increased </w:t>
      </w:r>
      <w:r>
        <w:t xml:space="preserve">from </w:t>
      </w:r>
      <w:r w:rsidR="00B64FEE">
        <w:t>S</w:t>
      </w:r>
      <w:r>
        <w:t>lope</w:t>
      </w:r>
      <w:r w:rsidR="00B64FEE">
        <w:t>,</w:t>
      </w:r>
      <w:r>
        <w:t xml:space="preserve"> </w:t>
      </w:r>
      <w:r>
        <w:lastRenderedPageBreak/>
        <w:t xml:space="preserve">site (54 %) to Eastern (78 %). The </w:t>
      </w:r>
      <w:r w:rsidR="00B64FEE">
        <w:t>proportion</w:t>
      </w:r>
      <w:r>
        <w:t xml:space="preserve"> of discretely motile polychaetes </w:t>
      </w:r>
      <w:r w:rsidR="00B64FEE">
        <w:t xml:space="preserve">declined in a corresponding manner </w:t>
      </w:r>
      <w:r w:rsidRPr="00DE49A7">
        <w:t>(</w:t>
      </w:r>
      <w:r w:rsidR="00B64FEE" w:rsidRPr="00DE49A7">
        <w:t xml:space="preserve">Slope </w:t>
      </w:r>
      <w:r w:rsidRPr="00DE49A7">
        <w:t>3</w:t>
      </w:r>
      <w:r w:rsidR="00DE49A7" w:rsidRPr="00DE49A7">
        <w:t>3</w:t>
      </w:r>
      <w:r w:rsidRPr="00DE49A7">
        <w:t xml:space="preserve"> %</w:t>
      </w:r>
      <w:r w:rsidR="00B64FEE" w:rsidRPr="00DE49A7">
        <w:t xml:space="preserve"> to Eastern </w:t>
      </w:r>
      <w:r w:rsidR="00DE49A7" w:rsidRPr="00DE49A7">
        <w:t>1</w:t>
      </w:r>
      <w:r w:rsidR="00B64FEE" w:rsidRPr="00DE49A7">
        <w:t>4 %).</w:t>
      </w:r>
      <w:r>
        <w:t xml:space="preserve"> The changes between </w:t>
      </w:r>
      <w:r w:rsidR="00B64FEE">
        <w:t xml:space="preserve">locations </w:t>
      </w:r>
      <w:r>
        <w:t xml:space="preserve">were </w:t>
      </w:r>
      <w:r w:rsidR="00B64FEE">
        <w:t xml:space="preserve">statistically </w:t>
      </w:r>
      <w:r>
        <w:t xml:space="preserve">significant in the case of motile taxa (Mood’s </w:t>
      </w:r>
      <w:r w:rsidR="00B64FEE">
        <w:t xml:space="preserve">median </w:t>
      </w:r>
      <w:r>
        <w:t>test p</w:t>
      </w:r>
      <w:r w:rsidR="00B64FEE">
        <w:t xml:space="preserve"> </w:t>
      </w:r>
      <w:r>
        <w:t>= 0.004)</w:t>
      </w:r>
      <w:r w:rsidR="00B64FEE">
        <w:t>,</w:t>
      </w:r>
      <w:r>
        <w:t xml:space="preserve"> but not for the discretely motile and sessile types. </w:t>
      </w:r>
    </w:p>
    <w:p w14:paraId="77071CF8" w14:textId="7BE49657" w:rsidR="00F71C3E" w:rsidRDefault="00C4027B" w:rsidP="00CF5E54">
      <w:pPr>
        <w:pStyle w:val="Heading1"/>
        <w:spacing w:line="360" w:lineRule="auto"/>
      </w:pPr>
      <w:r>
        <w:t>4.</w:t>
      </w:r>
      <w:r w:rsidR="004A6513">
        <w:t xml:space="preserve"> </w:t>
      </w:r>
      <w:r>
        <w:t>Discussion</w:t>
      </w:r>
    </w:p>
    <w:p w14:paraId="66EF56D2" w14:textId="0D2B4898" w:rsidR="00F71C3E" w:rsidRDefault="00C4027B" w:rsidP="004A6513">
      <w:pPr>
        <w:pStyle w:val="Heading2"/>
        <w:spacing w:before="0" w:line="360" w:lineRule="auto"/>
      </w:pPr>
      <w:r>
        <w:t xml:space="preserve">4.1 </w:t>
      </w:r>
      <w:r w:rsidR="001F15F7">
        <w:t>Prior</w:t>
      </w:r>
      <w:r>
        <w:t xml:space="preserve"> </w:t>
      </w:r>
      <w:r w:rsidR="001F15F7">
        <w:t>S</w:t>
      </w:r>
      <w:r>
        <w:t xml:space="preserve">tudies of </w:t>
      </w:r>
      <w:r w:rsidR="001F15F7">
        <w:t>M</w:t>
      </w:r>
      <w:r>
        <w:t xml:space="preserve">acrofaunal </w:t>
      </w:r>
      <w:r w:rsidR="001F15F7">
        <w:t>N</w:t>
      </w:r>
      <w:r>
        <w:t>ematodes</w:t>
      </w:r>
    </w:p>
    <w:p w14:paraId="3D1C0F86" w14:textId="668DB770" w:rsidR="00F71C3E" w:rsidRDefault="00C4027B" w:rsidP="00CF5E54">
      <w:pPr>
        <w:spacing w:line="360" w:lineRule="auto"/>
      </w:pPr>
      <w:r>
        <w:t xml:space="preserve">Although the occurrence of macrofaunal nematodes in deep-sea samples is well documented, less is known about their taxonomic composition. Perhaps the most relevant genus-level study is that of Sharma </w:t>
      </w:r>
      <w:r>
        <w:rPr>
          <w:i/>
        </w:rPr>
        <w:t>et al.</w:t>
      </w:r>
      <w:r>
        <w:t xml:space="preserve"> (2011), who described meio- and macrobenthic nematodes from the deep Arctic (Canada Basin), Gulf of Mexico (GOM) and Bermuda slope (212-3961 m </w:t>
      </w:r>
      <w:r w:rsidR="00E22BD0">
        <w:t xml:space="preserve">water </w:t>
      </w:r>
      <w:r>
        <w:t xml:space="preserve">depth). In the GOM, Sharma </w:t>
      </w:r>
      <w:r>
        <w:rPr>
          <w:i/>
        </w:rPr>
        <w:t>et al.</w:t>
      </w:r>
      <w:r>
        <w:t xml:space="preserve"> (2011) concluded that the meio- and macrobenthic nematode assemblages were taxonomically distinct. In all three areas, the macrobenthic assemblages were dominated by </w:t>
      </w:r>
      <w:r>
        <w:rPr>
          <w:i/>
        </w:rPr>
        <w:t>Enoploides</w:t>
      </w:r>
      <w:r>
        <w:t xml:space="preserve">, </w:t>
      </w:r>
      <w:r>
        <w:rPr>
          <w:i/>
        </w:rPr>
        <w:t>Crenopharynx</w:t>
      </w:r>
      <w:r>
        <w:t xml:space="preserve">, </w:t>
      </w:r>
      <w:r>
        <w:rPr>
          <w:i/>
        </w:rPr>
        <w:t>Micoletzkyia</w:t>
      </w:r>
      <w:r>
        <w:t xml:space="preserve"> and </w:t>
      </w:r>
      <w:r>
        <w:rPr>
          <w:i/>
        </w:rPr>
        <w:t>Phanodermella</w:t>
      </w:r>
      <w:r>
        <w:t xml:space="preserve">. In our material, </w:t>
      </w:r>
      <w:r>
        <w:rPr>
          <w:i/>
        </w:rPr>
        <w:t>Enoploides</w:t>
      </w:r>
      <w:r>
        <w:t xml:space="preserve"> was </w:t>
      </w:r>
      <w:r w:rsidR="00E22BD0">
        <w:t xml:space="preserve">not recorded and </w:t>
      </w:r>
      <w:r>
        <w:t>the other three genera were present only in relatively low numbers. The dominant genera in the Whittard Canyon</w:t>
      </w:r>
      <w:r w:rsidR="00E22BD0">
        <w:t xml:space="preserve"> system and adjacent slope</w:t>
      </w:r>
      <w:r>
        <w:t xml:space="preserve">, </w:t>
      </w:r>
      <w:r>
        <w:rPr>
          <w:i/>
        </w:rPr>
        <w:t>Paramesacanthion</w:t>
      </w:r>
      <w:r>
        <w:t xml:space="preserve"> and </w:t>
      </w:r>
      <w:r>
        <w:rPr>
          <w:i/>
        </w:rPr>
        <w:t>Metacylicolaimus,</w:t>
      </w:r>
      <w:r>
        <w:t xml:space="preserve"> were not abundant in Sharma </w:t>
      </w:r>
      <w:r>
        <w:rPr>
          <w:i/>
        </w:rPr>
        <w:t>et al.</w:t>
      </w:r>
      <w:r>
        <w:t xml:space="preserve">’s (2011) material. </w:t>
      </w:r>
      <w:r>
        <w:rPr>
          <w:i/>
        </w:rPr>
        <w:t>Sabatieria</w:t>
      </w:r>
      <w:r>
        <w:t xml:space="preserve"> and </w:t>
      </w:r>
      <w:r>
        <w:rPr>
          <w:i/>
        </w:rPr>
        <w:t>Viscosia</w:t>
      </w:r>
      <w:r>
        <w:t xml:space="preserve"> were the dominant genera in a related study of macrobenthic nematodes from the Arctic deep sea (Canada Basin; 640-3848 m </w:t>
      </w:r>
      <w:r w:rsidR="00E22BD0">
        <w:t xml:space="preserve">water </w:t>
      </w:r>
      <w:r>
        <w:t>depth</w:t>
      </w:r>
      <w:r w:rsidR="00E22BD0">
        <w:t>;</w:t>
      </w:r>
      <w:r>
        <w:t xml:space="preserve"> </w:t>
      </w:r>
      <w:hyperlink w:anchor="h.kgcv8k">
        <w:r>
          <w:t xml:space="preserve">Sharma </w:t>
        </w:r>
        <w:r w:rsidR="00E22BD0">
          <w:t xml:space="preserve">&amp; </w:t>
        </w:r>
        <w:r>
          <w:t>Bluhm 2011)</w:t>
        </w:r>
      </w:hyperlink>
      <w:r>
        <w:t xml:space="preserve">. </w:t>
      </w:r>
      <w:r w:rsidR="00E22BD0">
        <w:t>T</w:t>
      </w:r>
      <w:r>
        <w:t xml:space="preserve">hese two genera were </w:t>
      </w:r>
      <w:r w:rsidR="00E22BD0">
        <w:t xml:space="preserve">recorded </w:t>
      </w:r>
      <w:r>
        <w:t xml:space="preserve">in the present study but were not abundant, while </w:t>
      </w:r>
      <w:r>
        <w:rPr>
          <w:i/>
        </w:rPr>
        <w:t>Paramesacanthion</w:t>
      </w:r>
      <w:r>
        <w:t xml:space="preserve"> and </w:t>
      </w:r>
      <w:r>
        <w:rPr>
          <w:i/>
        </w:rPr>
        <w:t xml:space="preserve">Metacylicolaimus </w:t>
      </w:r>
      <w:r>
        <w:t>were not reported by Sharma &amp; Bluhm</w:t>
      </w:r>
      <w:r w:rsidR="002B5CA3">
        <w:t xml:space="preserve"> (</w:t>
      </w:r>
      <w:r w:rsidR="008A6B4C" w:rsidRPr="008A6B4C">
        <w:t>2011</w:t>
      </w:r>
      <w:r w:rsidR="002B5CA3" w:rsidRPr="008A6B4C">
        <w:t>)</w:t>
      </w:r>
      <w:r>
        <w:t xml:space="preserve">. The </w:t>
      </w:r>
      <w:r w:rsidR="002B5CA3">
        <w:t xml:space="preserve">latter </w:t>
      </w:r>
      <w:r>
        <w:t>authors used a 250</w:t>
      </w:r>
      <w:r w:rsidR="002B5CA3">
        <w:t xml:space="preserve"> </w:t>
      </w:r>
      <w:r>
        <w:t>μm mesh sieve</w:t>
      </w:r>
      <w:r w:rsidR="002B5CA3">
        <w:t>; the genera</w:t>
      </w:r>
      <w:r>
        <w:t xml:space="preserve"> </w:t>
      </w:r>
      <w:r>
        <w:rPr>
          <w:i/>
        </w:rPr>
        <w:t xml:space="preserve">Sabatieria </w:t>
      </w:r>
      <w:r>
        <w:t xml:space="preserve">and </w:t>
      </w:r>
      <w:r>
        <w:rPr>
          <w:i/>
        </w:rPr>
        <w:t>Viscosia</w:t>
      </w:r>
      <w:r>
        <w:t xml:space="preserve"> are </w:t>
      </w:r>
      <w:r w:rsidR="002B5CA3">
        <w:t xml:space="preserve">typically </w:t>
      </w:r>
      <w:r>
        <w:t xml:space="preserve">smaller in </w:t>
      </w:r>
      <w:r w:rsidR="002B5CA3">
        <w:t xml:space="preserve">body </w:t>
      </w:r>
      <w:r>
        <w:t xml:space="preserve">size than </w:t>
      </w:r>
      <w:r>
        <w:rPr>
          <w:i/>
        </w:rPr>
        <w:t>Paramesacanthion</w:t>
      </w:r>
      <w:r>
        <w:t xml:space="preserve"> and </w:t>
      </w:r>
      <w:r>
        <w:rPr>
          <w:i/>
        </w:rPr>
        <w:t xml:space="preserve">Metacylicolaimus </w:t>
      </w:r>
      <w:r>
        <w:t xml:space="preserve">and may </w:t>
      </w:r>
      <w:r w:rsidR="002B5CA3">
        <w:t xml:space="preserve">not </w:t>
      </w:r>
      <w:r>
        <w:t xml:space="preserve">have </w:t>
      </w:r>
      <w:r w:rsidR="002B5CA3">
        <w:t>been retained on the 5</w:t>
      </w:r>
      <w:r>
        <w:t>00 µm</w:t>
      </w:r>
      <w:r w:rsidR="002B5CA3">
        <w:t xml:space="preserve"> mesh</w:t>
      </w:r>
      <w:r>
        <w:t xml:space="preserve"> used in the present study. </w:t>
      </w:r>
      <w:r w:rsidR="002B5CA3">
        <w:t xml:space="preserve">The genus </w:t>
      </w:r>
      <w:r>
        <w:rPr>
          <w:i/>
        </w:rPr>
        <w:t>Sabat</w:t>
      </w:r>
      <w:r w:rsidR="002B5CA3">
        <w:rPr>
          <w:i/>
        </w:rPr>
        <w:t>i</w:t>
      </w:r>
      <w:r>
        <w:rPr>
          <w:i/>
        </w:rPr>
        <w:t>eria</w:t>
      </w:r>
      <w:r>
        <w:t xml:space="preserve"> is often associated with organic-rich muddy sediments that are anoxic just below the </w:t>
      </w:r>
      <w:r w:rsidR="00726C0F">
        <w:t xml:space="preserve">sediment </w:t>
      </w:r>
      <w:r>
        <w:t>surface (</w:t>
      </w:r>
      <w:hyperlink w:anchor="h.pkwqa1">
        <w:r>
          <w:t>Vincx</w:t>
        </w:r>
      </w:hyperlink>
      <w:hyperlink w:anchor="h.pkwqa1">
        <w:r>
          <w:rPr>
            <w:i/>
          </w:rPr>
          <w:t xml:space="preserve"> et al.</w:t>
        </w:r>
      </w:hyperlink>
      <w:hyperlink w:anchor="h.pkwqa1">
        <w:r>
          <w:t xml:space="preserve"> 1990;</w:t>
        </w:r>
      </w:hyperlink>
      <w:r>
        <w:t xml:space="preserve"> </w:t>
      </w:r>
      <w:hyperlink w:anchor="h.4h042r0">
        <w:r>
          <w:t>Vanreusel 1991)</w:t>
        </w:r>
      </w:hyperlink>
      <w:r>
        <w:t xml:space="preserve">. </w:t>
      </w:r>
      <w:r w:rsidR="007659DB">
        <w:t xml:space="preserve">Although oxygen profiles </w:t>
      </w:r>
      <w:r w:rsidR="00B71755">
        <w:t>we</w:t>
      </w:r>
      <w:r w:rsidR="007659DB">
        <w:t>re not available</w:t>
      </w:r>
      <w:r w:rsidR="00B71755">
        <w:t xml:space="preserve"> for our study locations, </w:t>
      </w:r>
      <w:r w:rsidR="00A8766E">
        <w:t>our core samples appeared to be well oxygenated</w:t>
      </w:r>
      <w:r w:rsidR="00B71755">
        <w:t xml:space="preserve"> to a depth below 5 cm, and showed </w:t>
      </w:r>
      <w:r w:rsidR="007659DB">
        <w:t>no evidence for reducing conditions</w:t>
      </w:r>
      <w:r w:rsidR="00B71755">
        <w:t xml:space="preserve"> in the form of darkened sediments or a hydrogen sulphide smell.</w:t>
      </w:r>
      <w:r w:rsidR="00A8766E">
        <w:t xml:space="preserve"> </w:t>
      </w:r>
    </w:p>
    <w:p w14:paraId="788C5048" w14:textId="762CCD2D" w:rsidR="00F71C3E" w:rsidRDefault="00C4027B" w:rsidP="00CF5E54">
      <w:pPr>
        <w:spacing w:line="360" w:lineRule="auto"/>
      </w:pPr>
      <w:r>
        <w:tab/>
        <w:t xml:space="preserve">Macrofaunal nematode species </w:t>
      </w:r>
      <w:r w:rsidR="0015370D">
        <w:t xml:space="preserve">have been </w:t>
      </w:r>
      <w:r>
        <w:t xml:space="preserve">reported in a </w:t>
      </w:r>
      <w:r w:rsidR="0015370D">
        <w:t>number of</w:t>
      </w:r>
      <w:r>
        <w:t xml:space="preserve"> other studies. Dense aggregat</w:t>
      </w:r>
      <w:r w:rsidR="0015370D">
        <w:t>ions</w:t>
      </w:r>
      <w:r>
        <w:t xml:space="preserve"> of </w:t>
      </w:r>
      <w:r w:rsidR="0015370D" w:rsidRPr="0096618A">
        <w:rPr>
          <w:i/>
        </w:rPr>
        <w:t>Metoncholaimus</w:t>
      </w:r>
      <w:r w:rsidR="0015370D">
        <w:rPr>
          <w:i/>
        </w:rPr>
        <w:t xml:space="preserve"> </w:t>
      </w:r>
      <w:r>
        <w:t xml:space="preserve">were observed in a South Atlantic </w:t>
      </w:r>
      <w:r>
        <w:lastRenderedPageBreak/>
        <w:t xml:space="preserve">atoll by Netto </w:t>
      </w:r>
      <w:r>
        <w:rPr>
          <w:i/>
        </w:rPr>
        <w:t>et al.</w:t>
      </w:r>
      <w:r>
        <w:t xml:space="preserve"> (1999). In the abyssal Indian Ocean (4500-5500 m </w:t>
      </w:r>
      <w:r w:rsidR="0015370D">
        <w:t xml:space="preserve">water </w:t>
      </w:r>
      <w:r>
        <w:t xml:space="preserve">depth), </w:t>
      </w:r>
      <w:r>
        <w:rPr>
          <w:i/>
        </w:rPr>
        <w:t xml:space="preserve">Viscosia </w:t>
      </w:r>
      <w:r>
        <w:t xml:space="preserve">was the most abundant </w:t>
      </w:r>
      <w:r w:rsidR="0015370D">
        <w:t>genus</w:t>
      </w:r>
      <w:r>
        <w:t xml:space="preserve">, followed by </w:t>
      </w:r>
      <w:r>
        <w:rPr>
          <w:i/>
        </w:rPr>
        <w:t>Halalaimus</w:t>
      </w:r>
      <w:r>
        <w:t xml:space="preserve">, </w:t>
      </w:r>
      <w:r>
        <w:rPr>
          <w:i/>
        </w:rPr>
        <w:t>D</w:t>
      </w:r>
      <w:r w:rsidR="0015370D">
        <w:rPr>
          <w:i/>
        </w:rPr>
        <w:t>oli</w:t>
      </w:r>
      <w:r>
        <w:rPr>
          <w:i/>
        </w:rPr>
        <w:t>cholaimus</w:t>
      </w:r>
      <w:r>
        <w:t xml:space="preserve">, </w:t>
      </w:r>
      <w:r>
        <w:rPr>
          <w:i/>
        </w:rPr>
        <w:t>Polygastrophora</w:t>
      </w:r>
      <w:r>
        <w:t xml:space="preserve"> and </w:t>
      </w:r>
      <w:r>
        <w:rPr>
          <w:i/>
        </w:rPr>
        <w:t>Phanoderma</w:t>
      </w:r>
      <w:r>
        <w:t xml:space="preserve"> (Pavithran </w:t>
      </w:r>
      <w:r>
        <w:rPr>
          <w:i/>
        </w:rPr>
        <w:t>et al.</w:t>
      </w:r>
      <w:r>
        <w:t xml:space="preserve"> 2009). Two large nematodes, </w:t>
      </w:r>
      <w:r>
        <w:rPr>
          <w:i/>
        </w:rPr>
        <w:t>Synonchus</w:t>
      </w:r>
      <w:r>
        <w:t xml:space="preserve"> cf</w:t>
      </w:r>
      <w:r w:rsidR="00963C28">
        <w:t>.</w:t>
      </w:r>
      <w:r>
        <w:t xml:space="preserve"> </w:t>
      </w:r>
      <w:r>
        <w:rPr>
          <w:i/>
        </w:rPr>
        <w:t>acuticaudata</w:t>
      </w:r>
      <w:r>
        <w:t xml:space="preserve"> and </w:t>
      </w:r>
      <w:r>
        <w:rPr>
          <w:i/>
        </w:rPr>
        <w:t>Cylicolaimus</w:t>
      </w:r>
      <w:r>
        <w:t xml:space="preserve"> cf</w:t>
      </w:r>
      <w:r w:rsidR="00963C28">
        <w:t>.</w:t>
      </w:r>
      <w:r>
        <w:t xml:space="preserve"> </w:t>
      </w:r>
      <w:r>
        <w:rPr>
          <w:i/>
        </w:rPr>
        <w:t>magnus,</w:t>
      </w:r>
      <w:r>
        <w:t xml:space="preserve"> were abundant among macrofaunal species in coarse sediments adjacent to cold-water coral mounds in the Porcupine Seabight (NE Atlantic, 900 m </w:t>
      </w:r>
      <w:r w:rsidR="00C739B0">
        <w:t xml:space="preserve">water </w:t>
      </w:r>
      <w:r>
        <w:t>depth</w:t>
      </w:r>
      <w:r w:rsidR="00C739B0">
        <w:t xml:space="preserve">; </w:t>
      </w:r>
      <w:hyperlink w:anchor="h.2grqrue">
        <w:r>
          <w:t xml:space="preserve">Henry </w:t>
        </w:r>
        <w:r w:rsidR="00C739B0">
          <w:t xml:space="preserve">&amp; </w:t>
        </w:r>
        <w:r>
          <w:t>Roberts 2007)</w:t>
        </w:r>
      </w:hyperlink>
      <w:r>
        <w:t xml:space="preserve">. </w:t>
      </w:r>
      <w:r>
        <w:rPr>
          <w:i/>
        </w:rPr>
        <w:t>Synonchus</w:t>
      </w:r>
      <w:r>
        <w:t xml:space="preserve"> and </w:t>
      </w:r>
      <w:r>
        <w:rPr>
          <w:i/>
        </w:rPr>
        <w:t>Cylicolaimus</w:t>
      </w:r>
      <w:r>
        <w:t xml:space="preserve"> were among the top 10 genera </w:t>
      </w:r>
      <w:r w:rsidR="00C739B0">
        <w:t>in the present study,</w:t>
      </w:r>
      <w:r>
        <w:t xml:space="preserve"> Henry &amp; Roberts (2007) also </w:t>
      </w:r>
      <w:r w:rsidR="00C739B0">
        <w:t>recorded</w:t>
      </w:r>
      <w:r>
        <w:t xml:space="preserve"> </w:t>
      </w:r>
      <w:r>
        <w:rPr>
          <w:i/>
        </w:rPr>
        <w:t>Metacylicolaimus</w:t>
      </w:r>
      <w:r w:rsidR="00C739B0">
        <w:t xml:space="preserve"> a key taxon in our study. </w:t>
      </w:r>
    </w:p>
    <w:p w14:paraId="39F0DABC" w14:textId="68E684F8" w:rsidR="00F71C3E" w:rsidRPr="007659DB" w:rsidRDefault="00C4027B" w:rsidP="00CF5E54">
      <w:pPr>
        <w:spacing w:line="360" w:lineRule="auto"/>
      </w:pPr>
      <w:r>
        <w:tab/>
        <w:t xml:space="preserve">Little is known about the </w:t>
      </w:r>
      <w:r w:rsidR="00B07C81">
        <w:t xml:space="preserve">biology </w:t>
      </w:r>
      <w:r>
        <w:t xml:space="preserve">of our two </w:t>
      </w:r>
      <w:r w:rsidR="00B07C81">
        <w:t xml:space="preserve">top-ranked </w:t>
      </w:r>
      <w:r>
        <w:t xml:space="preserve">genera, </w:t>
      </w:r>
      <w:r>
        <w:rPr>
          <w:i/>
        </w:rPr>
        <w:t>Paramesacanthion</w:t>
      </w:r>
      <w:r>
        <w:t xml:space="preserve"> and </w:t>
      </w:r>
      <w:r>
        <w:rPr>
          <w:i/>
        </w:rPr>
        <w:t>Metacylicolaimus</w:t>
      </w:r>
      <w:r w:rsidR="00B07C81">
        <w:rPr>
          <w:i/>
        </w:rPr>
        <w:t xml:space="preserve">. </w:t>
      </w:r>
      <w:r w:rsidR="00B07C81" w:rsidRPr="00CF5E54">
        <w:t>The former</w:t>
      </w:r>
      <w:r w:rsidR="00B07C81">
        <w:rPr>
          <w:i/>
        </w:rPr>
        <w:t xml:space="preserve"> </w:t>
      </w:r>
      <w:r>
        <w:t xml:space="preserve">was a moderately common component of the meiofaunal nematode assemblage at </w:t>
      </w:r>
      <w:r w:rsidR="00B07C81">
        <w:t xml:space="preserve">4970 </w:t>
      </w:r>
      <w:r>
        <w:t xml:space="preserve">m </w:t>
      </w:r>
      <w:r w:rsidR="00B07C81">
        <w:t xml:space="preserve">water depth </w:t>
      </w:r>
      <w:r>
        <w:t>in the Nazaré Canyon (</w:t>
      </w:r>
      <w:hyperlink w:anchor="h.1pxezwc">
        <w:r>
          <w:t>Garcia</w:t>
        </w:r>
      </w:hyperlink>
      <w:hyperlink w:anchor="h.1pxezwc">
        <w:r>
          <w:rPr>
            <w:i/>
          </w:rPr>
          <w:t xml:space="preserve"> et al.</w:t>
        </w:r>
      </w:hyperlink>
      <w:hyperlink w:anchor="h.1pxezwc">
        <w:r>
          <w:t xml:space="preserve"> 2007)</w:t>
        </w:r>
      </w:hyperlink>
      <w:r w:rsidR="00B07C81">
        <w:t>,</w:t>
      </w:r>
      <w:r>
        <w:t xml:space="preserve"> and both genera occur</w:t>
      </w:r>
      <w:r w:rsidR="00B07C81">
        <w:t>red</w:t>
      </w:r>
      <w:r>
        <w:t xml:space="preserve"> occasionally </w:t>
      </w:r>
      <w:r w:rsidR="002D70ED">
        <w:t>in</w:t>
      </w:r>
      <w:r>
        <w:t xml:space="preserve"> meiofaunal </w:t>
      </w:r>
      <w:r w:rsidR="002D70ED">
        <w:t>samples from the same canyon (</w:t>
      </w:r>
      <w:r>
        <w:t xml:space="preserve">Ingels </w:t>
      </w:r>
      <w:r>
        <w:rPr>
          <w:i/>
        </w:rPr>
        <w:t>et al.</w:t>
      </w:r>
      <w:r>
        <w:t xml:space="preserve"> </w:t>
      </w:r>
      <w:r w:rsidR="002D70ED">
        <w:t>2</w:t>
      </w:r>
      <w:r>
        <w:t>011b)</w:t>
      </w:r>
      <w:r w:rsidR="002D70ED">
        <w:t>.</w:t>
      </w:r>
      <w:r>
        <w:t xml:space="preserve"> Soetaert </w:t>
      </w:r>
      <w:r w:rsidR="002D70ED">
        <w:t xml:space="preserve">&amp; </w:t>
      </w:r>
      <w:r>
        <w:t xml:space="preserve">Heip (1995) note that some Mediterranean canyons are characterised by predatory nematodes, including </w:t>
      </w:r>
      <w:r>
        <w:rPr>
          <w:i/>
        </w:rPr>
        <w:t>Paramesacanthion.</w:t>
      </w:r>
      <w:r w:rsidR="007659DB">
        <w:rPr>
          <w:i/>
        </w:rPr>
        <w:t xml:space="preserve"> </w:t>
      </w:r>
      <w:r w:rsidR="007659DB">
        <w:t>These large nematodes appear to be common inhabitants of at least some canyons</w:t>
      </w:r>
      <w:r w:rsidR="002D70ED">
        <w:t>,</w:t>
      </w:r>
      <w:r w:rsidR="0047311E">
        <w:t xml:space="preserve"> </w:t>
      </w:r>
      <w:r w:rsidR="00963919">
        <w:t>possibly</w:t>
      </w:r>
      <w:r w:rsidR="0047311E">
        <w:t xml:space="preserve"> linked to their role as predators</w:t>
      </w:r>
      <w:r w:rsidR="007659DB">
        <w:t xml:space="preserve">, although the reasons for this association </w:t>
      </w:r>
      <w:r w:rsidR="0047311E">
        <w:t>remain</w:t>
      </w:r>
      <w:r w:rsidR="007659DB">
        <w:t xml:space="preserve"> unclear. </w:t>
      </w:r>
    </w:p>
    <w:p w14:paraId="68042C72" w14:textId="77777777" w:rsidR="00F71C3E" w:rsidRDefault="00F71C3E">
      <w:pPr>
        <w:spacing w:line="480" w:lineRule="auto"/>
      </w:pPr>
    </w:p>
    <w:p w14:paraId="7CCAF068" w14:textId="736E921F" w:rsidR="00F71C3E" w:rsidRDefault="00C4027B" w:rsidP="00CF5E54">
      <w:pPr>
        <w:pStyle w:val="Heading2"/>
        <w:spacing w:line="360" w:lineRule="auto"/>
      </w:pPr>
      <w:r>
        <w:t xml:space="preserve">4.2 Comparison with </w:t>
      </w:r>
      <w:r w:rsidR="00F84F35">
        <w:t>M</w:t>
      </w:r>
      <w:r>
        <w:t xml:space="preserve">eiofaunal </w:t>
      </w:r>
      <w:r w:rsidR="00F84F35">
        <w:t>N</w:t>
      </w:r>
      <w:r>
        <w:t>ematodes</w:t>
      </w:r>
    </w:p>
    <w:p w14:paraId="1075CCA8" w14:textId="0B9772C4" w:rsidR="00F71C3E" w:rsidRDefault="006277FA" w:rsidP="00CF5E54">
      <w:pPr>
        <w:spacing w:line="360" w:lineRule="auto"/>
      </w:pPr>
      <w:r>
        <w:t xml:space="preserve">Most of the </w:t>
      </w:r>
      <w:r w:rsidR="00C4027B">
        <w:t xml:space="preserve">macrofaunal nematode genera identified in the present study are </w:t>
      </w:r>
      <w:r>
        <w:t xml:space="preserve">comparatively rare in </w:t>
      </w:r>
      <w:r w:rsidR="00C4027B">
        <w:t>meiofaunal assemblages</w:t>
      </w:r>
      <w:r w:rsidR="00C2060A">
        <w:t xml:space="preserve">. </w:t>
      </w:r>
      <w:r w:rsidR="004A0F37">
        <w:t>Only</w:t>
      </w:r>
      <w:r>
        <w:t xml:space="preserve"> </w:t>
      </w:r>
      <w:r w:rsidR="00C2060A">
        <w:t>four</w:t>
      </w:r>
      <w:r w:rsidR="00C4027B">
        <w:t xml:space="preserve"> </w:t>
      </w:r>
      <w:r w:rsidR="00C52950">
        <w:t>taxa</w:t>
      </w:r>
      <w:r w:rsidR="00C4027B">
        <w:t xml:space="preserve"> (</w:t>
      </w:r>
      <w:r w:rsidR="00C4027B">
        <w:rPr>
          <w:i/>
        </w:rPr>
        <w:t>Sabatieria, Aegialoalaimus, Sphaerolaimus, Oxystomina</w:t>
      </w:r>
      <w:r w:rsidR="00C4027B">
        <w:t xml:space="preserve">) listed by Pape </w:t>
      </w:r>
      <w:r w:rsidR="00C4027B">
        <w:rPr>
          <w:i/>
        </w:rPr>
        <w:t>et al.</w:t>
      </w:r>
      <w:r w:rsidR="00C4027B">
        <w:t xml:space="preserve"> (2013) as dominant (&gt; 3 %) at sites around the southern European margin (Mediterranean and Iberian) </w:t>
      </w:r>
      <w:r w:rsidR="00C52950">
        <w:t xml:space="preserve">were </w:t>
      </w:r>
      <w:r w:rsidR="00C4027B">
        <w:t xml:space="preserve">present in our </w:t>
      </w:r>
      <w:r w:rsidR="00C52950">
        <w:t>samples</w:t>
      </w:r>
      <w:r w:rsidR="00C4027B">
        <w:t>.</w:t>
      </w:r>
      <w:r w:rsidR="004A0F37">
        <w:t xml:space="preserve"> Similarly, only three of the genera (</w:t>
      </w:r>
      <w:r w:rsidR="004A0F37">
        <w:rPr>
          <w:i/>
        </w:rPr>
        <w:t xml:space="preserve">Syringolaimus, Sabatieria </w:t>
      </w:r>
      <w:r w:rsidR="004A0F37">
        <w:t xml:space="preserve">and </w:t>
      </w:r>
      <w:r w:rsidR="004A0F37">
        <w:rPr>
          <w:i/>
        </w:rPr>
        <w:t>Cervonema</w:t>
      </w:r>
      <w:r w:rsidR="004A0F37">
        <w:t>) reported as abundant in a study by</w:t>
      </w:r>
      <w:r w:rsidR="00C4027B">
        <w:t xml:space="preserve"> </w:t>
      </w:r>
      <w:hyperlink w:anchor="h.28h4qwu">
        <w:r w:rsidR="00C4027B">
          <w:t>Ingels</w:t>
        </w:r>
      </w:hyperlink>
      <w:hyperlink w:anchor="h.28h4qwu">
        <w:r w:rsidR="00C4027B">
          <w:rPr>
            <w:i/>
          </w:rPr>
          <w:t xml:space="preserve"> et al.</w:t>
        </w:r>
      </w:hyperlink>
      <w:hyperlink w:anchor="h.28h4qwu">
        <w:r w:rsidR="00C4027B">
          <w:t xml:space="preserve"> (2011c) </w:t>
        </w:r>
      </w:hyperlink>
      <w:r w:rsidR="004A0F37">
        <w:t>of</w:t>
      </w:r>
      <w:r w:rsidR="00C4027B">
        <w:t xml:space="preserve"> meiofaunal nematodes from the Whittard Canyon and </w:t>
      </w:r>
      <w:r w:rsidR="00957CAF">
        <w:t xml:space="preserve">Gollum Channel </w:t>
      </w:r>
      <w:r w:rsidR="004A3193">
        <w:t>(700 and 1200 m water depths)</w:t>
      </w:r>
      <w:r w:rsidR="00C4027B">
        <w:t xml:space="preserve"> </w:t>
      </w:r>
      <w:r w:rsidR="004A3193">
        <w:t xml:space="preserve">were recorded in </w:t>
      </w:r>
      <w:r w:rsidR="00C4027B">
        <w:t xml:space="preserve">our samples, and </w:t>
      </w:r>
      <w:r w:rsidR="004A3193">
        <w:t xml:space="preserve">they </w:t>
      </w:r>
      <w:r w:rsidR="00C4027B">
        <w:t xml:space="preserve">were relatively uncommon. Ingels </w:t>
      </w:r>
      <w:r w:rsidR="00C4027B">
        <w:rPr>
          <w:i/>
        </w:rPr>
        <w:t>et al.</w:t>
      </w:r>
      <w:r w:rsidR="00C4027B">
        <w:t xml:space="preserve"> (</w:t>
      </w:r>
      <w:r w:rsidR="004A0F37" w:rsidRPr="004A0F37">
        <w:t>2011c</w:t>
      </w:r>
      <w:r w:rsidR="00C4027B">
        <w:t xml:space="preserve">) </w:t>
      </w:r>
      <w:r w:rsidR="004A3193">
        <w:t xml:space="preserve">did </w:t>
      </w:r>
      <w:r w:rsidR="00C4027B">
        <w:t xml:space="preserve">record our two top-ranked genera, </w:t>
      </w:r>
      <w:r w:rsidR="00C4027B">
        <w:rPr>
          <w:i/>
        </w:rPr>
        <w:t>Metacylicolaimus</w:t>
      </w:r>
      <w:r w:rsidR="00C4027B">
        <w:t xml:space="preserve"> and </w:t>
      </w:r>
      <w:r w:rsidR="00C4027B">
        <w:rPr>
          <w:i/>
        </w:rPr>
        <w:t xml:space="preserve">Paramesacanthion, </w:t>
      </w:r>
      <w:r w:rsidR="00963919">
        <w:t xml:space="preserve">but </w:t>
      </w:r>
      <w:r w:rsidR="00C4027B">
        <w:t xml:space="preserve">they were not abundant. </w:t>
      </w:r>
      <w:r w:rsidR="00C4027B" w:rsidRPr="0096618A">
        <w:t xml:space="preserve">The use of completely different sieve fractions (&gt; 500 µm vs. &gt; 32 µm) probably accounts for these faunal differences, but different sampling depths (3500 m this study vs. 762 and 1160 m </w:t>
      </w:r>
      <w:r w:rsidR="0010204A" w:rsidRPr="0096618A">
        <w:t xml:space="preserve">in </w:t>
      </w:r>
      <w:r w:rsidR="00C4027B" w:rsidRPr="0096618A">
        <w:t xml:space="preserve">Ingels </w:t>
      </w:r>
      <w:r w:rsidR="00C4027B" w:rsidRPr="0096618A">
        <w:rPr>
          <w:i/>
        </w:rPr>
        <w:t>et al.</w:t>
      </w:r>
      <w:r w:rsidR="00C4027B" w:rsidRPr="0096618A">
        <w:t xml:space="preserve"> 2011c) may be an additional factor.</w:t>
      </w:r>
      <w:r w:rsidR="00C4027B">
        <w:t xml:space="preserve"> </w:t>
      </w:r>
    </w:p>
    <w:p w14:paraId="123911CA" w14:textId="7D1928CF" w:rsidR="00F71C3E" w:rsidRDefault="00C4027B" w:rsidP="00CF5E54">
      <w:pPr>
        <w:spacing w:line="360" w:lineRule="auto"/>
        <w:ind w:firstLine="720"/>
      </w:pPr>
      <w:r>
        <w:lastRenderedPageBreak/>
        <w:t xml:space="preserve">The most abundant nematode </w:t>
      </w:r>
      <w:r w:rsidR="00401EBC">
        <w:t xml:space="preserve">genera </w:t>
      </w:r>
      <w:r>
        <w:t xml:space="preserve">among the meiofauna </w:t>
      </w:r>
      <w:r w:rsidR="00963919">
        <w:t>f</w:t>
      </w:r>
      <w:r w:rsidR="004A0F37">
        <w:t>r</w:t>
      </w:r>
      <w:r w:rsidR="00963919">
        <w:t>o</w:t>
      </w:r>
      <w:r w:rsidR="004A0F37">
        <w:t xml:space="preserve">m </w:t>
      </w:r>
      <w:r>
        <w:t xml:space="preserve">a group of Mediterranean canyons </w:t>
      </w:r>
      <w:r w:rsidR="00401EBC">
        <w:t xml:space="preserve">were </w:t>
      </w:r>
      <w:r>
        <w:rPr>
          <w:i/>
        </w:rPr>
        <w:t>Sabatieria</w:t>
      </w:r>
      <w:r w:rsidR="00401EBC">
        <w:rPr>
          <w:i/>
        </w:rPr>
        <w:t xml:space="preserve">, </w:t>
      </w:r>
      <w:r>
        <w:rPr>
          <w:i/>
        </w:rPr>
        <w:t>Sphaerolaimus</w:t>
      </w:r>
      <w:r>
        <w:t xml:space="preserve"> and </w:t>
      </w:r>
      <w:r>
        <w:rPr>
          <w:i/>
        </w:rPr>
        <w:t xml:space="preserve">Synonchiella </w:t>
      </w:r>
      <w:r>
        <w:t>(</w:t>
      </w:r>
      <w:hyperlink w:anchor="h.34g0dwd">
        <w:r>
          <w:t xml:space="preserve">Soetaert </w:t>
        </w:r>
        <w:r w:rsidR="00401EBC">
          <w:t xml:space="preserve">&amp; </w:t>
        </w:r>
        <w:r>
          <w:t>Heip 1995)</w:t>
        </w:r>
      </w:hyperlink>
      <w:r w:rsidR="00401EBC">
        <w:t>;</w:t>
      </w:r>
      <w:r>
        <w:t xml:space="preserve"> </w:t>
      </w:r>
      <w:r>
        <w:rPr>
          <w:i/>
        </w:rPr>
        <w:t>Paramesacanthion</w:t>
      </w:r>
      <w:r>
        <w:t xml:space="preserve"> was uncommon and </w:t>
      </w:r>
      <w:r>
        <w:rPr>
          <w:i/>
        </w:rPr>
        <w:t>Metacylicolaimus</w:t>
      </w:r>
      <w:r>
        <w:t xml:space="preserve"> not </w:t>
      </w:r>
      <w:r w:rsidR="00401EBC">
        <w:t>recorded</w:t>
      </w:r>
      <w:r>
        <w:t xml:space="preserve">. </w:t>
      </w:r>
      <w:r w:rsidR="00401EBC" w:rsidRPr="00CF5E54">
        <w:t>The latter two genera</w:t>
      </w:r>
      <w:r w:rsidR="00401EBC">
        <w:rPr>
          <w:i/>
        </w:rPr>
        <w:t xml:space="preserve"> </w:t>
      </w:r>
      <w:r w:rsidR="00401EBC" w:rsidRPr="00CF5E54">
        <w:t>were</w:t>
      </w:r>
      <w:r w:rsidRPr="00401EBC">
        <w:t xml:space="preserve"> </w:t>
      </w:r>
      <w:r>
        <w:t xml:space="preserve">not listed among the most abundant meiofaunal nematode genera (&gt; 3 %) between 3200 and 4500 m </w:t>
      </w:r>
      <w:r w:rsidR="00401EBC">
        <w:t xml:space="preserve">water depth </w:t>
      </w:r>
      <w:r>
        <w:t>in Cas</w:t>
      </w:r>
      <w:r w:rsidR="0010204A">
        <w:t>ç</w:t>
      </w:r>
      <w:r>
        <w:t>ais and Sebútal Canyons (</w:t>
      </w:r>
      <w:hyperlink w:anchor="h.4f1mdlm">
        <w:r>
          <w:t>Ingels</w:t>
        </w:r>
      </w:hyperlink>
      <w:hyperlink w:anchor="h.4f1mdlm">
        <w:r>
          <w:rPr>
            <w:i/>
          </w:rPr>
          <w:t xml:space="preserve"> et al.</w:t>
        </w:r>
      </w:hyperlink>
      <w:hyperlink w:anchor="h.4f1mdlm">
        <w:r>
          <w:t xml:space="preserve"> 2011a)</w:t>
        </w:r>
      </w:hyperlink>
      <w:r>
        <w:t xml:space="preserve">, where the dominant genus was </w:t>
      </w:r>
      <w:r>
        <w:rPr>
          <w:i/>
        </w:rPr>
        <w:t>Acantholaimus</w:t>
      </w:r>
      <w:r w:rsidR="00832E0A">
        <w:rPr>
          <w:i/>
        </w:rPr>
        <w:t>.</w:t>
      </w:r>
      <w:r>
        <w:t xml:space="preserve"> </w:t>
      </w:r>
      <w:r>
        <w:rPr>
          <w:i/>
        </w:rPr>
        <w:t>Metalinhomoeus</w:t>
      </w:r>
      <w:r>
        <w:t xml:space="preserve"> and </w:t>
      </w:r>
      <w:r>
        <w:rPr>
          <w:i/>
        </w:rPr>
        <w:t>Sabatieria</w:t>
      </w:r>
      <w:r>
        <w:t xml:space="preserve"> were the dominant genera in the Nazaré Canyon (300-4970 m </w:t>
      </w:r>
      <w:r w:rsidR="00832E0A">
        <w:t xml:space="preserve">water </w:t>
      </w:r>
      <w:r>
        <w:t>depth)</w:t>
      </w:r>
      <w:r w:rsidR="00832E0A">
        <w:t>;</w:t>
      </w:r>
      <w:r>
        <w:t xml:space="preserve"> </w:t>
      </w:r>
      <w:r>
        <w:rPr>
          <w:i/>
        </w:rPr>
        <w:t>Paramesacanthion</w:t>
      </w:r>
      <w:r>
        <w:t xml:space="preserve"> and </w:t>
      </w:r>
      <w:r>
        <w:rPr>
          <w:i/>
        </w:rPr>
        <w:t xml:space="preserve">Metacylicolaimus </w:t>
      </w:r>
      <w:r>
        <w:t xml:space="preserve">were present but were not common (Garcia </w:t>
      </w:r>
      <w:r>
        <w:rPr>
          <w:i/>
        </w:rPr>
        <w:t>et al.</w:t>
      </w:r>
      <w:r>
        <w:t xml:space="preserve"> 2007). </w:t>
      </w:r>
      <w:r w:rsidRPr="0096618A">
        <w:t xml:space="preserve">Again, these differences most likely result from the use of much finer size fractions compared with the present study. Most free-living meiobenthic marine nematodes span a body length range of 0.5 – 3 mm (Giere 2009), whereas the nematodes in our samples reached lengths of up to 13 mm. Mesh size is therefore likely to have a strong influence on the species that are recorded (LeDuc </w:t>
      </w:r>
      <w:r w:rsidRPr="0096618A">
        <w:rPr>
          <w:i/>
        </w:rPr>
        <w:t>et al</w:t>
      </w:r>
      <w:r w:rsidRPr="0096618A">
        <w:t>. 2010).</w:t>
      </w:r>
      <w:r>
        <w:t xml:space="preserve"> </w:t>
      </w:r>
    </w:p>
    <w:p w14:paraId="326C342C" w14:textId="77777777" w:rsidR="00F71C3E" w:rsidRDefault="00F71C3E">
      <w:pPr>
        <w:spacing w:line="480" w:lineRule="auto"/>
      </w:pPr>
    </w:p>
    <w:p w14:paraId="165EB3BA" w14:textId="5F91D680" w:rsidR="00F71C3E" w:rsidRDefault="00C4027B" w:rsidP="00CF5E54">
      <w:pPr>
        <w:pStyle w:val="Heading2"/>
        <w:spacing w:line="360" w:lineRule="auto"/>
      </w:pPr>
      <w:r>
        <w:t xml:space="preserve">4.3 </w:t>
      </w:r>
      <w:r w:rsidR="00F21B9D">
        <w:t>Standing Stock</w:t>
      </w:r>
      <w:r>
        <w:t xml:space="preserve"> of </w:t>
      </w:r>
      <w:r w:rsidR="00F21B9D">
        <w:t>Macrofaunal N</w:t>
      </w:r>
      <w:r>
        <w:t xml:space="preserve">ematodes </w:t>
      </w:r>
    </w:p>
    <w:p w14:paraId="463AE33C" w14:textId="6C5C09B0" w:rsidR="008A0318" w:rsidRDefault="00D64DD8" w:rsidP="00CF5E54">
      <w:pPr>
        <w:spacing w:line="360" w:lineRule="auto"/>
      </w:pPr>
      <w:hyperlink w:anchor="h.1v1yuxt">
        <w:r w:rsidR="00C4027B">
          <w:t>Hunter</w:t>
        </w:r>
      </w:hyperlink>
      <w:hyperlink w:anchor="h.1v1yuxt">
        <w:r w:rsidR="00C4027B">
          <w:rPr>
            <w:i/>
          </w:rPr>
          <w:t xml:space="preserve"> et al.</w:t>
        </w:r>
      </w:hyperlink>
      <w:hyperlink w:anchor="h.1v1yuxt">
        <w:r w:rsidR="00C4027B">
          <w:t xml:space="preserve"> (2013),</w:t>
        </w:r>
      </w:hyperlink>
      <w:r w:rsidR="00A27B28">
        <w:t xml:space="preserve"> who studied samples from sites close to ours,</w:t>
      </w:r>
      <w:r w:rsidR="00C4027B">
        <w:t xml:space="preserve"> </w:t>
      </w:r>
      <w:r w:rsidR="009D098D">
        <w:t xml:space="preserve">reported that </w:t>
      </w:r>
      <w:r w:rsidR="00C4027B">
        <w:t xml:space="preserve">nematodes represented a higher proportion of the macrofauna </w:t>
      </w:r>
      <w:r w:rsidR="008A0318">
        <w:t>(&gt;</w:t>
      </w:r>
      <w:r w:rsidR="009D098D">
        <w:t xml:space="preserve"> </w:t>
      </w:r>
      <w:r w:rsidR="008A0318">
        <w:t>250 µm</w:t>
      </w:r>
      <w:r w:rsidR="009D098D">
        <w:t xml:space="preserve"> mesh</w:t>
      </w:r>
      <w:r w:rsidR="008A0318">
        <w:t xml:space="preserve">) </w:t>
      </w:r>
      <w:r w:rsidR="00C4027B">
        <w:t>at Eastern (55 %, 487 ind 0.1 m</w:t>
      </w:r>
      <w:r w:rsidR="00C4027B">
        <w:rPr>
          <w:vertAlign w:val="superscript"/>
        </w:rPr>
        <w:t>-2</w:t>
      </w:r>
      <w:r w:rsidR="00C4027B">
        <w:t xml:space="preserve">) than </w:t>
      </w:r>
      <w:r w:rsidR="009D098D">
        <w:t>at</w:t>
      </w:r>
      <w:r w:rsidR="00C4027B">
        <w:t xml:space="preserve"> Western (35 %, 16</w:t>
      </w:r>
      <w:r w:rsidR="009D098D">
        <w:t>5</w:t>
      </w:r>
      <w:r w:rsidR="00C4027B">
        <w:t xml:space="preserve"> ind 0.1 m</w:t>
      </w:r>
      <w:r w:rsidR="00C4027B">
        <w:rPr>
          <w:vertAlign w:val="superscript"/>
        </w:rPr>
        <w:t>-2</w:t>
      </w:r>
      <w:r w:rsidR="00C4027B">
        <w:t>)</w:t>
      </w:r>
      <w:r w:rsidR="009D098D">
        <w:t>.</w:t>
      </w:r>
      <w:r w:rsidR="00C4027B">
        <w:t xml:space="preserve"> We also found that Eastern had the highest relative and absolute abundances of macrofaunal nematodes (15 %, </w:t>
      </w:r>
      <w:r w:rsidR="006A4049">
        <w:t>47</w:t>
      </w:r>
      <w:r w:rsidR="00C4027B">
        <w:t xml:space="preserve"> ind 0.1 m</w:t>
      </w:r>
      <w:r w:rsidR="00C4027B">
        <w:rPr>
          <w:vertAlign w:val="superscript"/>
        </w:rPr>
        <w:t>-2</w:t>
      </w:r>
      <w:r w:rsidR="006A4049">
        <w:t>)</w:t>
      </w:r>
      <w:r w:rsidR="00963919">
        <w:t>,</w:t>
      </w:r>
      <w:r w:rsidR="008A0318">
        <w:t xml:space="preserve"> </w:t>
      </w:r>
      <w:r w:rsidR="006A4049">
        <w:t xml:space="preserve">our </w:t>
      </w:r>
      <w:r w:rsidR="00C4027B">
        <w:t xml:space="preserve">much lower </w:t>
      </w:r>
      <w:r w:rsidR="006A4049">
        <w:t xml:space="preserve">density reflecting </w:t>
      </w:r>
      <w:r w:rsidR="00A27B28">
        <w:t xml:space="preserve">the </w:t>
      </w:r>
      <w:r w:rsidR="00C4027B">
        <w:t>use of a 500</w:t>
      </w:r>
      <w:r w:rsidR="006A4049">
        <w:t xml:space="preserve"> </w:t>
      </w:r>
      <w:r w:rsidR="00C4027B">
        <w:t>μm</w:t>
      </w:r>
      <w:r w:rsidR="006A4049">
        <w:t xml:space="preserve"> </w:t>
      </w:r>
      <w:r w:rsidR="00C4027B">
        <w:t xml:space="preserve">mesh sieve. </w:t>
      </w:r>
      <w:r w:rsidR="008A0318">
        <w:t xml:space="preserve">Hunter </w:t>
      </w:r>
      <w:r w:rsidR="008A0318" w:rsidRPr="00CF5E54">
        <w:rPr>
          <w:i/>
        </w:rPr>
        <w:t>et al.</w:t>
      </w:r>
      <w:r w:rsidR="008A0318">
        <w:t xml:space="preserve"> </w:t>
      </w:r>
      <w:r w:rsidR="008A0318" w:rsidRPr="00A27B28">
        <w:t>(</w:t>
      </w:r>
      <w:r w:rsidR="00A27B28" w:rsidRPr="00A27B28">
        <w:t>2013</w:t>
      </w:r>
      <w:r w:rsidR="008A0318" w:rsidRPr="00A27B28">
        <w:t>)</w:t>
      </w:r>
      <w:r w:rsidR="008A0318">
        <w:t xml:space="preserve"> suggested </w:t>
      </w:r>
      <w:r w:rsidR="00C4027B">
        <w:t>that the high densities of nematodes</w:t>
      </w:r>
      <w:r w:rsidR="006A4049">
        <w:t>,</w:t>
      </w:r>
      <w:r w:rsidR="00C4027B">
        <w:t xml:space="preserve"> and cirratulid and spionid polychaetes </w:t>
      </w:r>
      <w:r w:rsidR="006A4049">
        <w:t>at Eastern might</w:t>
      </w:r>
      <w:r w:rsidR="00C4027B">
        <w:t xml:space="preserve"> indicate either organic-matter enrichment </w:t>
      </w:r>
      <w:r w:rsidR="006A4049">
        <w:t>(</w:t>
      </w:r>
      <w:r w:rsidR="00C4027B">
        <w:t>combined with oxygen limitation</w:t>
      </w:r>
      <w:r w:rsidR="006A4049">
        <w:t>),</w:t>
      </w:r>
      <w:r w:rsidR="00C4027B">
        <w:t xml:space="preserve"> or disturbance of the sedimentary environment. </w:t>
      </w:r>
      <w:r w:rsidR="006A4049">
        <w:t xml:space="preserve">Hunter </w:t>
      </w:r>
      <w:r w:rsidR="006A4049" w:rsidRPr="00E4621E">
        <w:rPr>
          <w:i/>
        </w:rPr>
        <w:t>et al.</w:t>
      </w:r>
      <w:r w:rsidR="006A4049">
        <w:t xml:space="preserve"> also provide direct estimates of sediment organic matter content for the Western (particulate organic carbon 0.53 %, total nitrogen 0.08 %) and Eastern (0.70 %, 0.10 %) locations.</w:t>
      </w:r>
    </w:p>
    <w:p w14:paraId="4685D0BB" w14:textId="6897E7E1" w:rsidR="004B7D8F" w:rsidRDefault="00D64DD8" w:rsidP="00CF5E54">
      <w:pPr>
        <w:spacing w:line="360" w:lineRule="auto"/>
        <w:ind w:firstLine="720"/>
      </w:pPr>
      <w:hyperlink w:anchor="h.1baon6m">
        <w:r w:rsidR="00C4027B">
          <w:t>Vanreusel</w:t>
        </w:r>
      </w:hyperlink>
      <w:hyperlink w:anchor="h.1baon6m">
        <w:r w:rsidR="00C4027B">
          <w:rPr>
            <w:i/>
          </w:rPr>
          <w:t xml:space="preserve"> et al.</w:t>
        </w:r>
      </w:hyperlink>
      <w:hyperlink w:anchor="h.1baon6m">
        <w:r w:rsidR="00C4027B">
          <w:t xml:space="preserve"> (1995) </w:t>
        </w:r>
      </w:hyperlink>
      <w:r w:rsidR="002B2DD9">
        <w:t>suggested</w:t>
      </w:r>
      <w:r w:rsidR="008A0318">
        <w:t xml:space="preserve"> </w:t>
      </w:r>
      <w:r w:rsidR="00C4027B">
        <w:t xml:space="preserve">that mean nematode body size </w:t>
      </w:r>
      <w:r w:rsidR="002B2DD9">
        <w:t xml:space="preserve">may be </w:t>
      </w:r>
      <w:r w:rsidR="00C4027B">
        <w:t>linked to food availability</w:t>
      </w:r>
      <w:r w:rsidR="002B2DD9">
        <w:t>, reporting</w:t>
      </w:r>
      <w:r w:rsidR="00C4027B">
        <w:t xml:space="preserve"> that a more eutrophic site on the Porcupine Abyssal Plain </w:t>
      </w:r>
      <w:r w:rsidR="002B2DD9">
        <w:t xml:space="preserve">(4850 m water depth) </w:t>
      </w:r>
      <w:r w:rsidR="00C4027B">
        <w:t xml:space="preserve">yielded a higher number of large nematodes than an oligotrophic site on the </w:t>
      </w:r>
      <w:r w:rsidR="002B2DD9">
        <w:t>Cap Verde Abyssal Plain (4600 m water depth)</w:t>
      </w:r>
      <w:r w:rsidR="00C4027B">
        <w:t>. Similarly, nematodes represented 71</w:t>
      </w:r>
      <w:r w:rsidR="00963919">
        <w:t xml:space="preserve"> </w:t>
      </w:r>
      <w:r w:rsidR="00C4027B">
        <w:t>% of the macrofauna at a eutrophic site (525</w:t>
      </w:r>
      <w:r w:rsidR="002B2DD9">
        <w:t>0</w:t>
      </w:r>
      <w:r w:rsidR="00C4027B">
        <w:t xml:space="preserve"> m) compared with 36 % at an oligotrophic site (</w:t>
      </w:r>
      <w:r w:rsidR="002B2DD9">
        <w:t xml:space="preserve">4280 </w:t>
      </w:r>
      <w:r w:rsidR="00C4027B">
        <w:t>m) in the western North Pacific (</w:t>
      </w:r>
      <w:hyperlink w:anchor="h.30j0zll">
        <w:r w:rsidR="00C4027B">
          <w:t>Alves</w:t>
        </w:r>
      </w:hyperlink>
      <w:hyperlink w:anchor="h.30j0zll">
        <w:r w:rsidR="00C4027B">
          <w:rPr>
            <w:i/>
          </w:rPr>
          <w:t xml:space="preserve"> et al.</w:t>
        </w:r>
      </w:hyperlink>
      <w:hyperlink w:anchor="h.30j0zll">
        <w:r w:rsidR="00C4027B">
          <w:t xml:space="preserve"> </w:t>
        </w:r>
        <w:r w:rsidR="00C4027B">
          <w:lastRenderedPageBreak/>
          <w:t>2015)</w:t>
        </w:r>
      </w:hyperlink>
      <w:r w:rsidR="00C4027B">
        <w:t xml:space="preserve">. </w:t>
      </w:r>
      <w:hyperlink w:anchor="h.lnxbz9">
        <w:r w:rsidR="00C4027B">
          <w:t xml:space="preserve">Bett </w:t>
        </w:r>
        <w:r w:rsidR="002B2DD9">
          <w:t xml:space="preserve">&amp; </w:t>
        </w:r>
        <w:r w:rsidR="00C4027B">
          <w:t xml:space="preserve">Moore (1988) </w:t>
        </w:r>
      </w:hyperlink>
      <w:r w:rsidR="00C4027B">
        <w:t xml:space="preserve">reported </w:t>
      </w:r>
      <w:r w:rsidR="002B2DD9">
        <w:t xml:space="preserve">very </w:t>
      </w:r>
      <w:r w:rsidR="00C4027B">
        <w:t xml:space="preserve">high </w:t>
      </w:r>
      <w:r w:rsidR="002B2DD9">
        <w:t xml:space="preserve">densities </w:t>
      </w:r>
      <w:r w:rsidR="00C4027B">
        <w:t>of a large</w:t>
      </w:r>
      <w:r w:rsidR="00C4027B">
        <w:rPr>
          <w:i/>
        </w:rPr>
        <w:t xml:space="preserve"> </w:t>
      </w:r>
      <w:r w:rsidR="00C4027B">
        <w:t>(20 mm), nematode (</w:t>
      </w:r>
      <w:r w:rsidR="00C4027B">
        <w:rPr>
          <w:i/>
        </w:rPr>
        <w:t>Pontonema alaeospicula)</w:t>
      </w:r>
      <w:r w:rsidR="00C4027B">
        <w:t xml:space="preserve"> at </w:t>
      </w:r>
      <w:r w:rsidR="002B2DD9">
        <w:t xml:space="preserve">an extremely eutrophic </w:t>
      </w:r>
      <w:r w:rsidR="00C4027B">
        <w:t xml:space="preserve">sublittoral </w:t>
      </w:r>
      <w:r w:rsidR="002B2DD9">
        <w:t xml:space="preserve">site </w:t>
      </w:r>
      <w:r w:rsidR="00C4027B">
        <w:t xml:space="preserve">off the Scottish coast (82 m </w:t>
      </w:r>
      <w:r w:rsidR="002B2DD9">
        <w:t xml:space="preserve">water </w:t>
      </w:r>
      <w:r w:rsidR="00C4027B">
        <w:t>depth). High numbers of macrofaunal nematodes (&gt; 300 μm) in the Baltimore Canyon (NW Atlantic) were linked to increased food availability inside the canyon (</w:t>
      </w:r>
      <w:hyperlink w:anchor="h.44sinio">
        <w:r w:rsidR="00C4027B">
          <w:t>Bourque</w:t>
        </w:r>
      </w:hyperlink>
      <w:hyperlink w:anchor="h.44sinio">
        <w:r w:rsidR="00C4027B">
          <w:rPr>
            <w:i/>
          </w:rPr>
          <w:t xml:space="preserve"> et al.</w:t>
        </w:r>
      </w:hyperlink>
      <w:hyperlink w:anchor="h.44sinio">
        <w:r w:rsidR="00C4027B">
          <w:t xml:space="preserve"> 2015)</w:t>
        </w:r>
      </w:hyperlink>
      <w:r w:rsidR="00C4027B">
        <w:t xml:space="preserve">. More generally, high levels of organic enrichment are thought to result in dramatic increases in </w:t>
      </w:r>
      <w:r w:rsidR="00704C17">
        <w:t xml:space="preserve">the </w:t>
      </w:r>
      <w:r w:rsidR="00C4027B">
        <w:t xml:space="preserve">abundance </w:t>
      </w:r>
      <w:r w:rsidR="00704C17">
        <w:t xml:space="preserve">and dominance </w:t>
      </w:r>
      <w:r w:rsidR="00C4027B">
        <w:t>of the largest species of</w:t>
      </w:r>
      <w:r w:rsidR="00775CD2">
        <w:t xml:space="preserve"> the </w:t>
      </w:r>
      <w:r w:rsidR="00C4027B">
        <w:t>meiobenthos, mainly nematodes in the family Oncholaimidae</w:t>
      </w:r>
      <w:r w:rsidR="00C4027B">
        <w:rPr>
          <w:i/>
        </w:rPr>
        <w:t xml:space="preserve"> </w:t>
      </w:r>
      <w:r w:rsidR="00C4027B">
        <w:t>and harpacticoid copepods (</w:t>
      </w:r>
      <w:hyperlink w:anchor="h.39kk8xu">
        <w:r w:rsidR="00C4027B">
          <w:t>Warwick</w:t>
        </w:r>
      </w:hyperlink>
      <w:hyperlink w:anchor="h.39kk8xu">
        <w:r w:rsidR="00C4027B">
          <w:rPr>
            <w:i/>
          </w:rPr>
          <w:t xml:space="preserve"> et al.</w:t>
        </w:r>
      </w:hyperlink>
      <w:hyperlink w:anchor="h.39kk8xu">
        <w:r w:rsidR="00C4027B">
          <w:t xml:space="preserve"> 1986</w:t>
        </w:r>
        <w:r w:rsidR="00775CD2">
          <w:t>; Moore &amp; Bett 1989</w:t>
        </w:r>
        <w:r w:rsidR="00C4027B">
          <w:t>)</w:t>
        </w:r>
      </w:hyperlink>
      <w:r w:rsidR="00C4027B">
        <w:t xml:space="preserve">. </w:t>
      </w:r>
    </w:p>
    <w:p w14:paraId="4A21AFA0" w14:textId="23E67253" w:rsidR="00F71C3E" w:rsidRDefault="004B7D8F" w:rsidP="00CF5E54">
      <w:pPr>
        <w:spacing w:line="360" w:lineRule="auto"/>
        <w:ind w:firstLine="720"/>
      </w:pPr>
      <w:r w:rsidRPr="00766EB9">
        <w:t>A similar relationship between the quantity and quality</w:t>
      </w:r>
      <w:r>
        <w:t xml:space="preserve"> of available organic matter and the standing stocks of macrofaunal nematodes may also apply in the Whittard Canyon system</w:t>
      </w:r>
      <w:r w:rsidR="00531257">
        <w:t>, where</w:t>
      </w:r>
      <w:r>
        <w:t xml:space="preserve"> both density and biomass were significantly higher (Fig. 2) at canyon locations than the Slope location. Similarly, numerical dominance was markedly increased (Fig. 5), and diversity decreased (Table </w:t>
      </w:r>
      <w:r w:rsidR="00515A05">
        <w:t>5</w:t>
      </w:r>
      <w:r>
        <w:t xml:space="preserve">), at canyon locations relative to the Slope location. Canyons are thought to represent preferential funnels </w:t>
      </w:r>
      <w:r w:rsidR="00531257">
        <w:t>or</w:t>
      </w:r>
      <w:r>
        <w:t xml:space="preserve"> conduits through which organic matter of terrestrial and shelf-sea origin is transported to the deep sea (</w:t>
      </w:r>
      <w:r w:rsidRPr="00E227B3">
        <w:t>Vetter &amp; Dayton 1998</w:t>
      </w:r>
      <w:r>
        <w:t>), such that enhanced benthic stocks may be expected. It is also possible that canyons may act to trap laterally advecting organic material</w:t>
      </w:r>
      <w:r w:rsidR="00531257">
        <w:t>,</w:t>
      </w:r>
      <w:r>
        <w:t xml:space="preserve"> a mechanism that </w:t>
      </w:r>
      <w:r w:rsidR="00963919">
        <w:t>possibly</w:t>
      </w:r>
      <w:r w:rsidR="00531257">
        <w:t xml:space="preserve"> occurs i</w:t>
      </w:r>
      <w:r>
        <w:t>n the deeper Whittard Canyon (Whittard Channel) and may</w:t>
      </w:r>
      <w:r w:rsidR="00531257">
        <w:t>be responsible for the enhanced local</w:t>
      </w:r>
      <w:r>
        <w:t xml:space="preserve"> abundance of megabenthos (</w:t>
      </w:r>
      <w:r w:rsidRPr="00A46936">
        <w:t>elpidiid holothurians</w:t>
      </w:r>
      <w:r>
        <w:t>)</w:t>
      </w:r>
      <w:r w:rsidR="00531257">
        <w:t xml:space="preserve">(Amaro </w:t>
      </w:r>
      <w:r w:rsidR="00531257" w:rsidRPr="00531257">
        <w:rPr>
          <w:i/>
        </w:rPr>
        <w:t>et al.</w:t>
      </w:r>
      <w:r w:rsidR="00531257">
        <w:t xml:space="preserve"> 2015)</w:t>
      </w:r>
      <w:r>
        <w:t xml:space="preserve">. More </w:t>
      </w:r>
      <w:r w:rsidRPr="001E7FEC">
        <w:rPr>
          <w:color w:val="000000" w:themeColor="text1"/>
        </w:rPr>
        <w:t xml:space="preserve">generally, organic matter entrained by the North Atlantic slope current, which flows east to west across our study area (Pingree &amp; Le Cann, 1989), possibly results in higher food availability in the Eastern branch, leading to an enhanced abundance of macrofaunal nematodes (Table 3) as well as of macrofauna generally (Table 2; Gunton </w:t>
      </w:r>
      <w:r w:rsidRPr="001E7FEC">
        <w:rPr>
          <w:i/>
          <w:color w:val="000000" w:themeColor="text1"/>
        </w:rPr>
        <w:t>et al.</w:t>
      </w:r>
      <w:r w:rsidRPr="001E7FEC">
        <w:rPr>
          <w:color w:val="000000" w:themeColor="text1"/>
        </w:rPr>
        <w:t xml:space="preserve"> 2015a; Amaro </w:t>
      </w:r>
      <w:r w:rsidRPr="001E7FEC">
        <w:rPr>
          <w:i/>
          <w:color w:val="000000" w:themeColor="text1"/>
        </w:rPr>
        <w:t>et al.</w:t>
      </w:r>
      <w:r w:rsidRPr="001E7FEC">
        <w:rPr>
          <w:color w:val="000000" w:themeColor="text1"/>
        </w:rPr>
        <w:t xml:space="preserve"> 2016). As noted in 4.3 above, Hunter </w:t>
      </w:r>
      <w:r w:rsidRPr="001E7FEC">
        <w:rPr>
          <w:i/>
          <w:color w:val="000000" w:themeColor="text1"/>
        </w:rPr>
        <w:t>et al.</w:t>
      </w:r>
      <w:r w:rsidRPr="001E7FEC">
        <w:rPr>
          <w:color w:val="000000" w:themeColor="text1"/>
        </w:rPr>
        <w:t xml:space="preserve"> (2013) measured increased levels of sedimentary organic carbon and total nitrogen at the Eastern location than the Western location.</w:t>
      </w:r>
    </w:p>
    <w:p w14:paraId="131C7CCF" w14:textId="123E20E0" w:rsidR="00F71C3E" w:rsidRDefault="00C4027B" w:rsidP="00CF5E54">
      <w:pPr>
        <w:pStyle w:val="Heading2"/>
        <w:spacing w:line="360" w:lineRule="auto"/>
      </w:pPr>
      <w:r>
        <w:t xml:space="preserve">4.4 </w:t>
      </w:r>
      <w:r w:rsidR="00D76461">
        <w:t xml:space="preserve">Macrofaunal Nematode Trait Analyses </w:t>
      </w:r>
    </w:p>
    <w:p w14:paraId="073030C5" w14:textId="7850E45C" w:rsidR="00F71C3E" w:rsidRDefault="00C4027B" w:rsidP="00CF5E54">
      <w:pPr>
        <w:spacing w:line="360" w:lineRule="auto"/>
      </w:pPr>
      <w:r>
        <w:t>Feeding type 2B (omnivore/</w:t>
      </w:r>
      <w:r w:rsidR="00F50619">
        <w:t xml:space="preserve"> predator</w:t>
      </w:r>
      <w:r>
        <w:t>) nematodes are generally rare in deep-sea meiobenthic assemblages (</w:t>
      </w:r>
      <w:hyperlink w:anchor="h.nmf14n">
        <w:r>
          <w:t>Jensen 1988;</w:t>
        </w:r>
      </w:hyperlink>
      <w:r>
        <w:t xml:space="preserve"> </w:t>
      </w:r>
      <w:hyperlink w:anchor="h.2iq8gzs">
        <w:r>
          <w:t>Thistle</w:t>
        </w:r>
      </w:hyperlink>
      <w:hyperlink w:anchor="h.2iq8gzs">
        <w:r>
          <w:rPr>
            <w:i/>
          </w:rPr>
          <w:t xml:space="preserve"> et al.</w:t>
        </w:r>
      </w:hyperlink>
      <w:hyperlink w:anchor="h.2iq8gzs">
        <w:r>
          <w:t xml:space="preserve"> 1995;</w:t>
        </w:r>
      </w:hyperlink>
      <w:r>
        <w:t xml:space="preserve"> </w:t>
      </w:r>
      <w:hyperlink w:anchor="h.2zbgiuw">
        <w:r>
          <w:t>Pape</w:t>
        </w:r>
      </w:hyperlink>
      <w:hyperlink w:anchor="h.2zbgiuw">
        <w:r>
          <w:rPr>
            <w:i/>
          </w:rPr>
          <w:t xml:space="preserve"> et al.</w:t>
        </w:r>
      </w:hyperlink>
      <w:hyperlink w:anchor="h.2zbgiuw">
        <w:r>
          <w:t xml:space="preserve"> 2013)</w:t>
        </w:r>
      </w:hyperlink>
      <w:r>
        <w:t xml:space="preserve">. </w:t>
      </w:r>
      <w:r w:rsidR="00F50619">
        <w:t xml:space="preserve">However, they were more abundant at canyon locations than at the Slope location (Fig. 4A) and particularly abundant (53 %) at the Eastern location. These taxa tend to </w:t>
      </w:r>
      <w:r w:rsidR="00F50619">
        <w:lastRenderedPageBreak/>
        <w:t xml:space="preserve">be of larger body size, and consequently more likely to be encountered in the macrofaunal size fraction. </w:t>
      </w:r>
      <w:r>
        <w:t xml:space="preserve">Pavithran </w:t>
      </w:r>
      <w:r w:rsidRPr="001F051C">
        <w:rPr>
          <w:i/>
        </w:rPr>
        <w:t>et al</w:t>
      </w:r>
      <w:r>
        <w:t xml:space="preserve">. (2009) reported that </w:t>
      </w:r>
      <w:r w:rsidR="00F50619">
        <w:t>2B-taxa</w:t>
      </w:r>
      <w:r>
        <w:t xml:space="preserve"> </w:t>
      </w:r>
      <w:r w:rsidR="00F50619">
        <w:t>(</w:t>
      </w:r>
      <w:r>
        <w:rPr>
          <w:i/>
        </w:rPr>
        <w:t>Viscosia</w:t>
      </w:r>
      <w:r>
        <w:t xml:space="preserve">, </w:t>
      </w:r>
      <w:r>
        <w:rPr>
          <w:i/>
        </w:rPr>
        <w:t>Polygastrophora</w:t>
      </w:r>
      <w:r>
        <w:t xml:space="preserve">, </w:t>
      </w:r>
      <w:r>
        <w:rPr>
          <w:i/>
        </w:rPr>
        <w:t>Dolicholaimus</w:t>
      </w:r>
      <w:r w:rsidR="00F50619">
        <w:t>)</w:t>
      </w:r>
      <w:r>
        <w:t xml:space="preserve"> made up 62 % of macrobenthic nematodes in the abyssal Indian Ocean. Sharma </w:t>
      </w:r>
      <w:r w:rsidRPr="001F051C">
        <w:rPr>
          <w:i/>
        </w:rPr>
        <w:t>et al</w:t>
      </w:r>
      <w:r>
        <w:t>. (2011) noted a</w:t>
      </w:r>
      <w:r w:rsidR="0056725A">
        <w:t>n</w:t>
      </w:r>
      <w:r>
        <w:t xml:space="preserve"> increase with </w:t>
      </w:r>
      <w:r w:rsidR="0056725A">
        <w:t xml:space="preserve">water </w:t>
      </w:r>
      <w:r>
        <w:t>depth in members of feeding group 2B (Oncholaimidae</w:t>
      </w:r>
      <w:r w:rsidR="0056725A">
        <w:t>,</w:t>
      </w:r>
      <w:r>
        <w:t xml:space="preserve"> Enchelidiidae), as well as group 1A (selective deposit feeders), among macrofaunal nematode assemblages. These authors proposed that the increase with depth could be linked </w:t>
      </w:r>
      <w:r w:rsidRPr="0047311E">
        <w:t>to decreased competition from other macrobenthic predators. This is unlikely to explain the trend observed in the present study as the densities of the total macrofauna (</w:t>
      </w:r>
      <w:hyperlink w:anchor="h.3o7alnk">
        <w:r w:rsidRPr="0047311E">
          <w:t>Gunton</w:t>
        </w:r>
      </w:hyperlink>
      <w:hyperlink w:anchor="h.3o7alnk">
        <w:r w:rsidRPr="0047311E">
          <w:rPr>
            <w:i/>
          </w:rPr>
          <w:t xml:space="preserve"> et al.</w:t>
        </w:r>
      </w:hyperlink>
      <w:hyperlink w:anchor="h.3o7alnk">
        <w:r w:rsidRPr="0047311E">
          <w:t xml:space="preserve"> 2015</w:t>
        </w:r>
        <w:r w:rsidR="009C16B7" w:rsidRPr="0047311E">
          <w:t>a</w:t>
        </w:r>
        <w:r w:rsidRPr="0047311E">
          <w:t>)</w:t>
        </w:r>
      </w:hyperlink>
      <w:r w:rsidRPr="0047311E">
        <w:t>, as well as macrophagous and omnivorous polychaetes</w:t>
      </w:r>
      <w:r w:rsidRPr="00515F04">
        <w:t xml:space="preserve">, increased in parallel with nematode density across the </w:t>
      </w:r>
      <w:r w:rsidR="0056725A">
        <w:t>study locations</w:t>
      </w:r>
      <w:r w:rsidRPr="00515F04">
        <w:t>.</w:t>
      </w:r>
    </w:p>
    <w:p w14:paraId="5ECBA72B" w14:textId="006D4688" w:rsidR="00F71C3E" w:rsidRDefault="0056725A" w:rsidP="00CF5E54">
      <w:pPr>
        <w:spacing w:line="360" w:lineRule="auto"/>
        <w:ind w:firstLine="720"/>
      </w:pPr>
      <w:r>
        <w:t>G</w:t>
      </w:r>
      <w:r w:rsidR="00C4027B">
        <w:t xml:space="preserve">roup 2B </w:t>
      </w:r>
      <w:r w:rsidR="006F5195">
        <w:t xml:space="preserve">nematodes exploit </w:t>
      </w:r>
      <w:r w:rsidR="00C4027B">
        <w:t xml:space="preserve">a range of possible food sources (Moens </w:t>
      </w:r>
      <w:r w:rsidR="006F5195">
        <w:t xml:space="preserve">&amp; </w:t>
      </w:r>
      <w:r w:rsidR="00C4027B">
        <w:t xml:space="preserve">Vincx, 1997). </w:t>
      </w:r>
      <w:hyperlink w:anchor="h.39kk8xu">
        <w:r w:rsidR="00C4027B">
          <w:t>Warwick</w:t>
        </w:r>
      </w:hyperlink>
      <w:hyperlink w:anchor="h.39kk8xu">
        <w:r w:rsidR="00C4027B">
          <w:rPr>
            <w:i/>
          </w:rPr>
          <w:t xml:space="preserve"> et al.</w:t>
        </w:r>
      </w:hyperlink>
      <w:hyperlink w:anchor="h.39kk8xu">
        <w:r w:rsidR="00C4027B">
          <w:t xml:space="preserve"> (1986) </w:t>
        </w:r>
      </w:hyperlink>
      <w:r w:rsidR="00C4027B">
        <w:t xml:space="preserve">suggested that in organically enriched settings, larger meiofaunal organisms that are generalist feeders will be more successful than smaller species with highly specialised feeding behaviours. This is consistent with the high abundance of group 2B </w:t>
      </w:r>
      <w:r w:rsidR="006F5195">
        <w:t>at canyon locations</w:t>
      </w:r>
      <w:r w:rsidR="00C4027B">
        <w:t>. Meio</w:t>
      </w:r>
      <w:r w:rsidR="006F5195">
        <w:t xml:space="preserve">faunal </w:t>
      </w:r>
      <w:r w:rsidR="00C4027B">
        <w:t xml:space="preserve">group 2B </w:t>
      </w:r>
      <w:r w:rsidR="006F5195">
        <w:t xml:space="preserve">nematodes </w:t>
      </w:r>
      <w:r w:rsidR="00C4027B">
        <w:t>were more common in the Nazaré Canyon compared with the open slope (</w:t>
      </w:r>
      <w:hyperlink w:anchor="h.3tbugp1">
        <w:r w:rsidR="00C4027B">
          <w:t>Ingels</w:t>
        </w:r>
      </w:hyperlink>
      <w:hyperlink w:anchor="h.3tbugp1">
        <w:r w:rsidR="00C4027B">
          <w:rPr>
            <w:i/>
          </w:rPr>
          <w:t xml:space="preserve"> et al.</w:t>
        </w:r>
      </w:hyperlink>
      <w:hyperlink w:anchor="h.3tbugp1">
        <w:r w:rsidR="00C4027B">
          <w:t xml:space="preserve"> 2009)</w:t>
        </w:r>
      </w:hyperlink>
      <w:r w:rsidR="00C4027B">
        <w:t xml:space="preserve">. In a feeding experiment in Nazaré Canyon </w:t>
      </w:r>
      <w:r w:rsidR="006F5195">
        <w:t>(</w:t>
      </w:r>
      <w:r w:rsidR="00C4027B">
        <w:t xml:space="preserve">3500 m </w:t>
      </w:r>
      <w:r w:rsidR="006F5195">
        <w:t xml:space="preserve">water </w:t>
      </w:r>
      <w:r w:rsidR="00C4027B">
        <w:t>depth</w:t>
      </w:r>
      <w:r w:rsidR="006F5195">
        <w:t>)</w:t>
      </w:r>
      <w:r w:rsidR="00C4027B">
        <w:t>, predatory nematodes were found to have a higher total biomass than other trophic groups (</w:t>
      </w:r>
      <w:hyperlink w:anchor="h.2u6wntf">
        <w:r w:rsidR="00C4027B">
          <w:t>Ingels</w:t>
        </w:r>
      </w:hyperlink>
      <w:hyperlink w:anchor="h.2u6wntf">
        <w:r w:rsidR="00C4027B">
          <w:rPr>
            <w:i/>
          </w:rPr>
          <w:t xml:space="preserve"> et al.</w:t>
        </w:r>
      </w:hyperlink>
      <w:hyperlink w:anchor="h.2u6wntf">
        <w:r w:rsidR="00C4027B">
          <w:t xml:space="preserve"> 2011b)</w:t>
        </w:r>
      </w:hyperlink>
      <w:r w:rsidR="00C4027B">
        <w:t xml:space="preserve">. Soetaert &amp; Heip (1995) linked the high relative abundance (20 %) of group 2B meiobenthic nematodes in Mediterranean canyons, compared with the </w:t>
      </w:r>
      <w:r w:rsidR="006F5195">
        <w:t>non-canyon settings</w:t>
      </w:r>
      <w:r w:rsidR="00C4027B">
        <w:t xml:space="preserve"> to an increased supply of organic matter and therefore increased </w:t>
      </w:r>
      <w:r w:rsidR="006F5195">
        <w:t xml:space="preserve">populations </w:t>
      </w:r>
      <w:r w:rsidR="00C4027B">
        <w:t xml:space="preserve">of the smaller nematodes on which the predatory species </w:t>
      </w:r>
      <w:r w:rsidR="006F5195">
        <w:t xml:space="preserve">may </w:t>
      </w:r>
      <w:r w:rsidR="00C4027B">
        <w:t xml:space="preserve">feed (Soetaert </w:t>
      </w:r>
      <w:r w:rsidR="006F5195">
        <w:t xml:space="preserve">&amp; </w:t>
      </w:r>
      <w:r w:rsidR="00C4027B">
        <w:t>Heip, 1995). Indeed, a positive relationship exists between the biomass of predatory nematodes and other nematode feeding groups (</w:t>
      </w:r>
      <w:hyperlink w:anchor="h.1y810tw">
        <w:r w:rsidR="00C4027B">
          <w:t xml:space="preserve">Danovaro </w:t>
        </w:r>
        <w:r w:rsidR="006365EF">
          <w:t xml:space="preserve">&amp; </w:t>
        </w:r>
        <w:r w:rsidR="00C4027B">
          <w:t>Gambi 2002)</w:t>
        </w:r>
      </w:hyperlink>
      <w:r w:rsidR="00C4027B">
        <w:t>. Thus, the abundance of predatory nematodes may be higher in organically enriched settings, such as canyon</w:t>
      </w:r>
      <w:r w:rsidR="006365EF">
        <w:t>s</w:t>
      </w:r>
      <w:r w:rsidR="00C4027B">
        <w:t xml:space="preserve"> that harbour higher nematodes densities. </w:t>
      </w:r>
      <w:r w:rsidR="00E04787">
        <w:t xml:space="preserve">Among the Whittard Canyon macrofauna, the genus </w:t>
      </w:r>
      <w:r w:rsidR="00E04787">
        <w:rPr>
          <w:i/>
        </w:rPr>
        <w:t>Paramesacanthion</w:t>
      </w:r>
      <w:r w:rsidR="00E04787">
        <w:t xml:space="preserve"> is largely responsible for the high abundance of predatory nematodes</w:t>
      </w:r>
      <w:r w:rsidR="00E04787">
        <w:rPr>
          <w:i/>
        </w:rPr>
        <w:t xml:space="preserve">. </w:t>
      </w:r>
      <w:r w:rsidR="00E04787">
        <w:t>This genus likely preys on nematodes, oligochaetes, and other meiofauna (</w:t>
      </w:r>
      <w:hyperlink w:anchor="h.2lwamvv">
        <w:r w:rsidR="00E04787">
          <w:t>Moens &amp; Vincx 1997)</w:t>
        </w:r>
      </w:hyperlink>
      <w:r w:rsidR="00E04787">
        <w:t>. Given the above, we consider it likely that the abundance of predatory nematodes in our samples is linked to enhanced food availability, and hence an increased density of prey organisms.</w:t>
      </w:r>
    </w:p>
    <w:p w14:paraId="45D8FFE7" w14:textId="01703838" w:rsidR="00F71C3E" w:rsidRDefault="00C4027B" w:rsidP="00CF5E54">
      <w:pPr>
        <w:spacing w:line="360" w:lineRule="auto"/>
      </w:pPr>
      <w:r>
        <w:tab/>
        <w:t xml:space="preserve">'Clavate-conicocylindrical' and 'long' were the most abundant tail shapes in </w:t>
      </w:r>
      <w:r w:rsidR="00F022AB">
        <w:t>our</w:t>
      </w:r>
      <w:r>
        <w:t xml:space="preserve"> </w:t>
      </w:r>
      <w:r w:rsidR="00F022AB">
        <w:t>study,</w:t>
      </w:r>
      <w:r>
        <w:t xml:space="preserve"> </w:t>
      </w:r>
      <w:r w:rsidR="00F022AB">
        <w:t>t</w:t>
      </w:r>
      <w:r>
        <w:t xml:space="preserve">he Eastern </w:t>
      </w:r>
      <w:r w:rsidR="00F022AB">
        <w:t>location</w:t>
      </w:r>
      <w:r>
        <w:t xml:space="preserve"> yielded the highest proportion of long tail </w:t>
      </w:r>
      <w:r w:rsidR="00F022AB">
        <w:t>forms (Fig. 4C)</w:t>
      </w:r>
      <w:r>
        <w:t xml:space="preserve">. </w:t>
      </w:r>
      <w:r>
        <w:lastRenderedPageBreak/>
        <w:t>It has been suggested that long-tailed nematodes are disproportionately abundant in high-energy settings (</w:t>
      </w:r>
      <w:hyperlink w:anchor="h.xvir7l">
        <w:r>
          <w:t xml:space="preserve">Thistle </w:t>
        </w:r>
        <w:r w:rsidR="00F022AB">
          <w:t xml:space="preserve">&amp; </w:t>
        </w:r>
        <w:r>
          <w:t>Sherman 1985)</w:t>
        </w:r>
      </w:hyperlink>
      <w:r>
        <w:t>. These authors speculated that individuals may use their tails to escape into deeper sediment layers in order to avoid resuspension by erosive flows in hydrodynamically-active regions. Riemann (1974) observed that individuals with long flagelliform tails were able to anchor the tip of the tail with mucus from the caudal gland to sediment particles. This allowed them to move forward from the anchor by extending their tails, or to quickly pull the body into the sediment by coiling the tails. Long tails might also allow tube-dwelling nematodes to quickly retreat into their tubes if disturbed (</w:t>
      </w:r>
      <w:hyperlink w:anchor="h.sqyw64">
        <w:r>
          <w:t>Riemann 1974)</w:t>
        </w:r>
      </w:hyperlink>
      <w:r>
        <w:t xml:space="preserve">. Since the four tail shapes </w:t>
      </w:r>
      <w:r w:rsidR="009376FC">
        <w:t xml:space="preserve">groups </w:t>
      </w:r>
      <w:r>
        <w:t xml:space="preserve">were </w:t>
      </w:r>
      <w:r w:rsidR="009376FC">
        <w:t xml:space="preserve">originally </w:t>
      </w:r>
      <w:r>
        <w:t xml:space="preserve">designated by Thistle et al. </w:t>
      </w:r>
      <w:r w:rsidRPr="00CF607E">
        <w:rPr>
          <w:lang w:val="nl-BE"/>
        </w:rPr>
        <w:t xml:space="preserve">(1995), </w:t>
      </w:r>
      <w:r w:rsidR="009376FC">
        <w:rPr>
          <w:lang w:val="nl-BE"/>
        </w:rPr>
        <w:t>few</w:t>
      </w:r>
      <w:r w:rsidRPr="00CF607E">
        <w:rPr>
          <w:lang w:val="nl-BE"/>
        </w:rPr>
        <w:t xml:space="preserve"> studies (</w:t>
      </w:r>
      <w:hyperlink w:anchor="h.3hv69ve">
        <w:r w:rsidRPr="00CF607E">
          <w:rPr>
            <w:lang w:val="nl-BE"/>
          </w:rPr>
          <w:t>Tita</w:t>
        </w:r>
      </w:hyperlink>
      <w:hyperlink w:anchor="h.3hv69ve">
        <w:r w:rsidRPr="00CF607E">
          <w:rPr>
            <w:i/>
            <w:lang w:val="nl-BE"/>
          </w:rPr>
          <w:t xml:space="preserve"> et al.</w:t>
        </w:r>
      </w:hyperlink>
      <w:r w:rsidR="00CF607E" w:rsidRPr="00CF607E">
        <w:rPr>
          <w:i/>
          <w:lang w:val="nl-BE"/>
        </w:rPr>
        <w:t xml:space="preserve"> </w:t>
      </w:r>
      <w:r w:rsidR="001F051C" w:rsidRPr="001F051C">
        <w:rPr>
          <w:lang w:val="nl-BE"/>
        </w:rPr>
        <w:t>1999</w:t>
      </w:r>
      <w:r w:rsidR="001F051C">
        <w:rPr>
          <w:i/>
          <w:lang w:val="nl-BE"/>
        </w:rPr>
        <w:t>;</w:t>
      </w:r>
      <w:r w:rsidRPr="00CF607E">
        <w:rPr>
          <w:lang w:val="nl-BE"/>
        </w:rPr>
        <w:t xml:space="preserve"> </w:t>
      </w:r>
      <w:hyperlink w:anchor="h.3whwml4">
        <w:r w:rsidRPr="00CF607E">
          <w:rPr>
            <w:lang w:val="nl-BE"/>
          </w:rPr>
          <w:t>Fleeger</w:t>
        </w:r>
      </w:hyperlink>
      <w:hyperlink w:anchor="h.3whwml4">
        <w:r w:rsidRPr="00CF607E">
          <w:rPr>
            <w:i/>
            <w:lang w:val="nl-BE"/>
          </w:rPr>
          <w:t xml:space="preserve"> et al.</w:t>
        </w:r>
      </w:hyperlink>
      <w:hyperlink w:anchor="h.3whwml4">
        <w:r w:rsidRPr="00CF607E">
          <w:rPr>
            <w:lang w:val="nl-BE"/>
          </w:rPr>
          <w:t xml:space="preserve"> 2006;</w:t>
        </w:r>
      </w:hyperlink>
      <w:r w:rsidRPr="00CF607E">
        <w:rPr>
          <w:lang w:val="nl-BE"/>
        </w:rPr>
        <w:t xml:space="preserve"> </w:t>
      </w:r>
      <w:hyperlink w:anchor="h.2et92p0">
        <w:r w:rsidRPr="00CF607E">
          <w:rPr>
            <w:lang w:val="nl-BE"/>
          </w:rPr>
          <w:t>Armenteros</w:t>
        </w:r>
      </w:hyperlink>
      <w:hyperlink w:anchor="h.2et92p0">
        <w:r w:rsidRPr="00CF607E">
          <w:rPr>
            <w:i/>
            <w:lang w:val="nl-BE"/>
          </w:rPr>
          <w:t xml:space="preserve"> et al.</w:t>
        </w:r>
      </w:hyperlink>
      <w:hyperlink w:anchor="h.2et92p0">
        <w:r w:rsidRPr="00CF607E">
          <w:rPr>
            <w:lang w:val="nl-BE"/>
          </w:rPr>
          <w:t xml:space="preserve"> 2009;</w:t>
        </w:r>
      </w:hyperlink>
      <w:r w:rsidRPr="00CF607E">
        <w:rPr>
          <w:lang w:val="nl-BE"/>
        </w:rPr>
        <w:t xml:space="preserve"> </w:t>
      </w:r>
      <w:hyperlink w:anchor="h.2bn6wsx">
        <w:r w:rsidRPr="00CF607E">
          <w:rPr>
            <w:lang w:val="nl-BE"/>
          </w:rPr>
          <w:t>Fleeger</w:t>
        </w:r>
      </w:hyperlink>
      <w:hyperlink w:anchor="h.2bn6wsx">
        <w:r w:rsidRPr="00CF607E">
          <w:rPr>
            <w:i/>
            <w:lang w:val="nl-BE"/>
          </w:rPr>
          <w:t xml:space="preserve"> et al.</w:t>
        </w:r>
      </w:hyperlink>
      <w:hyperlink w:anchor="h.2bn6wsx">
        <w:r w:rsidRPr="00CF607E">
          <w:rPr>
            <w:lang w:val="nl-BE"/>
          </w:rPr>
          <w:t xml:space="preserve"> </w:t>
        </w:r>
        <w:r>
          <w:t>2010;</w:t>
        </w:r>
      </w:hyperlink>
      <w:r>
        <w:t xml:space="preserve"> </w:t>
      </w:r>
      <w:hyperlink w:anchor="h.1fob9te">
        <w:r>
          <w:t>Alves</w:t>
        </w:r>
      </w:hyperlink>
      <w:hyperlink w:anchor="h.1fob9te">
        <w:r>
          <w:rPr>
            <w:i/>
          </w:rPr>
          <w:t xml:space="preserve"> et al.</w:t>
        </w:r>
      </w:hyperlink>
      <w:hyperlink w:anchor="h.1fob9te">
        <w:r>
          <w:t xml:space="preserve"> 2014)</w:t>
        </w:r>
      </w:hyperlink>
      <w:r>
        <w:t xml:space="preserve"> have reported the presence of clavate-conicocylindrical tails in nematode assemblages, and none has linked this tail type to a particular ecological function. Like ‘long’ tails, the 'clavate-conicocylindrical’ tail shape is possibly used for anchorage in the sediment.</w:t>
      </w:r>
    </w:p>
    <w:p w14:paraId="30DE0E3F" w14:textId="77777777" w:rsidR="00F71C3E" w:rsidRDefault="00F71C3E"/>
    <w:p w14:paraId="51D54BBF" w14:textId="2F478D9E" w:rsidR="00F71C3E" w:rsidRDefault="00C4027B" w:rsidP="00CF5E54">
      <w:pPr>
        <w:pStyle w:val="Heading2"/>
        <w:spacing w:before="0" w:line="360" w:lineRule="auto"/>
      </w:pPr>
      <w:r>
        <w:t xml:space="preserve">4.5 Macrofaunal </w:t>
      </w:r>
      <w:r w:rsidR="005F2105">
        <w:t>N</w:t>
      </w:r>
      <w:r>
        <w:t xml:space="preserve">ematode and </w:t>
      </w:r>
      <w:r w:rsidR="005F2105">
        <w:t>P</w:t>
      </w:r>
      <w:r>
        <w:t xml:space="preserve">olychaete </w:t>
      </w:r>
      <w:r w:rsidR="005F2105">
        <w:t>T</w:t>
      </w:r>
      <w:r>
        <w:t xml:space="preserve">rends </w:t>
      </w:r>
    </w:p>
    <w:p w14:paraId="2F980A0A" w14:textId="77777777" w:rsidR="003E37A6" w:rsidRDefault="003E37A6" w:rsidP="003E37A6">
      <w:pPr>
        <w:spacing w:line="360" w:lineRule="auto"/>
        <w:rPr>
          <w:rFonts w:ascii="Calibri" w:eastAsia="Calibri" w:hAnsi="Calibri" w:cs="Calibri"/>
          <w:b/>
          <w:sz w:val="26"/>
          <w:szCs w:val="26"/>
        </w:rPr>
      </w:pPr>
      <w:r>
        <w:rPr>
          <w:rFonts w:ascii="Calibri" w:eastAsia="Calibri" w:hAnsi="Calibri" w:cs="Calibri"/>
          <w:b/>
          <w:sz w:val="26"/>
          <w:szCs w:val="26"/>
        </w:rPr>
        <w:t>4.5.1. Previous studies</w:t>
      </w:r>
    </w:p>
    <w:p w14:paraId="76C5F148" w14:textId="77777777" w:rsidR="003E37A6" w:rsidRPr="00555A32" w:rsidRDefault="003E37A6" w:rsidP="003E37A6">
      <w:pPr>
        <w:spacing w:line="360" w:lineRule="auto"/>
      </w:pPr>
      <w:r>
        <w:t>As far as we are aware, faunal trends between macrofaunal nematodes and polychaetes have never been compared directly, although there are previous studies comparing macrofauna and meiofauna in which nematodes were included in both size fractions (</w:t>
      </w:r>
      <w:hyperlink w:anchor="h.3l18frh">
        <w:r>
          <w:t>Netto</w:t>
        </w:r>
      </w:hyperlink>
      <w:hyperlink w:anchor="h.3l18frh">
        <w:r>
          <w:rPr>
            <w:i/>
          </w:rPr>
          <w:t xml:space="preserve"> et al.</w:t>
        </w:r>
      </w:hyperlink>
      <w:hyperlink w:anchor="h.3l18frh">
        <w:r>
          <w:t xml:space="preserve"> 1999;</w:t>
        </w:r>
      </w:hyperlink>
      <w:r>
        <w:t xml:space="preserve"> </w:t>
      </w:r>
      <w:hyperlink w:anchor="h.2dlolyb">
        <w:r>
          <w:t>Renaud</w:t>
        </w:r>
      </w:hyperlink>
      <w:hyperlink w:anchor="h.2dlolyb">
        <w:r>
          <w:rPr>
            <w:i/>
          </w:rPr>
          <w:t xml:space="preserve"> et al.</w:t>
        </w:r>
      </w:hyperlink>
      <w:hyperlink w:anchor="h.2dlolyb">
        <w:r>
          <w:t xml:space="preserve"> 2006;</w:t>
        </w:r>
      </w:hyperlink>
      <w:r>
        <w:t xml:space="preserve"> </w:t>
      </w:r>
      <w:hyperlink w:anchor="h.25b2l0r">
        <w:r>
          <w:t>Sharma</w:t>
        </w:r>
      </w:hyperlink>
      <w:hyperlink w:anchor="h.25b2l0r">
        <w:r>
          <w:rPr>
            <w:i/>
          </w:rPr>
          <w:t xml:space="preserve"> et al.</w:t>
        </w:r>
      </w:hyperlink>
      <w:hyperlink w:anchor="h.25b2l0r">
        <w:r>
          <w:t xml:space="preserve"> 2011)</w:t>
        </w:r>
      </w:hyperlink>
      <w:r>
        <w:t xml:space="preserve">. In particular, Baldrighi &amp; Manini (2015) reported a significant eastward decrease in the density of meio- and macrofauna, as well as a positive relationship between the diversity of total macrofauna and meiofauna, macro- and meiofaunal nematodes, and meiofaunal nematodes and macrofaunal polychaetes, from six continental slope areas in the western and eastern Mediterranean Sea (1200-2800 m water depth). The trophic structure of macrobenthic nematodes and polychaetes exhibited a significant change along the continental slope from west to east, with the percentage of carnivores / scavengers / predators increasing for both groups in the central-eastern basin. Baldrighi &amp; Manini (loc. cit.) concluded that these changes reflected a similar response to food inputs decreasing west to east. However, they believed that the </w:t>
      </w:r>
      <w:r w:rsidRPr="00555A32">
        <w:t xml:space="preserve">abundance of meio- and macrofauna was influenced by different environmental factors; the macrofauna (polychaetes and nematodes) by organic matter quality and </w:t>
      </w:r>
      <w:r w:rsidRPr="00555A32">
        <w:lastRenderedPageBreak/>
        <w:t>sediment grain size, and the meiofauna (nematodes) by particulate organic carbon flux.</w:t>
      </w:r>
    </w:p>
    <w:p w14:paraId="22C64B39" w14:textId="77777777" w:rsidR="003E37A6" w:rsidRPr="005E207E" w:rsidRDefault="003E37A6" w:rsidP="003E37A6">
      <w:pPr>
        <w:spacing w:line="360" w:lineRule="auto"/>
        <w:rPr>
          <w:rFonts w:eastAsia="Calibri"/>
          <w:b/>
          <w:sz w:val="26"/>
          <w:szCs w:val="26"/>
        </w:rPr>
      </w:pPr>
    </w:p>
    <w:p w14:paraId="2C408B1F" w14:textId="77777777" w:rsidR="003E37A6" w:rsidRPr="005E207E" w:rsidRDefault="003E37A6" w:rsidP="003E37A6">
      <w:pPr>
        <w:spacing w:line="360" w:lineRule="auto"/>
        <w:rPr>
          <w:rFonts w:eastAsia="Calibri"/>
          <w:b/>
        </w:rPr>
      </w:pPr>
      <w:r w:rsidRPr="005E207E">
        <w:rPr>
          <w:rFonts w:eastAsia="Calibri"/>
          <w:b/>
        </w:rPr>
        <w:t>4.5.2. Diversity and density</w:t>
      </w:r>
    </w:p>
    <w:p w14:paraId="4325EDB1" w14:textId="77777777" w:rsidR="003E37A6" w:rsidRPr="00555A32" w:rsidRDefault="003E37A6" w:rsidP="003E37A6">
      <w:pPr>
        <w:spacing w:line="360" w:lineRule="auto"/>
      </w:pPr>
      <w:r w:rsidRPr="00555A32">
        <w:t>Trends in generic diversity were broadly similar for polychaetes and nematodes (Table 5; Fig. 5). In both cases, canyon locations had a reduced diversity relative to the Slope location, this pattern is evident in both the richness and dominance components of diversity</w:t>
      </w:r>
      <w:r>
        <w:t xml:space="preserve"> in both taxa. The two taxa, however, do vary in the detail of their diversity response; nematode diversity exhibits a clear dichotomy between Slope and canyon locations that is particularly marked in the dominance component of diversity, while polychaete diversity exhibits a gradational change (Slope &gt; Western &gt; Central &gt; Eastern) in all diversity components. Set against the available environmental parameters (Table 2) the nematode diversity response is well matched to the change in sedimentary environment between Slope and canyon locations (i.e. mean grain size 72 vs. 29 µm, sand fraction 27 vs 12 %). The polychaete response is perhaps best </w:t>
      </w:r>
      <w:r w:rsidRPr="00555A32">
        <w:t>matched to the total density of macrofauna (</w:t>
      </w:r>
      <w:r w:rsidRPr="00555A32">
        <w:rPr>
          <w:i/>
        </w:rPr>
        <w:t>sensu stricto</w:t>
      </w:r>
      <w:r w:rsidRPr="00555A32">
        <w:t xml:space="preserve"> &gt; 300 µm), a potential proxy for organic matter availability that represents gradational change among canyon locations (Slope = Western &lt; Central &lt; Eastern). Macrofaunal nematode and polychaete densities exhibit very similar trends, in both cases increasing continuously from west to east (Tables 2 and 3, Fig. 2). However, whereas nematode density varies markedly between Slope and canyon locations, but does not vary significantly between canyon locations, polychaete density changes gradually, such that there is no significant difference (Tukey 5 % test) between adjacent locations (e.g. Slope &lt; Central and Eastern; Western &lt; Eastern).</w:t>
      </w:r>
      <w:r w:rsidRPr="005E207E">
        <w:t xml:space="preserve"> </w:t>
      </w:r>
    </w:p>
    <w:p w14:paraId="211C7971" w14:textId="77777777" w:rsidR="003E37A6" w:rsidRPr="00555A32" w:rsidRDefault="003E37A6" w:rsidP="003E37A6">
      <w:pPr>
        <w:spacing w:line="360" w:lineRule="auto"/>
      </w:pPr>
    </w:p>
    <w:p w14:paraId="5C6BAB3B" w14:textId="77777777" w:rsidR="003E37A6" w:rsidRPr="00555A32" w:rsidRDefault="003E37A6" w:rsidP="003E37A6">
      <w:pPr>
        <w:spacing w:line="360" w:lineRule="auto"/>
        <w:rPr>
          <w:b/>
        </w:rPr>
      </w:pPr>
      <w:r w:rsidRPr="00555A32">
        <w:rPr>
          <w:b/>
        </w:rPr>
        <w:t>4.5.3.</w:t>
      </w:r>
      <w:r>
        <w:rPr>
          <w:b/>
        </w:rPr>
        <w:t xml:space="preserve"> Functional groups</w:t>
      </w:r>
    </w:p>
    <w:p w14:paraId="2994E5B4" w14:textId="77777777" w:rsidR="003E37A6" w:rsidRDefault="003E37A6" w:rsidP="003E37A6">
      <w:pPr>
        <w:spacing w:line="360" w:lineRule="auto"/>
      </w:pPr>
      <w:r>
        <w:t xml:space="preserve">Polychaete and nematode feeding groups appeared to display broadly similar changes across the study locations. This is best illustrated by combining  the groups into deposit (1A and 1B) feeders and ‘larger particle’ (2A and 2B) feeders in the case of nematodes, and ‘smaller particle’ (microphage) feeders and ‘larger particle’ (macrophage and omnivore) feeders in the case of polychaetes. In the case of both taxa, the proportion of the latter to the former exhibits the same pattern: Slope &lt; Western &lt; Central &lt; Eastern. We might tentatively ascribe this change to </w:t>
      </w:r>
      <w:r>
        <w:lastRenderedPageBreak/>
        <w:t xml:space="preserve">corresponding variations in the quantity and nature of organic matter present at each location. A similar approach is possible for nematode tail shape and polychaete motility. When ‘elongate’ (long and clavate-conicocylinderical) tail tips and ‘non-elongate’ (rounded and conical) tail tips are grouped in the case of nematodes, and ‘more motile’ (motile) and ‘less motile’ (discretely motile and sessile) in the case of polychaetes - the proportion of the latter to the former exhibits the same pattern (Slope &lt; Western &lt; Central &lt; Eastern) in both taxa. Again, we might speculate that this change corresponds with variation in the </w:t>
      </w:r>
      <w:r w:rsidRPr="00E95518">
        <w:t>sedimentary environment</w:t>
      </w:r>
      <w:r>
        <w:t xml:space="preserve"> and / or the potential frequency of sediment disturbance.</w:t>
      </w:r>
    </w:p>
    <w:p w14:paraId="503CFA1D" w14:textId="77777777" w:rsidR="003E37A6" w:rsidRDefault="003E37A6" w:rsidP="003E37A6">
      <w:pPr>
        <w:spacing w:line="360" w:lineRule="auto"/>
      </w:pPr>
    </w:p>
    <w:p w14:paraId="4E540E90" w14:textId="77777777" w:rsidR="003E37A6" w:rsidRPr="00555A32" w:rsidRDefault="003E37A6" w:rsidP="003E37A6">
      <w:pPr>
        <w:spacing w:line="360" w:lineRule="auto"/>
        <w:rPr>
          <w:b/>
        </w:rPr>
      </w:pPr>
      <w:r>
        <w:rPr>
          <w:b/>
        </w:rPr>
        <w:t>4.5.4. Assemblage composition</w:t>
      </w:r>
    </w:p>
    <w:p w14:paraId="09BF96F6" w14:textId="233FD409" w:rsidR="003E37A6" w:rsidRDefault="003E37A6" w:rsidP="003E37A6">
      <w:pPr>
        <w:spacing w:line="360" w:lineRule="auto"/>
      </w:pPr>
      <w:r>
        <w:t xml:space="preserve">The substantial disparity in samples size (number of specimens identified, c. 400 nematodes vs. c. 2000 polychaetes) makes a ‘fair’ comparison of trends in genus-level composition between the macrofaunal nematodes and polychaetes difficult. Consequently, the greater ecological resolution achieved </w:t>
      </w:r>
      <w:r w:rsidR="001B34F5">
        <w:t>with polychaetes (compare Fig. 3C and 3</w:t>
      </w:r>
      <w:r>
        <w:t>D) is inevitable. Combining the nema</w:t>
      </w:r>
      <w:r w:rsidR="001B34F5">
        <w:t>tode and polychaete data (Fig. 3</w:t>
      </w:r>
      <w:r>
        <w:t>B) did not alter or degrade the ecological interpretation, indeed the distinction of Slope from all three canyon locations was marginally improved by the addition of the nematode data (Table 4). We interpret this as the result of a stronger response by the nematodes than the polychaetes to the change in sediment grade between Slope and canyon locations (Table 2). When the combined nematode and polychaete data are edited to only common taxa (present in ≥ 5</w:t>
      </w:r>
      <w:r w:rsidR="001B34F5">
        <w:t xml:space="preserve"> samples) it seems clear (Fig. 3</w:t>
      </w:r>
      <w:r>
        <w:t>A, Table 4) that all four of our study locations are ecologically distinct, with the distinctions probably being driven by related trends in sedimentology and organic matter availability (Fig. 6).</w:t>
      </w:r>
    </w:p>
    <w:p w14:paraId="2220EB42" w14:textId="77777777" w:rsidR="003E37A6" w:rsidRDefault="003E37A6" w:rsidP="003E37A6">
      <w:pPr>
        <w:spacing w:line="360" w:lineRule="auto"/>
        <w:rPr>
          <w:b/>
          <w:sz w:val="28"/>
          <w:szCs w:val="28"/>
        </w:rPr>
      </w:pPr>
    </w:p>
    <w:p w14:paraId="3E7B8AA1" w14:textId="4A98D473" w:rsidR="003E37A6" w:rsidRPr="00555A32" w:rsidRDefault="003E37A6" w:rsidP="003E37A6">
      <w:pPr>
        <w:spacing w:line="360" w:lineRule="auto"/>
        <w:rPr>
          <w:b/>
          <w:sz w:val="28"/>
          <w:szCs w:val="28"/>
        </w:rPr>
      </w:pPr>
      <w:r w:rsidRPr="00555A32">
        <w:rPr>
          <w:b/>
          <w:sz w:val="28"/>
          <w:szCs w:val="28"/>
        </w:rPr>
        <w:t>4.6. Concluding remarks</w:t>
      </w:r>
    </w:p>
    <w:p w14:paraId="248206D3" w14:textId="77777777" w:rsidR="003E37A6" w:rsidRDefault="003E37A6" w:rsidP="003E37A6">
      <w:pPr>
        <w:spacing w:line="360" w:lineRule="auto"/>
      </w:pPr>
      <w:r>
        <w:t xml:space="preserve">It is not surprising that common ecological trends seem to be apparent among nematodes and polychaetes, since ‘useful’ synecology is only possible through the degree of commonality in the distributions of distinct taxa in response to environmental drivers. Redundancy is a well-established feature of ecological datasets concerning the marine benthos (see e.g. Warwick 1988a, b). Our data do suggest that there is some value in combining the analysis of macrofaunal nematodes with the </w:t>
      </w:r>
      <w:r>
        <w:lastRenderedPageBreak/>
        <w:t xml:space="preserve">assessment of macrofauna </w:t>
      </w:r>
      <w:r w:rsidRPr="00422C83">
        <w:rPr>
          <w:i/>
        </w:rPr>
        <w:t xml:space="preserve">sensu </w:t>
      </w:r>
      <w:r>
        <w:rPr>
          <w:i/>
        </w:rPr>
        <w:t>strictu,</w:t>
      </w:r>
      <w:r>
        <w:t xml:space="preserve"> an issue of recent debate (Bett 2014; Warwick 2014). However, our data also suggest some difference between the responses of nematodes and polychaetes in terms of standing stocks and diversity (dominance).</w:t>
      </w:r>
    </w:p>
    <w:p w14:paraId="2B4C994E" w14:textId="77777777" w:rsidR="003E37A6" w:rsidRDefault="003E37A6" w:rsidP="00963919">
      <w:pPr>
        <w:spacing w:line="360" w:lineRule="auto"/>
        <w:ind w:firstLine="720"/>
      </w:pPr>
      <w:r>
        <w:t>Overall, it seems likely that the broadly similar trends in nematode and polychaete density, diversity, and functional group and genus-level faunal composition observed during the present study are related to the combined (and probably related) influences of sediment type and food availability, the latter likely maximal at our Eastern location (</w:t>
      </w:r>
      <w:hyperlink w:anchor="h.4i7ojhp">
        <w:r>
          <w:t>Duineveld</w:t>
        </w:r>
      </w:hyperlink>
      <w:hyperlink w:anchor="h.4i7ojhp">
        <w:r>
          <w:rPr>
            <w:i/>
          </w:rPr>
          <w:t xml:space="preserve"> et al.</w:t>
        </w:r>
      </w:hyperlink>
      <w:hyperlink w:anchor="h.4i7ojhp">
        <w:r>
          <w:t xml:space="preserve"> 2001;</w:t>
        </w:r>
      </w:hyperlink>
      <w:r>
        <w:t xml:space="preserve"> </w:t>
      </w:r>
      <w:hyperlink w:anchor="h.3o7alnk">
        <w:r>
          <w:t>Gunton</w:t>
        </w:r>
      </w:hyperlink>
      <w:hyperlink w:anchor="h.3o7alnk">
        <w:r>
          <w:rPr>
            <w:i/>
          </w:rPr>
          <w:t xml:space="preserve"> et al.</w:t>
        </w:r>
      </w:hyperlink>
      <w:hyperlink w:anchor="h.3o7alnk">
        <w:r>
          <w:t xml:space="preserve"> 2015a; </w:t>
        </w:r>
        <w:r w:rsidRPr="000822A1">
          <w:rPr>
            <w:color w:val="000000" w:themeColor="text1"/>
          </w:rPr>
          <w:t xml:space="preserve">Hunter </w:t>
        </w:r>
        <w:r w:rsidRPr="000822A1">
          <w:rPr>
            <w:i/>
            <w:color w:val="000000" w:themeColor="text1"/>
          </w:rPr>
          <w:t>et al.</w:t>
        </w:r>
        <w:r>
          <w:rPr>
            <w:color w:val="000000" w:themeColor="text1"/>
          </w:rPr>
          <w:t xml:space="preserve"> </w:t>
        </w:r>
        <w:r w:rsidRPr="000822A1">
          <w:rPr>
            <w:color w:val="000000" w:themeColor="text1"/>
          </w:rPr>
          <w:t>2013</w:t>
        </w:r>
        <w:r>
          <w:t>)</w:t>
        </w:r>
      </w:hyperlink>
      <w:r>
        <w:t>. It seems clear that the analysis of ‘macrofaunal’ nematodes is of appreciable ecological value, and that more information is needed on their ecology, life history, and potential interactions with more ‘conventional’ macrofaunal taxa</w:t>
      </w:r>
      <w:r w:rsidRPr="00923575">
        <w:t>.</w:t>
      </w:r>
    </w:p>
    <w:p w14:paraId="7EC7B573" w14:textId="4618AA12" w:rsidR="00F71C3E" w:rsidRDefault="00F71C3E" w:rsidP="003E37A6">
      <w:pPr>
        <w:spacing w:line="360" w:lineRule="auto"/>
      </w:pPr>
    </w:p>
    <w:p w14:paraId="2694DECF" w14:textId="324DF6A6" w:rsidR="00F71C3E" w:rsidRDefault="00C4027B" w:rsidP="00CF5E54">
      <w:pPr>
        <w:pStyle w:val="Heading1"/>
        <w:spacing w:line="360" w:lineRule="auto"/>
      </w:pPr>
      <w:bookmarkStart w:id="1" w:name="h.gjdgxs" w:colFirst="0" w:colLast="0"/>
      <w:bookmarkEnd w:id="1"/>
      <w:r>
        <w:t>Acknowledgements</w:t>
      </w:r>
    </w:p>
    <w:p w14:paraId="38346AD0" w14:textId="3B1FCF7D" w:rsidR="00F71C3E" w:rsidRDefault="00C4027B" w:rsidP="00CF5E54">
      <w:pPr>
        <w:spacing w:line="360" w:lineRule="auto"/>
        <w:ind w:firstLine="720"/>
      </w:pPr>
      <w:r>
        <w:t xml:space="preserve">We would like to thank the captain, crew and shipboard scientific party on board RRS </w:t>
      </w:r>
      <w:r>
        <w:rPr>
          <w:i/>
        </w:rPr>
        <w:t>James Cook</w:t>
      </w:r>
      <w:r>
        <w:t xml:space="preserve"> cruise 036 for the collection of </w:t>
      </w:r>
      <w:r w:rsidR="00531A58">
        <w:t xml:space="preserve">Megacorer </w:t>
      </w:r>
      <w:r>
        <w:t xml:space="preserve">samples that made this study possible. </w:t>
      </w:r>
      <w:r w:rsidR="00E00F68">
        <w:t>We are grateful for the comments of two anonymous reviewers</w:t>
      </w:r>
      <w:r w:rsidR="00531A58">
        <w:t xml:space="preserve"> and the handling editor Lisa Levin</w:t>
      </w:r>
      <w:r w:rsidR="00E00F68">
        <w:t xml:space="preserve">, which helped to improve this manuscript. </w:t>
      </w:r>
      <w:r>
        <w:t>This research was supported by Ph.D. studentship funding from the Natural Environmental Research Council (NE/J500227/1) with CASE studentship from the Natural History Museum, London</w:t>
      </w:r>
      <w:r w:rsidR="00531A58">
        <w:t>,</w:t>
      </w:r>
      <w:r>
        <w:t xml:space="preserve"> and the European Exchange Programme (University of Southampton). This work contributes towards the NERC Marine Environmental Mapping Programme (MAREMAP). </w:t>
      </w:r>
      <w:r>
        <w:br w:type="page"/>
      </w:r>
    </w:p>
    <w:p w14:paraId="6D7A9DFE" w14:textId="77777777" w:rsidR="00F71C3E" w:rsidRDefault="00C4027B">
      <w:pPr>
        <w:pStyle w:val="Heading1"/>
        <w:spacing w:line="480" w:lineRule="auto"/>
      </w:pPr>
      <w:r>
        <w:lastRenderedPageBreak/>
        <w:t xml:space="preserve">References </w:t>
      </w:r>
    </w:p>
    <w:p w14:paraId="47644AC9" w14:textId="07452643" w:rsidR="0082227F" w:rsidRPr="00420139" w:rsidRDefault="0082227F" w:rsidP="0082227F">
      <w:pPr>
        <w:spacing w:line="360" w:lineRule="auto"/>
        <w:ind w:left="720" w:hanging="720"/>
      </w:pPr>
      <w:bookmarkStart w:id="2" w:name="h.30j0zll" w:colFirst="0" w:colLast="0"/>
      <w:bookmarkEnd w:id="2"/>
      <w:r w:rsidRPr="001E7FEC">
        <w:rPr>
          <w:rFonts w:eastAsia="Cambria"/>
        </w:rPr>
        <w:t xml:space="preserve">Alves, A., Ramos, S., Nomaki, H., Amaro, T. (2015) Benthic macrofaunal communities differences between oligotrophic and eutrophic abyssal habitats: a case study of the west Pacific </w:t>
      </w:r>
      <w:r w:rsidRPr="001E7FEC">
        <w:rPr>
          <w:rFonts w:eastAsia="Cambria"/>
          <w:i/>
        </w:rPr>
        <w:t xml:space="preserve">14th Deep-Sea Biology Symposium </w:t>
      </w:r>
      <w:r w:rsidRPr="001E7FEC">
        <w:rPr>
          <w:rFonts w:eastAsia="Cambria"/>
        </w:rPr>
        <w:t>Aveiro, Portugal</w:t>
      </w:r>
      <w:r>
        <w:rPr>
          <w:rFonts w:eastAsia="Cambria"/>
        </w:rPr>
        <w:t>.</w:t>
      </w:r>
      <w:r w:rsidR="00B15159">
        <w:rPr>
          <w:rFonts w:eastAsia="Cambria"/>
        </w:rPr>
        <w:t xml:space="preserve"> </w:t>
      </w:r>
      <w:r w:rsidR="000026CA">
        <w:rPr>
          <w:rFonts w:eastAsia="Cambria"/>
        </w:rPr>
        <w:t>320pp.</w:t>
      </w:r>
    </w:p>
    <w:p w14:paraId="6D95CFFE" w14:textId="77777777" w:rsidR="0082227F" w:rsidRPr="001E7FEC" w:rsidRDefault="0082227F" w:rsidP="0082227F">
      <w:pPr>
        <w:spacing w:line="360" w:lineRule="auto"/>
        <w:ind w:left="720" w:hanging="720"/>
        <w:rPr>
          <w:rFonts w:eastAsia="Cambria"/>
        </w:rPr>
      </w:pPr>
      <w:r w:rsidRPr="001E7FEC">
        <w:rPr>
          <w:rFonts w:eastAsia="Cambria"/>
        </w:rPr>
        <w:t xml:space="preserve">Alves, A.S., Veríssimo, H., Costa, M.J., Marques, J.C. (2014) Taxonomic resolution and Biological Traits Analysis (BTA) approaches in estuarine free-living nematodes. </w:t>
      </w:r>
      <w:r w:rsidRPr="001E7FEC">
        <w:rPr>
          <w:rFonts w:eastAsia="Cambria"/>
          <w:i/>
        </w:rPr>
        <w:t>Estuarine, Coastal and Shelf Science</w:t>
      </w:r>
      <w:r w:rsidRPr="001E7FEC">
        <w:rPr>
          <w:rFonts w:eastAsia="Cambria"/>
        </w:rPr>
        <w:t xml:space="preserve">, </w:t>
      </w:r>
      <w:r w:rsidRPr="001E7FEC">
        <w:rPr>
          <w:rFonts w:eastAsia="Cambria"/>
          <w:b/>
        </w:rPr>
        <w:t>138</w:t>
      </w:r>
      <w:r w:rsidRPr="001E7FEC">
        <w:rPr>
          <w:rFonts w:eastAsia="Cambria"/>
        </w:rPr>
        <w:t>, 69-78.</w:t>
      </w:r>
    </w:p>
    <w:p w14:paraId="27592E59" w14:textId="77777777" w:rsidR="0082227F" w:rsidRPr="001E7FEC" w:rsidRDefault="0082227F" w:rsidP="0082227F">
      <w:pPr>
        <w:pStyle w:val="EndNoteBibliography"/>
        <w:spacing w:line="360" w:lineRule="auto"/>
        <w:ind w:left="720" w:hanging="720"/>
        <w:rPr>
          <w:rFonts w:ascii="Times New Roman" w:hAnsi="Times New Roman" w:cs="Times New Roman"/>
          <w:noProof/>
        </w:rPr>
      </w:pPr>
      <w:r w:rsidRPr="001E7FEC">
        <w:rPr>
          <w:rFonts w:ascii="Times New Roman" w:hAnsi="Times New Roman" w:cs="Times New Roman"/>
          <w:noProof/>
        </w:rPr>
        <w:t xml:space="preserve">Amaro, T., de Stigter, H., Lavaleye, M., Duineveld, G. (2015) Organic matter enrichment in the Whittard Channel (northern Bay of Biscay margin, NE Atlantic); its origin and possible effects on benthic megafauna. </w:t>
      </w:r>
      <w:r w:rsidRPr="001E7FEC">
        <w:rPr>
          <w:rFonts w:ascii="Times New Roman" w:hAnsi="Times New Roman" w:cs="Times New Roman"/>
          <w:i/>
          <w:noProof/>
        </w:rPr>
        <w:t>Deep Sea Research Part I</w:t>
      </w:r>
      <w:r w:rsidRPr="001E7FEC">
        <w:rPr>
          <w:rFonts w:ascii="Times New Roman" w:hAnsi="Times New Roman" w:cs="Times New Roman"/>
          <w:noProof/>
        </w:rPr>
        <w:t xml:space="preserve"> </w:t>
      </w:r>
      <w:r w:rsidRPr="001E7FEC">
        <w:rPr>
          <w:rFonts w:ascii="Times New Roman" w:hAnsi="Times New Roman" w:cs="Times New Roman"/>
          <w:b/>
          <w:noProof/>
        </w:rPr>
        <w:t>102</w:t>
      </w:r>
      <w:r>
        <w:rPr>
          <w:rFonts w:ascii="Times New Roman" w:hAnsi="Times New Roman" w:cs="Times New Roman"/>
          <w:noProof/>
        </w:rPr>
        <w:t xml:space="preserve">, </w:t>
      </w:r>
      <w:r w:rsidRPr="001E7FEC">
        <w:rPr>
          <w:rFonts w:ascii="Times New Roman" w:hAnsi="Times New Roman" w:cs="Times New Roman"/>
          <w:noProof/>
        </w:rPr>
        <w:t>90-100</w:t>
      </w:r>
      <w:r>
        <w:rPr>
          <w:rFonts w:ascii="Times New Roman" w:hAnsi="Times New Roman" w:cs="Times New Roman"/>
          <w:noProof/>
        </w:rPr>
        <w:t>.</w:t>
      </w:r>
    </w:p>
    <w:p w14:paraId="2353D58A" w14:textId="77777777" w:rsidR="0082227F" w:rsidRPr="001E7FEC" w:rsidRDefault="0082227F" w:rsidP="0082227F">
      <w:pPr>
        <w:pStyle w:val="EndNoteBibliography"/>
        <w:spacing w:line="360" w:lineRule="auto"/>
        <w:ind w:left="720" w:hanging="720"/>
        <w:rPr>
          <w:rFonts w:ascii="Times New Roman" w:hAnsi="Times New Roman" w:cs="Times New Roman"/>
          <w:noProof/>
        </w:rPr>
      </w:pPr>
      <w:r w:rsidRPr="00756BE2">
        <w:rPr>
          <w:rFonts w:ascii="Times New Roman" w:hAnsi="Times New Roman" w:cs="Times New Roman"/>
        </w:rPr>
        <w:fldChar w:fldCharType="begin"/>
      </w:r>
      <w:r w:rsidRPr="001E7FEC">
        <w:rPr>
          <w:rFonts w:ascii="Times New Roman" w:hAnsi="Times New Roman" w:cs="Times New Roman"/>
        </w:rPr>
        <w:instrText xml:space="preserve"> ADDIN EN.REFLIST </w:instrText>
      </w:r>
      <w:r w:rsidRPr="00756BE2">
        <w:rPr>
          <w:rFonts w:ascii="Times New Roman" w:hAnsi="Times New Roman" w:cs="Times New Roman"/>
        </w:rPr>
        <w:fldChar w:fldCharType="separate"/>
      </w:r>
      <w:r w:rsidRPr="001E7FEC">
        <w:rPr>
          <w:rFonts w:ascii="Times New Roman" w:hAnsi="Times New Roman" w:cs="Times New Roman"/>
          <w:noProof/>
        </w:rPr>
        <w:t xml:space="preserve">Amaro, T., Huvenne, V.A.I., Allcock, A.L., Aslam, T., Davies, J.S., Danovaro, R., De Stigter, H.C., Duineveld, G.C.A., Gambi, C., Gooday, A.J., Gunton, L.M., Hall, R., Howell, K.L., Ingels, J., Kiriakoulakis, K., Kershaw, C.E., Lavaleye, M.S.S., Robert, K., Stewart, H., Van Rooij, D., White, M., Wilson, A.M. (2016) The Whittard Canyon – A case study of submarine canyon processes. </w:t>
      </w:r>
      <w:r w:rsidRPr="001E7FEC">
        <w:rPr>
          <w:rFonts w:ascii="Times New Roman" w:hAnsi="Times New Roman" w:cs="Times New Roman"/>
          <w:i/>
          <w:noProof/>
        </w:rPr>
        <w:t>Progress in Oceanography</w:t>
      </w:r>
      <w:r w:rsidRPr="001E7FEC">
        <w:rPr>
          <w:rFonts w:ascii="Times New Roman" w:hAnsi="Times New Roman" w:cs="Times New Roman"/>
          <w:noProof/>
        </w:rPr>
        <w:t xml:space="preserve"> </w:t>
      </w:r>
      <w:r w:rsidRPr="001E7FEC">
        <w:rPr>
          <w:rFonts w:ascii="Times New Roman" w:hAnsi="Times New Roman" w:cs="Times New Roman"/>
          <w:b/>
          <w:noProof/>
        </w:rPr>
        <w:t>146</w:t>
      </w:r>
      <w:r>
        <w:rPr>
          <w:rFonts w:ascii="Times New Roman" w:hAnsi="Times New Roman" w:cs="Times New Roman"/>
          <w:noProof/>
        </w:rPr>
        <w:t xml:space="preserve">, </w:t>
      </w:r>
      <w:r w:rsidRPr="001E7FEC">
        <w:rPr>
          <w:rFonts w:ascii="Times New Roman" w:hAnsi="Times New Roman" w:cs="Times New Roman"/>
          <w:noProof/>
        </w:rPr>
        <w:t>38-57</w:t>
      </w:r>
      <w:r>
        <w:rPr>
          <w:rFonts w:ascii="Times New Roman" w:hAnsi="Times New Roman" w:cs="Times New Roman"/>
          <w:noProof/>
        </w:rPr>
        <w:t>.</w:t>
      </w:r>
    </w:p>
    <w:p w14:paraId="6233D45D" w14:textId="77777777" w:rsidR="0082227F" w:rsidRPr="00420139" w:rsidRDefault="0082227F" w:rsidP="0082227F">
      <w:pPr>
        <w:spacing w:line="360" w:lineRule="auto"/>
        <w:ind w:left="720" w:hanging="720"/>
      </w:pPr>
      <w:r w:rsidRPr="00756BE2">
        <w:fldChar w:fldCharType="end"/>
      </w:r>
      <w:r w:rsidRPr="001E7FEC">
        <w:rPr>
          <w:rFonts w:eastAsia="Cambria"/>
        </w:rPr>
        <w:t xml:space="preserve">Andrassy, I. (1956) The determination of volume and weight of nematodes. </w:t>
      </w:r>
      <w:r w:rsidRPr="001E7FEC">
        <w:rPr>
          <w:rFonts w:eastAsia="Cambria"/>
          <w:i/>
        </w:rPr>
        <w:t>Acta Zoologica</w:t>
      </w:r>
      <w:r w:rsidRPr="001E7FEC">
        <w:rPr>
          <w:rFonts w:eastAsia="Cambria"/>
        </w:rPr>
        <w:t xml:space="preserve"> </w:t>
      </w:r>
      <w:r w:rsidRPr="001E7FEC">
        <w:rPr>
          <w:rFonts w:eastAsia="Cambria"/>
          <w:b/>
        </w:rPr>
        <w:t>2</w:t>
      </w:r>
      <w:r w:rsidRPr="001E7FEC">
        <w:rPr>
          <w:rFonts w:eastAsia="Cambria"/>
        </w:rPr>
        <w:t>, 1-15.</w:t>
      </w:r>
    </w:p>
    <w:p w14:paraId="04501654" w14:textId="5F72AF63" w:rsidR="0082227F" w:rsidRPr="00420139" w:rsidRDefault="0082227F" w:rsidP="00C050B6">
      <w:pPr>
        <w:spacing w:line="360" w:lineRule="auto"/>
        <w:ind w:left="720" w:hanging="720"/>
      </w:pPr>
      <w:r w:rsidRPr="001E7FEC">
        <w:rPr>
          <w:rFonts w:eastAsia="Cambria"/>
        </w:rPr>
        <w:t xml:space="preserve">Armenteros, M., Ruiz-Abierno, A., Fernández-Garcés, R., Pérez-García, J.A., Díaz-Asencio, L., Vincx, M., Decraemer, W. (2009) Biodiversity patterns of free-living marine nematodes in a tropical bay: Cienfuegos, Caribbean Sea. </w:t>
      </w:r>
      <w:r w:rsidRPr="001E7FEC">
        <w:rPr>
          <w:rFonts w:eastAsia="Cambria"/>
          <w:i/>
        </w:rPr>
        <w:t>Estuarine, Coastal and Shelf Science</w:t>
      </w:r>
      <w:r w:rsidRPr="001E7FEC">
        <w:rPr>
          <w:rFonts w:eastAsia="Cambria"/>
        </w:rPr>
        <w:t xml:space="preserve">, </w:t>
      </w:r>
      <w:r w:rsidRPr="001E7FEC">
        <w:rPr>
          <w:rFonts w:eastAsia="Cambria"/>
          <w:b/>
        </w:rPr>
        <w:t>85</w:t>
      </w:r>
      <w:r w:rsidRPr="001E7FEC">
        <w:rPr>
          <w:rFonts w:eastAsia="Cambria"/>
        </w:rPr>
        <w:t>, 179-189.</w:t>
      </w:r>
    </w:p>
    <w:p w14:paraId="0F7553FC" w14:textId="77777777" w:rsidR="0082227F" w:rsidRPr="00420139" w:rsidRDefault="0082227F" w:rsidP="0082227F">
      <w:pPr>
        <w:spacing w:line="360" w:lineRule="auto"/>
        <w:ind w:left="720" w:hanging="720"/>
      </w:pPr>
      <w:r w:rsidRPr="001E7FEC">
        <w:rPr>
          <w:rFonts w:eastAsia="Cambria"/>
        </w:rPr>
        <w:t xml:space="preserve">Baldrighi, E., Manini, E. (2015) Deep-sea meiofauna and macrofauna diversity and functional diversity: are they related? </w:t>
      </w:r>
      <w:r w:rsidRPr="001E7FEC">
        <w:rPr>
          <w:rFonts w:eastAsia="Cambria"/>
          <w:i/>
        </w:rPr>
        <w:t>Marine Biodiversity</w:t>
      </w:r>
      <w:r w:rsidRPr="00412149">
        <w:rPr>
          <w:rFonts w:eastAsia="Cambria"/>
        </w:rPr>
        <w:t xml:space="preserve"> </w:t>
      </w:r>
      <w:r w:rsidRPr="001E7FEC">
        <w:rPr>
          <w:rFonts w:eastAsia="Cambria"/>
          <w:b/>
        </w:rPr>
        <w:t>45</w:t>
      </w:r>
      <w:r w:rsidRPr="00412149">
        <w:rPr>
          <w:rFonts w:eastAsia="Cambria"/>
        </w:rPr>
        <w:t xml:space="preserve">, </w:t>
      </w:r>
      <w:r>
        <w:rPr>
          <w:rFonts w:eastAsia="Cambria"/>
        </w:rPr>
        <w:t>469-</w:t>
      </w:r>
      <w:r w:rsidRPr="00412149">
        <w:rPr>
          <w:rFonts w:eastAsia="Cambria"/>
        </w:rPr>
        <w:t>488</w:t>
      </w:r>
      <w:r w:rsidRPr="001E7FEC">
        <w:rPr>
          <w:rFonts w:eastAsia="Cambria"/>
        </w:rPr>
        <w:t>.</w:t>
      </w:r>
    </w:p>
    <w:p w14:paraId="11C23402" w14:textId="77777777" w:rsidR="0082227F" w:rsidRPr="00420139" w:rsidRDefault="0082227F" w:rsidP="0082227F">
      <w:pPr>
        <w:spacing w:line="360" w:lineRule="auto"/>
        <w:ind w:left="720" w:hanging="720"/>
      </w:pPr>
      <w:r w:rsidRPr="001E7FEC">
        <w:rPr>
          <w:rFonts w:eastAsia="Cambria"/>
        </w:rPr>
        <w:t xml:space="preserve">Bett, B.J. (2014) Macroecology and meiobenthos: Reply to Warwick (2014). </w:t>
      </w:r>
      <w:r w:rsidRPr="001E7FEC">
        <w:rPr>
          <w:rFonts w:eastAsia="Cambria"/>
          <w:i/>
        </w:rPr>
        <w:t>Marine Ecology Progress Series</w:t>
      </w:r>
      <w:r w:rsidRPr="001E7FEC">
        <w:rPr>
          <w:rFonts w:eastAsia="Cambria"/>
        </w:rPr>
        <w:t xml:space="preserve"> </w:t>
      </w:r>
      <w:r w:rsidRPr="001E7FEC">
        <w:rPr>
          <w:rFonts w:eastAsia="Cambria"/>
          <w:b/>
        </w:rPr>
        <w:t>505</w:t>
      </w:r>
      <w:r w:rsidRPr="001E7FEC">
        <w:rPr>
          <w:rFonts w:eastAsia="Cambria"/>
        </w:rPr>
        <w:t>, 299-302.</w:t>
      </w:r>
    </w:p>
    <w:p w14:paraId="6251E21A" w14:textId="77777777" w:rsidR="0082227F" w:rsidRPr="00420139" w:rsidRDefault="0082227F" w:rsidP="0082227F">
      <w:pPr>
        <w:spacing w:line="360" w:lineRule="auto"/>
        <w:ind w:left="720" w:hanging="720"/>
      </w:pPr>
      <w:r w:rsidRPr="001E7FEC">
        <w:rPr>
          <w:rFonts w:eastAsia="Cambria"/>
        </w:rPr>
        <w:t xml:space="preserve">Bett, B.J., Moore, C.G. (1988) The taxonomy and biology of a new species </w:t>
      </w:r>
      <w:r w:rsidRPr="001E7FEC">
        <w:rPr>
          <w:rFonts w:eastAsia="Cambria"/>
          <w:i/>
        </w:rPr>
        <w:t>Pontonema</w:t>
      </w:r>
      <w:r w:rsidRPr="001E7FEC">
        <w:rPr>
          <w:rFonts w:eastAsia="Cambria"/>
        </w:rPr>
        <w:t xml:space="preserve"> (Nematoda, Oncholaimidae) dominant in organically polluted sublittoral sediments around Scotland, with a review of the genus. </w:t>
      </w:r>
      <w:r w:rsidRPr="001E7FEC">
        <w:rPr>
          <w:rFonts w:eastAsia="Cambria"/>
          <w:i/>
        </w:rPr>
        <w:t>Journal of Natural History</w:t>
      </w:r>
      <w:r w:rsidRPr="001E7FEC">
        <w:rPr>
          <w:rFonts w:eastAsia="Cambria"/>
        </w:rPr>
        <w:t xml:space="preserve"> </w:t>
      </w:r>
      <w:r w:rsidRPr="001E7FEC">
        <w:rPr>
          <w:rFonts w:eastAsia="Cambria"/>
          <w:b/>
        </w:rPr>
        <w:t>22</w:t>
      </w:r>
      <w:r w:rsidRPr="001E7FEC">
        <w:rPr>
          <w:rFonts w:eastAsia="Cambria"/>
        </w:rPr>
        <w:t>, 1363-1377.</w:t>
      </w:r>
    </w:p>
    <w:p w14:paraId="7A5BF42E" w14:textId="77777777" w:rsidR="0082227F" w:rsidRPr="00420139" w:rsidRDefault="0082227F" w:rsidP="0082227F">
      <w:pPr>
        <w:spacing w:line="360" w:lineRule="auto"/>
        <w:ind w:left="720" w:hanging="720"/>
      </w:pPr>
      <w:r w:rsidRPr="001E7FEC">
        <w:rPr>
          <w:rFonts w:eastAsia="Cambria"/>
        </w:rPr>
        <w:lastRenderedPageBreak/>
        <w:t xml:space="preserve">Bongers, A.M.T., Alkemade, R., Yeates, G.W. (1991) Interpretation of disturbance-induced maturity decrease in marine nematode assemblages by means of the Maturity Index. </w:t>
      </w:r>
      <w:r w:rsidRPr="001E7FEC">
        <w:rPr>
          <w:rFonts w:eastAsia="Cambria"/>
          <w:i/>
        </w:rPr>
        <w:t>Marine Ecology Progress Series</w:t>
      </w:r>
      <w:r w:rsidRPr="001E7FEC">
        <w:rPr>
          <w:rFonts w:eastAsia="Cambria"/>
        </w:rPr>
        <w:t xml:space="preserve"> </w:t>
      </w:r>
      <w:r w:rsidRPr="001E7FEC">
        <w:rPr>
          <w:rFonts w:eastAsia="Cambria"/>
          <w:b/>
        </w:rPr>
        <w:t>76</w:t>
      </w:r>
      <w:r w:rsidRPr="001E7FEC">
        <w:rPr>
          <w:rFonts w:eastAsia="Cambria"/>
        </w:rPr>
        <w:t>, 135-142.</w:t>
      </w:r>
    </w:p>
    <w:p w14:paraId="34B388C4" w14:textId="77777777" w:rsidR="0082227F" w:rsidRPr="00420139" w:rsidRDefault="0082227F" w:rsidP="0082227F">
      <w:pPr>
        <w:spacing w:line="360" w:lineRule="auto"/>
        <w:ind w:left="720" w:hanging="720"/>
      </w:pPr>
      <w:r w:rsidRPr="001E7FEC">
        <w:rPr>
          <w:rFonts w:eastAsia="Cambria"/>
        </w:rPr>
        <w:t xml:space="preserve">Bongers, T., De Goede, R., Korthals, G., Yeates, G. (1995) Proposed changes of cp classification for nematodes. </w:t>
      </w:r>
      <w:r w:rsidRPr="001E7FEC">
        <w:rPr>
          <w:rFonts w:eastAsia="Cambria"/>
          <w:i/>
        </w:rPr>
        <w:t>Russian Journal of Nematology</w:t>
      </w:r>
      <w:r w:rsidRPr="001E7FEC">
        <w:rPr>
          <w:rFonts w:eastAsia="Cambria"/>
        </w:rPr>
        <w:t xml:space="preserve"> </w:t>
      </w:r>
      <w:r w:rsidRPr="001E7FEC">
        <w:rPr>
          <w:rFonts w:eastAsia="Cambria"/>
          <w:b/>
        </w:rPr>
        <w:t>3</w:t>
      </w:r>
      <w:r w:rsidRPr="001E7FEC">
        <w:rPr>
          <w:rFonts w:eastAsia="Cambria"/>
        </w:rPr>
        <w:t>, 61-62.</w:t>
      </w:r>
    </w:p>
    <w:p w14:paraId="66928B03" w14:textId="096A7BE9" w:rsidR="0082227F" w:rsidRPr="001E7FEC" w:rsidRDefault="0082227F" w:rsidP="0082227F">
      <w:pPr>
        <w:spacing w:line="360" w:lineRule="auto"/>
        <w:ind w:left="720" w:hanging="720"/>
        <w:rPr>
          <w:rFonts w:eastAsia="Cambria"/>
        </w:rPr>
      </w:pPr>
      <w:r w:rsidRPr="001E7FEC">
        <w:rPr>
          <w:rFonts w:eastAsia="Cambria"/>
        </w:rPr>
        <w:t>Bourque, J., Demopoulos, A., Stamler K</w:t>
      </w:r>
      <w:r>
        <w:rPr>
          <w:rFonts w:eastAsia="Cambria"/>
        </w:rPr>
        <w:t>.</w:t>
      </w:r>
      <w:r w:rsidRPr="001E7FEC">
        <w:rPr>
          <w:rFonts w:eastAsia="Cambria"/>
        </w:rPr>
        <w:t>M</w:t>
      </w:r>
      <w:r>
        <w:rPr>
          <w:rFonts w:eastAsia="Cambria"/>
        </w:rPr>
        <w:t>.</w:t>
      </w:r>
      <w:r w:rsidRPr="001E7FEC">
        <w:rPr>
          <w:rFonts w:eastAsia="Cambria"/>
        </w:rPr>
        <w:t xml:space="preserve">, Robertson, C., Davies, A., Ingels, J., Mienis, F., Duineveld, G. (2015) Meiofaunal community structure and function in relation to sediment biogeochemistry and canyon morphology in Baltimore Canyon, western Atlantic </w:t>
      </w:r>
      <w:r w:rsidRPr="001E7FEC">
        <w:rPr>
          <w:rFonts w:eastAsia="Cambria"/>
          <w:i/>
        </w:rPr>
        <w:t>14th Deep Sea Biology Symposium</w:t>
      </w:r>
      <w:r w:rsidRPr="001E7FEC">
        <w:rPr>
          <w:rFonts w:eastAsia="Cambria"/>
        </w:rPr>
        <w:t>, Aveiro, Portugal.</w:t>
      </w:r>
      <w:r w:rsidR="000026CA">
        <w:rPr>
          <w:rFonts w:eastAsia="Cambria"/>
        </w:rPr>
        <w:t xml:space="preserve"> 178pp.</w:t>
      </w:r>
    </w:p>
    <w:p w14:paraId="593181A8" w14:textId="1F5406F2" w:rsidR="0082227F" w:rsidRPr="001E7FEC" w:rsidRDefault="0082227F" w:rsidP="00976135">
      <w:pPr>
        <w:spacing w:line="360" w:lineRule="auto"/>
        <w:ind w:left="720" w:hanging="720"/>
        <w:rPr>
          <w:rFonts w:eastAsia="Cambria"/>
        </w:rPr>
      </w:pPr>
      <w:r w:rsidRPr="001E7FEC">
        <w:rPr>
          <w:rFonts w:eastAsia="Cambria"/>
        </w:rPr>
        <w:t>Canty, A., Ripley, B. (2015). boot: Bootstrap R (S-Plus) Functions. R package version 1.3-16.</w:t>
      </w:r>
    </w:p>
    <w:p w14:paraId="5B47DD33" w14:textId="77777777" w:rsidR="0082227F" w:rsidRPr="00420139" w:rsidRDefault="0082227F" w:rsidP="0082227F">
      <w:pPr>
        <w:spacing w:line="360" w:lineRule="auto"/>
        <w:ind w:left="720" w:hanging="720"/>
      </w:pPr>
      <w:r w:rsidRPr="00420139">
        <w:t xml:space="preserve">Clarke, K.R. (1993). Non-parametric multivariate analyses of changes in community structure. </w:t>
      </w:r>
      <w:r w:rsidRPr="001E7FEC">
        <w:rPr>
          <w:i/>
        </w:rPr>
        <w:t>Australian Journal of Ecology</w:t>
      </w:r>
      <w:r w:rsidRPr="00420139">
        <w:t xml:space="preserve"> 18, 117-143.</w:t>
      </w:r>
    </w:p>
    <w:p w14:paraId="6EFDDF31" w14:textId="77777777" w:rsidR="0082227F" w:rsidRPr="00420139" w:rsidRDefault="0082227F" w:rsidP="0082227F">
      <w:pPr>
        <w:spacing w:line="360" w:lineRule="auto"/>
        <w:ind w:left="720" w:hanging="720"/>
      </w:pPr>
      <w:r w:rsidRPr="00420139">
        <w:t>Clarke, K.R., Gorley, R.N., 2006. PRIMER v6: User Manual / Tutorial. PRIMER-E, Plymouth, 192pp.</w:t>
      </w:r>
    </w:p>
    <w:p w14:paraId="1C6849B2" w14:textId="77777777" w:rsidR="0082227F" w:rsidRPr="001E7FEC" w:rsidRDefault="0082227F" w:rsidP="0082227F">
      <w:pPr>
        <w:spacing w:line="360" w:lineRule="auto"/>
        <w:ind w:left="720" w:hanging="720"/>
        <w:rPr>
          <w:rFonts w:eastAsia="Cambria"/>
        </w:rPr>
      </w:pPr>
      <w:r w:rsidRPr="001E7FEC">
        <w:rPr>
          <w:rFonts w:eastAsia="Cambria"/>
        </w:rPr>
        <w:t>Colwell, R.K. (2013). EstimateS: Statistical estimation of species richness and shared species from samples. Version 9. User's Guide and application published at: http://purl.oclc.org/estimates</w:t>
      </w:r>
    </w:p>
    <w:p w14:paraId="182930EB" w14:textId="798486A0" w:rsidR="0082227F" w:rsidRPr="00420139" w:rsidRDefault="0082227F" w:rsidP="0082572A">
      <w:pPr>
        <w:spacing w:line="360" w:lineRule="auto"/>
        <w:ind w:left="720" w:hanging="720"/>
      </w:pPr>
      <w:r w:rsidRPr="001E7FEC">
        <w:rPr>
          <w:rFonts w:eastAsia="Cambria"/>
        </w:rPr>
        <w:t xml:space="preserve">Colwell, R.K., Chao, A., Gotelli, N.J., Lin, S.-Y., Mao, C. X., Chazdon, R.L., Longino, J.T. </w:t>
      </w:r>
      <w:r w:rsidR="00976135">
        <w:rPr>
          <w:rFonts w:eastAsia="Cambria"/>
        </w:rPr>
        <w:t>(</w:t>
      </w:r>
      <w:r w:rsidRPr="001E7FEC">
        <w:rPr>
          <w:rFonts w:eastAsia="Cambria"/>
        </w:rPr>
        <w:t>2012</w:t>
      </w:r>
      <w:r w:rsidR="00976135">
        <w:rPr>
          <w:rFonts w:eastAsia="Cambria"/>
        </w:rPr>
        <w:t>)</w:t>
      </w:r>
      <w:r w:rsidRPr="001E7FEC">
        <w:rPr>
          <w:rFonts w:eastAsia="Cambria"/>
        </w:rPr>
        <w:t xml:space="preserve">. Models and estimators linking individual-based and sample-based rarefaction, extrapolation, and comparison of assemblages. </w:t>
      </w:r>
      <w:r w:rsidRPr="001E7FEC">
        <w:rPr>
          <w:rFonts w:eastAsia="Cambria"/>
          <w:i/>
        </w:rPr>
        <w:t>Journal of Plant Ecology</w:t>
      </w:r>
      <w:r w:rsidRPr="001E7FEC">
        <w:rPr>
          <w:rFonts w:eastAsia="Cambria"/>
        </w:rPr>
        <w:t xml:space="preserve"> </w:t>
      </w:r>
      <w:r w:rsidRPr="001E7FEC">
        <w:rPr>
          <w:rFonts w:eastAsia="Cambria"/>
          <w:b/>
        </w:rPr>
        <w:t>5</w:t>
      </w:r>
      <w:r w:rsidRPr="001E7FEC">
        <w:rPr>
          <w:rFonts w:eastAsia="Cambria"/>
        </w:rPr>
        <w:t>, 3-21.</w:t>
      </w:r>
    </w:p>
    <w:p w14:paraId="7F466BC7" w14:textId="77777777" w:rsidR="0082227F" w:rsidRPr="001E7FEC" w:rsidRDefault="0082227F" w:rsidP="0082227F">
      <w:pPr>
        <w:spacing w:line="360" w:lineRule="auto"/>
        <w:ind w:left="720" w:hanging="720"/>
        <w:rPr>
          <w:rFonts w:eastAsia="Cambria"/>
        </w:rPr>
      </w:pPr>
      <w:r w:rsidRPr="001E7FEC">
        <w:rPr>
          <w:rFonts w:eastAsia="Cambria"/>
        </w:rPr>
        <w:t xml:space="preserve">Danovaro, R., Gambi, C. (2002) Biodiversity and trophic structure of nematode assemblages in seagrass systems: evidence for a coupling with changes in food availability. </w:t>
      </w:r>
      <w:r w:rsidRPr="001E7FEC">
        <w:rPr>
          <w:rFonts w:eastAsia="Cambria"/>
          <w:i/>
        </w:rPr>
        <w:t>Marine Biology</w:t>
      </w:r>
      <w:r w:rsidRPr="001E7FEC">
        <w:rPr>
          <w:rFonts w:eastAsia="Cambria"/>
        </w:rPr>
        <w:t xml:space="preserve"> </w:t>
      </w:r>
      <w:r w:rsidRPr="001E7FEC">
        <w:rPr>
          <w:rFonts w:eastAsia="Cambria"/>
          <w:b/>
        </w:rPr>
        <w:t>141</w:t>
      </w:r>
      <w:r w:rsidRPr="001E7FEC">
        <w:rPr>
          <w:rFonts w:eastAsia="Cambria"/>
        </w:rPr>
        <w:t>, 667-677.</w:t>
      </w:r>
    </w:p>
    <w:p w14:paraId="4BA1AB47" w14:textId="77777777" w:rsidR="0082227F" w:rsidRPr="00420139" w:rsidRDefault="0082227F" w:rsidP="0082227F">
      <w:pPr>
        <w:spacing w:line="360" w:lineRule="auto"/>
        <w:ind w:left="720" w:hanging="720"/>
      </w:pPr>
      <w:r w:rsidRPr="00420139">
        <w:t>Davison, A.C., Hinkley, D.V. (1997) Bootstrap Methods and Their Applications. Cambridge University Press, Cambridge. ISBN 0-521-57391-2.</w:t>
      </w:r>
    </w:p>
    <w:p w14:paraId="1434918C" w14:textId="77777777" w:rsidR="0082227F" w:rsidRPr="00420139" w:rsidRDefault="0082227F" w:rsidP="0082227F">
      <w:pPr>
        <w:spacing w:line="360" w:lineRule="auto"/>
        <w:ind w:left="720" w:hanging="720"/>
      </w:pPr>
      <w:r w:rsidRPr="001E7FEC">
        <w:rPr>
          <w:rFonts w:eastAsia="Cambria"/>
        </w:rPr>
        <w:t xml:space="preserve">Duineveld, G., Lavaleye, M., Berghuis, E., de Wilde, P. (2001) Activity and composition of the benthic fauna in the Whittard Canyon and the adjacent continental slope (NE Atlantic). </w:t>
      </w:r>
      <w:r w:rsidRPr="001E7FEC">
        <w:rPr>
          <w:rFonts w:eastAsia="Cambria"/>
          <w:i/>
        </w:rPr>
        <w:t>Oceanologica Acta</w:t>
      </w:r>
      <w:r w:rsidRPr="001E7FEC">
        <w:rPr>
          <w:rFonts w:eastAsia="Cambria"/>
        </w:rPr>
        <w:t xml:space="preserve"> </w:t>
      </w:r>
      <w:r w:rsidRPr="001E7FEC">
        <w:rPr>
          <w:rFonts w:eastAsia="Cambria"/>
          <w:b/>
        </w:rPr>
        <w:t>24</w:t>
      </w:r>
      <w:r w:rsidRPr="001E7FEC">
        <w:rPr>
          <w:rFonts w:eastAsia="Cambria"/>
        </w:rPr>
        <w:t>, 69-83.</w:t>
      </w:r>
    </w:p>
    <w:p w14:paraId="3FC057AA" w14:textId="77777777" w:rsidR="0082227F" w:rsidRPr="00420139" w:rsidRDefault="0082227F" w:rsidP="0082227F">
      <w:pPr>
        <w:spacing w:line="360" w:lineRule="auto"/>
        <w:ind w:left="720" w:hanging="720"/>
      </w:pPr>
      <w:r w:rsidRPr="001E7FEC">
        <w:rPr>
          <w:rFonts w:eastAsia="Cambria"/>
        </w:rPr>
        <w:t xml:space="preserve">Duros, P., Fontanier, C., Metzger, E., Pusceddu, A., Cesbron, F., de Stigter, H.C., Bianchelli, S., Danovaro, R., Jorissen, F.J. (2011) Live (stained) benthic </w:t>
      </w:r>
      <w:r w:rsidRPr="001E7FEC">
        <w:rPr>
          <w:rFonts w:eastAsia="Cambria"/>
        </w:rPr>
        <w:lastRenderedPageBreak/>
        <w:t xml:space="preserve">foraminifera in the Whittard Canyon, Celtic margin (NE Atlantic). </w:t>
      </w:r>
      <w:r w:rsidRPr="001E7FEC">
        <w:rPr>
          <w:rFonts w:eastAsia="Cambria"/>
          <w:i/>
        </w:rPr>
        <w:t>Deep-Sea Research Part I</w:t>
      </w:r>
      <w:r w:rsidRPr="001E7FEC">
        <w:rPr>
          <w:rFonts w:eastAsia="Cambria"/>
        </w:rPr>
        <w:t xml:space="preserve"> </w:t>
      </w:r>
      <w:r w:rsidRPr="001E7FEC">
        <w:rPr>
          <w:rFonts w:eastAsia="Cambria"/>
          <w:b/>
        </w:rPr>
        <w:t>58</w:t>
      </w:r>
      <w:r w:rsidRPr="001E7FEC">
        <w:rPr>
          <w:rFonts w:eastAsia="Cambria"/>
        </w:rPr>
        <w:t>, 128-146.</w:t>
      </w:r>
    </w:p>
    <w:p w14:paraId="50EFEA40" w14:textId="77777777" w:rsidR="0082227F" w:rsidRPr="001E7FEC" w:rsidRDefault="0082227F" w:rsidP="0082227F">
      <w:pPr>
        <w:spacing w:line="360" w:lineRule="auto"/>
        <w:ind w:left="720" w:hanging="720"/>
        <w:rPr>
          <w:rFonts w:eastAsia="Cambria"/>
        </w:rPr>
      </w:pPr>
      <w:r w:rsidRPr="001E7FEC">
        <w:rPr>
          <w:rFonts w:eastAsia="Cambria"/>
        </w:rPr>
        <w:t>Elliot, J.M. (1977) Some methods for the statistical analysis of samples of benthic invertebrates, 2nd edn. Freshwater Biological Association, Ambleside.</w:t>
      </w:r>
    </w:p>
    <w:p w14:paraId="1EFA7CC2" w14:textId="77777777" w:rsidR="0082227F" w:rsidRPr="00420139" w:rsidRDefault="0082227F" w:rsidP="0082227F">
      <w:pPr>
        <w:spacing w:line="360" w:lineRule="auto"/>
        <w:ind w:left="720" w:hanging="720"/>
      </w:pPr>
      <w:r w:rsidRPr="001E7FEC">
        <w:rPr>
          <w:rFonts w:eastAsia="Cambria"/>
        </w:rPr>
        <w:t xml:space="preserve">Flach, E., Vanaverbeke, J., Heip, C. (1999) The meiofauna : macrofauna ratio across the continental slope of the Goban Spur (north-east Atlantic). </w:t>
      </w:r>
      <w:r w:rsidRPr="001E7FEC">
        <w:rPr>
          <w:rFonts w:eastAsia="Cambria"/>
          <w:i/>
        </w:rPr>
        <w:t>Journal of the Marine Biological Association of the United Kingdom</w:t>
      </w:r>
      <w:r w:rsidRPr="001E7FEC">
        <w:rPr>
          <w:rFonts w:eastAsia="Cambria"/>
        </w:rPr>
        <w:t xml:space="preserve"> </w:t>
      </w:r>
      <w:r w:rsidRPr="001E7FEC">
        <w:rPr>
          <w:rFonts w:eastAsia="Cambria"/>
          <w:b/>
        </w:rPr>
        <w:t>79</w:t>
      </w:r>
      <w:r w:rsidRPr="001E7FEC">
        <w:rPr>
          <w:rFonts w:eastAsia="Cambria"/>
        </w:rPr>
        <w:t>, 233-241.</w:t>
      </w:r>
    </w:p>
    <w:p w14:paraId="0A90DA59" w14:textId="77777777" w:rsidR="0082227F" w:rsidRPr="00420139" w:rsidRDefault="0082227F" w:rsidP="0082227F">
      <w:pPr>
        <w:spacing w:line="360" w:lineRule="auto"/>
        <w:ind w:left="720" w:hanging="720"/>
      </w:pPr>
      <w:r w:rsidRPr="001E7FEC">
        <w:rPr>
          <w:rFonts w:eastAsia="Cambria"/>
        </w:rPr>
        <w:t xml:space="preserve">Fleeger, J.W., Carman, K.R., Weisenhorn, P.B., Sofranko, H., Marshall, T., Thistle, D., Barry, J.P. (2006) Simulated sequestration of anthropogenic carbon dioxide at a deep-sea site: Effects on nematode abundance and biovolume. </w:t>
      </w:r>
      <w:r w:rsidRPr="001E7FEC">
        <w:rPr>
          <w:rFonts w:eastAsia="Cambria"/>
          <w:i/>
        </w:rPr>
        <w:t>Deep Sea Research Part I</w:t>
      </w:r>
      <w:r w:rsidRPr="001E7FEC">
        <w:rPr>
          <w:rFonts w:eastAsia="Cambria"/>
        </w:rPr>
        <w:t xml:space="preserve"> </w:t>
      </w:r>
      <w:r w:rsidRPr="001E7FEC">
        <w:rPr>
          <w:rFonts w:eastAsia="Cambria"/>
          <w:b/>
        </w:rPr>
        <w:t>53</w:t>
      </w:r>
      <w:r>
        <w:rPr>
          <w:rFonts w:eastAsia="Cambria"/>
        </w:rPr>
        <w:t>,</w:t>
      </w:r>
      <w:r w:rsidRPr="001E7FEC">
        <w:rPr>
          <w:rFonts w:eastAsia="Cambria"/>
        </w:rPr>
        <w:t xml:space="preserve"> 1135-1147.</w:t>
      </w:r>
    </w:p>
    <w:p w14:paraId="721540D3" w14:textId="77777777" w:rsidR="0082227F" w:rsidRPr="00420139" w:rsidRDefault="0082227F" w:rsidP="0082227F">
      <w:pPr>
        <w:spacing w:line="360" w:lineRule="auto"/>
        <w:ind w:left="720" w:hanging="720"/>
      </w:pPr>
      <w:r w:rsidRPr="001E7FEC">
        <w:rPr>
          <w:rFonts w:eastAsia="Cambria"/>
        </w:rPr>
        <w:t>Fleeger, J.W., Johnson, D.S., Carman, K.R., Weisenhorn, P.B., Gabriele, A., Thistle, D., Barry, J.P. (2010) The response of nematodes to deep-sea CO</w:t>
      </w:r>
      <w:r w:rsidRPr="001E7FEC">
        <w:rPr>
          <w:rFonts w:eastAsia="Cambria"/>
          <w:vertAlign w:val="subscript"/>
        </w:rPr>
        <w:t>2</w:t>
      </w:r>
      <w:r w:rsidRPr="001E7FEC">
        <w:rPr>
          <w:rFonts w:eastAsia="Cambria"/>
        </w:rPr>
        <w:t xml:space="preserve"> sequestration: A quantile regression approach. </w:t>
      </w:r>
      <w:r w:rsidRPr="001E7FEC">
        <w:rPr>
          <w:rFonts w:eastAsia="Cambria"/>
          <w:i/>
        </w:rPr>
        <w:t>Deep Sea Research Part I</w:t>
      </w:r>
      <w:r w:rsidRPr="001E7FEC">
        <w:rPr>
          <w:rFonts w:eastAsia="Cambria"/>
        </w:rPr>
        <w:t xml:space="preserve"> </w:t>
      </w:r>
      <w:r w:rsidRPr="001E7FEC">
        <w:rPr>
          <w:rFonts w:eastAsia="Cambria"/>
          <w:b/>
        </w:rPr>
        <w:t>57</w:t>
      </w:r>
      <w:r>
        <w:rPr>
          <w:rFonts w:eastAsia="Cambria"/>
        </w:rPr>
        <w:t>,</w:t>
      </w:r>
      <w:r w:rsidRPr="001E7FEC">
        <w:rPr>
          <w:rFonts w:eastAsia="Cambria"/>
        </w:rPr>
        <w:t xml:space="preserve"> 696-707.</w:t>
      </w:r>
    </w:p>
    <w:p w14:paraId="3464DD35" w14:textId="77777777" w:rsidR="0082227F" w:rsidRPr="001E7FEC" w:rsidRDefault="0082227F" w:rsidP="0082227F">
      <w:pPr>
        <w:spacing w:line="360" w:lineRule="auto"/>
        <w:ind w:left="720" w:hanging="720"/>
        <w:rPr>
          <w:rFonts w:eastAsia="Cambria"/>
        </w:rPr>
      </w:pPr>
      <w:r w:rsidRPr="001E7FEC">
        <w:rPr>
          <w:rFonts w:eastAsia="Cambria"/>
        </w:rPr>
        <w:t xml:space="preserve">Gage, J. (1979) Macrobenthic community structure in the Rockall Trough. </w:t>
      </w:r>
      <w:r w:rsidRPr="001E7FEC">
        <w:rPr>
          <w:rFonts w:eastAsia="Cambria"/>
          <w:i/>
        </w:rPr>
        <w:t>Ambio Special Report</w:t>
      </w:r>
      <w:r w:rsidRPr="001E7FEC">
        <w:rPr>
          <w:rFonts w:eastAsia="Cambria"/>
        </w:rPr>
        <w:t xml:space="preserve"> </w:t>
      </w:r>
      <w:r w:rsidRPr="001E7FEC">
        <w:rPr>
          <w:rFonts w:eastAsia="Cambria"/>
          <w:b/>
        </w:rPr>
        <w:t>6</w:t>
      </w:r>
      <w:r w:rsidRPr="001E7FEC">
        <w:rPr>
          <w:rFonts w:eastAsia="Cambria"/>
        </w:rPr>
        <w:t>, 43-46.</w:t>
      </w:r>
    </w:p>
    <w:p w14:paraId="1C870C27" w14:textId="77777777" w:rsidR="0082227F" w:rsidRPr="00420139" w:rsidRDefault="0082227F" w:rsidP="0082227F">
      <w:pPr>
        <w:spacing w:line="360" w:lineRule="auto"/>
        <w:ind w:left="720" w:hanging="720"/>
      </w:pPr>
      <w:r>
        <w:t>Gage, J.D.,</w:t>
      </w:r>
      <w:r w:rsidRPr="00420139">
        <w:t xml:space="preserve"> Bett, </w:t>
      </w:r>
      <w:r>
        <w:t>B.J. (</w:t>
      </w:r>
      <w:r w:rsidRPr="00420139">
        <w:t>2005</w:t>
      </w:r>
      <w:r>
        <w:t>)</w:t>
      </w:r>
      <w:r w:rsidRPr="00420139">
        <w:t xml:space="preserve"> Deep-sea benthic sampling. In Eleftheriou, A. &amp; A. McIntyre (eds) Methods for the study of marine benthos 3rd ed. Blackwell Publishing, Oxford, 273-325.</w:t>
      </w:r>
    </w:p>
    <w:p w14:paraId="03E9FC1A" w14:textId="77777777" w:rsidR="0082227F" w:rsidRPr="00420139" w:rsidRDefault="0082227F" w:rsidP="0082227F">
      <w:pPr>
        <w:spacing w:line="360" w:lineRule="auto"/>
        <w:ind w:left="720" w:hanging="720"/>
      </w:pPr>
      <w:r w:rsidRPr="001E7FEC">
        <w:rPr>
          <w:rFonts w:eastAsia="Cambria"/>
        </w:rPr>
        <w:t xml:space="preserve">Gage, J., Tyler, P. (1991). </w:t>
      </w:r>
      <w:r w:rsidRPr="001E7FEC">
        <w:rPr>
          <w:rFonts w:eastAsia="Cambria"/>
          <w:i/>
        </w:rPr>
        <w:t>Deep-Sea Biology</w:t>
      </w:r>
      <w:r w:rsidRPr="001E7FEC">
        <w:rPr>
          <w:rFonts w:eastAsia="Cambria"/>
        </w:rPr>
        <w:t>. Cambridge University Press, Cambridge.</w:t>
      </w:r>
    </w:p>
    <w:p w14:paraId="3EB22A93" w14:textId="77777777" w:rsidR="0082227F" w:rsidRPr="00420139" w:rsidRDefault="0082227F" w:rsidP="0082227F">
      <w:pPr>
        <w:spacing w:line="360" w:lineRule="auto"/>
        <w:ind w:left="720" w:hanging="720"/>
      </w:pPr>
      <w:r w:rsidRPr="001E7FEC">
        <w:rPr>
          <w:rFonts w:eastAsia="Cambria"/>
        </w:rPr>
        <w:t xml:space="preserve">Garcia, R., Koho, K.A., De Stigter, H.C., Epping, E., Koning, E., Thomsen, L. (2007) Distribution of meiobenthos in the Nazare canyon and adjacent slope (western Iberian Margin) in relation to sedimentary composition. </w:t>
      </w:r>
      <w:r w:rsidRPr="001E7FEC">
        <w:rPr>
          <w:rFonts w:eastAsia="Cambria"/>
          <w:i/>
        </w:rPr>
        <w:t>Marine Ecology-Progress Series</w:t>
      </w:r>
      <w:r w:rsidRPr="001E7FEC">
        <w:rPr>
          <w:rFonts w:eastAsia="Cambria"/>
        </w:rPr>
        <w:t xml:space="preserve"> </w:t>
      </w:r>
      <w:r w:rsidRPr="001E7FEC">
        <w:rPr>
          <w:rFonts w:eastAsia="Cambria"/>
          <w:b/>
        </w:rPr>
        <w:t>340</w:t>
      </w:r>
      <w:r w:rsidRPr="001E7FEC">
        <w:rPr>
          <w:rFonts w:eastAsia="Cambria"/>
        </w:rPr>
        <w:t>, 207-220.</w:t>
      </w:r>
    </w:p>
    <w:p w14:paraId="5418312D" w14:textId="77777777" w:rsidR="0082227F" w:rsidRPr="00420139" w:rsidRDefault="0082227F" w:rsidP="0082227F">
      <w:pPr>
        <w:spacing w:line="360" w:lineRule="auto"/>
        <w:ind w:left="720" w:hanging="720"/>
      </w:pPr>
      <w:r w:rsidRPr="001E7FEC">
        <w:rPr>
          <w:rFonts w:eastAsia="Cambria"/>
        </w:rPr>
        <w:t xml:space="preserve">Giere, O. (2009). </w:t>
      </w:r>
      <w:r w:rsidRPr="001E7FEC">
        <w:rPr>
          <w:rFonts w:eastAsia="Cambria"/>
          <w:i/>
        </w:rPr>
        <w:t>Meiobenthology: the microscopic motile fauna of aquatic sediments</w:t>
      </w:r>
      <w:r w:rsidRPr="001E7FEC">
        <w:rPr>
          <w:rFonts w:eastAsia="Cambria"/>
        </w:rPr>
        <w:t>. Springer-Verlag, Berlin.</w:t>
      </w:r>
    </w:p>
    <w:p w14:paraId="4F37EE37" w14:textId="77777777" w:rsidR="0082227F" w:rsidRPr="00420139" w:rsidRDefault="0082227F" w:rsidP="0082227F">
      <w:pPr>
        <w:spacing w:line="360" w:lineRule="auto"/>
        <w:ind w:left="720" w:hanging="720"/>
      </w:pPr>
      <w:r w:rsidRPr="001E7FEC">
        <w:rPr>
          <w:rFonts w:eastAsia="Cambria"/>
        </w:rPr>
        <w:t xml:space="preserve">Gunton, L.M., Gooday, A.J., Glover, A.G., Bett, B.J. (2015a) Macrofaunal abundance and community composition at lower bathyal depths in different branches of the Whittard Canyon and on the adjacent slope (3500m; NE Atlantic). </w:t>
      </w:r>
      <w:r w:rsidRPr="001E7FEC">
        <w:rPr>
          <w:rFonts w:eastAsia="Cambria"/>
          <w:i/>
        </w:rPr>
        <w:t>Deep Sea Research Part I</w:t>
      </w:r>
      <w:r w:rsidRPr="001E7FEC">
        <w:rPr>
          <w:rFonts w:eastAsia="Cambria"/>
        </w:rPr>
        <w:t xml:space="preserve"> </w:t>
      </w:r>
      <w:r w:rsidRPr="001E7FEC">
        <w:rPr>
          <w:rFonts w:eastAsia="Cambria"/>
          <w:b/>
        </w:rPr>
        <w:t>97</w:t>
      </w:r>
      <w:r w:rsidRPr="001E7FEC">
        <w:rPr>
          <w:rFonts w:eastAsia="Cambria"/>
        </w:rPr>
        <w:t>, 29-39.</w:t>
      </w:r>
    </w:p>
    <w:p w14:paraId="2FBAA187" w14:textId="77777777" w:rsidR="0082227F" w:rsidRPr="00420139" w:rsidRDefault="0082227F" w:rsidP="0082227F">
      <w:pPr>
        <w:spacing w:line="360" w:lineRule="auto"/>
        <w:ind w:left="720" w:hanging="720"/>
      </w:pPr>
      <w:r w:rsidRPr="001E7FEC">
        <w:rPr>
          <w:rFonts w:eastAsia="Cambria"/>
        </w:rPr>
        <w:t xml:space="preserve">Gunton, L.M., Neal, L., Gooday, A.J., Bett, B.J., Glover, A.G. (2015b) Benthic polychaete diversity patterns and community structure in the Whittard canyon </w:t>
      </w:r>
      <w:r w:rsidRPr="001E7FEC">
        <w:rPr>
          <w:rFonts w:eastAsia="Cambria"/>
        </w:rPr>
        <w:lastRenderedPageBreak/>
        <w:t xml:space="preserve">system and adjacent slope (NE Atlantic). </w:t>
      </w:r>
      <w:r w:rsidRPr="001E7FEC">
        <w:rPr>
          <w:rFonts w:eastAsia="Cambria"/>
          <w:i/>
        </w:rPr>
        <w:t>Deep Sea Research Part I</w:t>
      </w:r>
      <w:r w:rsidRPr="001E7FEC">
        <w:rPr>
          <w:rFonts w:eastAsia="Cambria"/>
        </w:rPr>
        <w:t xml:space="preserve"> </w:t>
      </w:r>
      <w:r w:rsidRPr="001E7FEC">
        <w:rPr>
          <w:rFonts w:eastAsia="Cambria"/>
          <w:b/>
        </w:rPr>
        <w:t>106</w:t>
      </w:r>
      <w:r w:rsidRPr="001E7FEC">
        <w:rPr>
          <w:rFonts w:eastAsia="Cambria"/>
        </w:rPr>
        <w:t>, 42-54.</w:t>
      </w:r>
    </w:p>
    <w:p w14:paraId="25D380F3" w14:textId="77777777" w:rsidR="0082227F" w:rsidRPr="00420139" w:rsidRDefault="0082227F" w:rsidP="0082227F">
      <w:pPr>
        <w:spacing w:line="360" w:lineRule="auto"/>
        <w:ind w:left="720" w:hanging="720"/>
      </w:pPr>
      <w:r w:rsidRPr="001E7FEC">
        <w:rPr>
          <w:rFonts w:eastAsia="Cambria"/>
        </w:rPr>
        <w:t xml:space="preserve">Hecker, B., Paul, A. (1979) Abyssal Community Structure of the Benthic Infauna of the Eastern Equatorial Pacific: DOMES Sites A, B, and C. In: J. Bischoff &amp; D. Piper (Eds). </w:t>
      </w:r>
      <w:r w:rsidRPr="001E7FEC">
        <w:rPr>
          <w:rFonts w:eastAsia="Cambria"/>
          <w:i/>
        </w:rPr>
        <w:t>Marine Geology and Oceanography of the Pacific Manganese Nodule Province</w:t>
      </w:r>
      <w:r w:rsidRPr="001E7FEC">
        <w:rPr>
          <w:rFonts w:eastAsia="Cambria"/>
        </w:rPr>
        <w:t>. Springer US: 287-308.</w:t>
      </w:r>
    </w:p>
    <w:p w14:paraId="3E06BA00" w14:textId="77777777" w:rsidR="0082227F" w:rsidRPr="00420139" w:rsidRDefault="0082227F" w:rsidP="0082227F">
      <w:pPr>
        <w:spacing w:line="360" w:lineRule="auto"/>
        <w:ind w:left="720" w:hanging="720"/>
      </w:pPr>
      <w:r w:rsidRPr="001E7FEC">
        <w:rPr>
          <w:rFonts w:eastAsia="Cambria"/>
        </w:rPr>
        <w:t xml:space="preserve">Heip, C., Herman, P., Soetaert, K. (1998) Indices of diversity and evenness. </w:t>
      </w:r>
      <w:r w:rsidRPr="001E7FEC">
        <w:rPr>
          <w:rFonts w:eastAsia="Cambria"/>
          <w:i/>
        </w:rPr>
        <w:t>Oceanis</w:t>
      </w:r>
      <w:r w:rsidRPr="001E7FEC">
        <w:rPr>
          <w:rFonts w:eastAsia="Cambria"/>
        </w:rPr>
        <w:t xml:space="preserve"> </w:t>
      </w:r>
      <w:r w:rsidRPr="001E7FEC">
        <w:rPr>
          <w:rFonts w:eastAsia="Cambria"/>
          <w:b/>
        </w:rPr>
        <w:t>24</w:t>
      </w:r>
      <w:r w:rsidRPr="001E7FEC">
        <w:rPr>
          <w:rFonts w:eastAsia="Cambria"/>
        </w:rPr>
        <w:t>, 61-87.</w:t>
      </w:r>
    </w:p>
    <w:p w14:paraId="250234D1" w14:textId="77777777" w:rsidR="0082227F" w:rsidRPr="00420139" w:rsidRDefault="0082227F" w:rsidP="0082227F">
      <w:pPr>
        <w:spacing w:line="360" w:lineRule="auto"/>
        <w:ind w:left="720" w:hanging="720"/>
      </w:pPr>
      <w:r w:rsidRPr="001E7FEC">
        <w:rPr>
          <w:rFonts w:eastAsia="Cambria"/>
        </w:rPr>
        <w:t xml:space="preserve">Henry, L.-A., Roberts, J.M. (2007) Biodiversity and ecological composition of macrobenthos on cold-water coral mounds and adjacent off-mound habitat in the bathyal Porcupine Seabight, NE Atlantic. </w:t>
      </w:r>
      <w:r w:rsidRPr="001E7FEC">
        <w:rPr>
          <w:rFonts w:eastAsia="Cambria"/>
          <w:i/>
        </w:rPr>
        <w:t>Deep Sea Research Part I</w:t>
      </w:r>
      <w:r w:rsidRPr="001E7FEC">
        <w:rPr>
          <w:rFonts w:eastAsia="Cambria"/>
        </w:rPr>
        <w:t xml:space="preserve"> </w:t>
      </w:r>
      <w:r w:rsidRPr="001E7FEC">
        <w:rPr>
          <w:rFonts w:eastAsia="Cambria"/>
          <w:b/>
        </w:rPr>
        <w:t>54</w:t>
      </w:r>
      <w:r w:rsidRPr="001E7FEC">
        <w:rPr>
          <w:rFonts w:eastAsia="Cambria"/>
        </w:rPr>
        <w:t>, 654-672.</w:t>
      </w:r>
    </w:p>
    <w:p w14:paraId="60B0EA60" w14:textId="77777777" w:rsidR="0082227F" w:rsidRPr="00420139" w:rsidRDefault="0082227F" w:rsidP="0082227F">
      <w:pPr>
        <w:spacing w:line="360" w:lineRule="auto"/>
        <w:ind w:left="720" w:hanging="720"/>
      </w:pPr>
      <w:r w:rsidRPr="001E7FEC">
        <w:rPr>
          <w:rFonts w:eastAsia="Cambria"/>
        </w:rPr>
        <w:t xml:space="preserve">Hessler, R.R., Jumars, P.A. (1974) Abyssal community analysis from replicate box cores in central north Pacific. </w:t>
      </w:r>
      <w:r w:rsidRPr="001E7FEC">
        <w:rPr>
          <w:rFonts w:eastAsia="Cambria"/>
          <w:i/>
        </w:rPr>
        <w:t>Deep-Sea Research</w:t>
      </w:r>
      <w:r w:rsidRPr="001E7FEC">
        <w:rPr>
          <w:rFonts w:eastAsia="Cambria"/>
        </w:rPr>
        <w:t xml:space="preserve"> </w:t>
      </w:r>
      <w:r w:rsidRPr="001E7FEC">
        <w:rPr>
          <w:rFonts w:eastAsia="Cambria"/>
          <w:b/>
        </w:rPr>
        <w:t>21</w:t>
      </w:r>
      <w:r w:rsidRPr="001E7FEC">
        <w:rPr>
          <w:rFonts w:eastAsia="Cambria"/>
        </w:rPr>
        <w:t>, 185-209.</w:t>
      </w:r>
    </w:p>
    <w:p w14:paraId="7E1C4468" w14:textId="77777777" w:rsidR="0082227F" w:rsidRPr="00420139" w:rsidRDefault="0082227F" w:rsidP="0082227F">
      <w:pPr>
        <w:spacing w:line="360" w:lineRule="auto"/>
        <w:ind w:left="720" w:hanging="720"/>
      </w:pPr>
      <w:r w:rsidRPr="001E7FEC">
        <w:rPr>
          <w:rFonts w:eastAsia="Cambria"/>
        </w:rPr>
        <w:t xml:space="preserve">Hunter, W., Jamieson, A., Huvenne, V., Witte, U. (2013) Sediment community responses to marine vs. terrigenous organic matter in a submarine canyon. </w:t>
      </w:r>
      <w:r w:rsidRPr="001E7FEC">
        <w:rPr>
          <w:rFonts w:eastAsia="Cambria"/>
          <w:i/>
        </w:rPr>
        <w:t>Biogeosciences</w:t>
      </w:r>
      <w:r w:rsidRPr="001E7FEC">
        <w:rPr>
          <w:rFonts w:eastAsia="Cambria"/>
        </w:rPr>
        <w:t xml:space="preserve"> </w:t>
      </w:r>
      <w:r w:rsidRPr="001E7FEC">
        <w:rPr>
          <w:rFonts w:eastAsia="Cambria"/>
          <w:b/>
        </w:rPr>
        <w:t>10</w:t>
      </w:r>
      <w:r w:rsidRPr="001E7FEC">
        <w:rPr>
          <w:rFonts w:eastAsia="Cambria"/>
        </w:rPr>
        <w:t>, 67-80.</w:t>
      </w:r>
    </w:p>
    <w:p w14:paraId="1D793A53" w14:textId="77777777" w:rsidR="0082227F" w:rsidRPr="00420139" w:rsidRDefault="0082227F" w:rsidP="0082227F">
      <w:pPr>
        <w:spacing w:line="360" w:lineRule="auto"/>
        <w:ind w:left="720" w:hanging="720"/>
      </w:pPr>
      <w:r w:rsidRPr="001E7FEC">
        <w:rPr>
          <w:rFonts w:eastAsia="Cambria"/>
        </w:rPr>
        <w:t xml:space="preserve">Ingels, J., Billett, D.S.M., Kiriakoulakis, K., Wolff, G.A., Vanreusel, A. (2011a) Structural and functional diversity of Nematoda in relation with environmental variables in the Setubal and Cascais canyons, Western Iberian Margin. </w:t>
      </w:r>
      <w:r w:rsidRPr="001E7FEC">
        <w:rPr>
          <w:rFonts w:eastAsia="Cambria"/>
          <w:i/>
        </w:rPr>
        <w:t>Deep Sea Research Part II</w:t>
      </w:r>
      <w:r w:rsidRPr="001E7FEC">
        <w:rPr>
          <w:rFonts w:eastAsia="Cambria"/>
        </w:rPr>
        <w:t xml:space="preserve"> </w:t>
      </w:r>
      <w:r w:rsidRPr="001E7FEC">
        <w:rPr>
          <w:rFonts w:eastAsia="Cambria"/>
          <w:b/>
        </w:rPr>
        <w:t>58</w:t>
      </w:r>
      <w:r w:rsidRPr="001E7FEC">
        <w:rPr>
          <w:rFonts w:eastAsia="Cambria"/>
        </w:rPr>
        <w:t>, 2354-2368.</w:t>
      </w:r>
    </w:p>
    <w:p w14:paraId="4EBF5566" w14:textId="77777777" w:rsidR="0082227F" w:rsidRPr="00420139" w:rsidRDefault="0082227F" w:rsidP="0082227F">
      <w:pPr>
        <w:spacing w:line="360" w:lineRule="auto"/>
        <w:ind w:left="720" w:hanging="720"/>
      </w:pPr>
      <w:r w:rsidRPr="001E7FEC">
        <w:rPr>
          <w:rFonts w:eastAsia="Cambria"/>
        </w:rPr>
        <w:t xml:space="preserve">Ingels, J., Billett, D.S.M., Van Gaever, S., Vanreusel, A. (2011b) An insight into the feeding ecology of deep-sea canyon nematodes — Results from field observations and the first in-situ </w:t>
      </w:r>
      <w:r w:rsidRPr="001E7FEC">
        <w:rPr>
          <w:rFonts w:eastAsia="Cambria"/>
          <w:vertAlign w:val="superscript"/>
        </w:rPr>
        <w:t>13</w:t>
      </w:r>
      <w:r w:rsidRPr="001E7FEC">
        <w:rPr>
          <w:rFonts w:eastAsia="Cambria"/>
        </w:rPr>
        <w:t xml:space="preserve">C feeding experiment in the Nazaré Canyon. </w:t>
      </w:r>
      <w:r w:rsidRPr="001E7FEC">
        <w:rPr>
          <w:rFonts w:eastAsia="Cambria"/>
          <w:i/>
        </w:rPr>
        <w:t>Journal of Experimental Marine Biology and Ecology</w:t>
      </w:r>
      <w:r w:rsidRPr="001E7FEC">
        <w:rPr>
          <w:rFonts w:eastAsia="Cambria"/>
        </w:rPr>
        <w:t xml:space="preserve"> </w:t>
      </w:r>
      <w:r w:rsidRPr="001E7FEC">
        <w:rPr>
          <w:rFonts w:eastAsia="Cambria"/>
          <w:b/>
        </w:rPr>
        <w:t>396</w:t>
      </w:r>
      <w:r w:rsidRPr="001E7FEC">
        <w:rPr>
          <w:rFonts w:eastAsia="Cambria"/>
        </w:rPr>
        <w:t>, 185-193.</w:t>
      </w:r>
    </w:p>
    <w:p w14:paraId="214BE6ED" w14:textId="77777777" w:rsidR="0082227F" w:rsidRPr="00420139" w:rsidRDefault="0082227F" w:rsidP="0082227F">
      <w:pPr>
        <w:spacing w:line="360" w:lineRule="auto"/>
        <w:ind w:left="720" w:hanging="720"/>
      </w:pPr>
      <w:r w:rsidRPr="001E7FEC">
        <w:rPr>
          <w:rFonts w:eastAsia="Cambria"/>
        </w:rPr>
        <w:t xml:space="preserve">Ingels, J., Kiriakoulakis, K., Wolff, G.A., Vanreusel, A. (2009) Nematode diversity and its relation to the quantity and quality of sedimentary organic matter in the deep Nazare Canyon, Western Iberian Margin. </w:t>
      </w:r>
      <w:r w:rsidRPr="001E7FEC">
        <w:rPr>
          <w:rFonts w:eastAsia="Cambria"/>
          <w:i/>
        </w:rPr>
        <w:t>Deep-Sea Research Part I</w:t>
      </w:r>
      <w:r w:rsidRPr="001E7FEC">
        <w:rPr>
          <w:rFonts w:eastAsia="Cambria"/>
        </w:rPr>
        <w:t xml:space="preserve"> </w:t>
      </w:r>
      <w:r w:rsidRPr="001E7FEC">
        <w:rPr>
          <w:rFonts w:eastAsia="Cambria"/>
          <w:b/>
        </w:rPr>
        <w:t>56</w:t>
      </w:r>
      <w:r w:rsidRPr="001E7FEC">
        <w:rPr>
          <w:rFonts w:eastAsia="Cambria"/>
        </w:rPr>
        <w:t>, 1521-1539.</w:t>
      </w:r>
    </w:p>
    <w:p w14:paraId="77E6E5B7" w14:textId="77777777" w:rsidR="0082227F" w:rsidRPr="00420139" w:rsidRDefault="0082227F" w:rsidP="0082227F">
      <w:pPr>
        <w:spacing w:line="360" w:lineRule="auto"/>
        <w:ind w:left="720" w:hanging="720"/>
      </w:pPr>
      <w:r w:rsidRPr="001E7FEC">
        <w:rPr>
          <w:rFonts w:eastAsia="Cambria"/>
        </w:rPr>
        <w:t xml:space="preserve">Ingels, J., Tchesunov, A.V., Vanreusel, A. (2011c) Meiofauna in the Gollum Channels and the Whittard Canyon, Celtic Margin-How Local Environmental Conditions Shape Nematode Structure and Function. </w:t>
      </w:r>
      <w:r w:rsidRPr="001E7FEC">
        <w:rPr>
          <w:rFonts w:eastAsia="Cambria"/>
          <w:i/>
        </w:rPr>
        <w:t>Plos One</w:t>
      </w:r>
      <w:r w:rsidRPr="001E7FEC">
        <w:rPr>
          <w:rFonts w:eastAsia="Cambria"/>
        </w:rPr>
        <w:t xml:space="preserve"> </w:t>
      </w:r>
      <w:r w:rsidRPr="001E7FEC">
        <w:rPr>
          <w:rFonts w:eastAsia="Cambria"/>
          <w:b/>
        </w:rPr>
        <w:t>6</w:t>
      </w:r>
      <w:r>
        <w:rPr>
          <w:rFonts w:eastAsia="Cambria"/>
        </w:rPr>
        <w:t xml:space="preserve">, e0094 </w:t>
      </w:r>
      <w:r w:rsidRPr="00C467F3">
        <w:rPr>
          <w:rFonts w:eastAsia="Cambria"/>
        </w:rPr>
        <w:t>http://dx.doi.org/10.1371/journal.pone.0020094</w:t>
      </w:r>
    </w:p>
    <w:p w14:paraId="70079297" w14:textId="77777777" w:rsidR="0082227F" w:rsidRPr="00420139" w:rsidRDefault="0082227F" w:rsidP="0082227F">
      <w:pPr>
        <w:spacing w:line="360" w:lineRule="auto"/>
        <w:ind w:left="720" w:hanging="720"/>
      </w:pPr>
      <w:r w:rsidRPr="001E7FEC">
        <w:rPr>
          <w:rFonts w:eastAsia="Cambria"/>
        </w:rPr>
        <w:lastRenderedPageBreak/>
        <w:t xml:space="preserve">Jensen, P. (1988) Nematode assemblages in the deep-sea benthos of the Norwegian Sea. </w:t>
      </w:r>
      <w:r w:rsidRPr="001E7FEC">
        <w:rPr>
          <w:rFonts w:eastAsia="Cambria"/>
          <w:i/>
        </w:rPr>
        <w:t>Deep Sea Research Part A</w:t>
      </w:r>
      <w:r w:rsidRPr="001E7FEC">
        <w:rPr>
          <w:rFonts w:eastAsia="Cambria"/>
        </w:rPr>
        <w:t xml:space="preserve"> </w:t>
      </w:r>
      <w:r w:rsidRPr="001E7FEC">
        <w:rPr>
          <w:rFonts w:eastAsia="Cambria"/>
          <w:b/>
        </w:rPr>
        <w:t>35</w:t>
      </w:r>
      <w:r w:rsidRPr="001E7FEC">
        <w:rPr>
          <w:rFonts w:eastAsia="Cambria"/>
        </w:rPr>
        <w:t>, 1173-1184.</w:t>
      </w:r>
    </w:p>
    <w:p w14:paraId="6D8FA775" w14:textId="77777777" w:rsidR="0082227F" w:rsidRPr="00420139" w:rsidRDefault="0082227F" w:rsidP="0082227F">
      <w:pPr>
        <w:spacing w:line="360" w:lineRule="auto"/>
        <w:ind w:left="720" w:hanging="720"/>
      </w:pPr>
      <w:r w:rsidRPr="001E7FEC">
        <w:rPr>
          <w:rFonts w:eastAsia="Cambria"/>
        </w:rPr>
        <w:t xml:space="preserve">Jumars, P.A., Dorgan, K.M., Lindsay, S.M. (2015) Diet of Worms Emended: An Update of Polychaete Feeding Guilds. </w:t>
      </w:r>
      <w:r w:rsidRPr="001E7FEC">
        <w:rPr>
          <w:rFonts w:eastAsia="Cambria"/>
          <w:i/>
        </w:rPr>
        <w:t>Annual Review of Marine Science</w:t>
      </w:r>
      <w:r w:rsidRPr="001E7FEC">
        <w:rPr>
          <w:rFonts w:eastAsia="Cambria"/>
        </w:rPr>
        <w:t xml:space="preserve"> </w:t>
      </w:r>
      <w:r w:rsidRPr="001E7FEC">
        <w:rPr>
          <w:rFonts w:eastAsia="Cambria"/>
          <w:b/>
        </w:rPr>
        <w:t>7</w:t>
      </w:r>
      <w:r w:rsidRPr="001E7FEC">
        <w:rPr>
          <w:rFonts w:eastAsia="Cambria"/>
        </w:rPr>
        <w:t>, 497-520.</w:t>
      </w:r>
    </w:p>
    <w:p w14:paraId="3B183667" w14:textId="77777777" w:rsidR="0082227F" w:rsidRPr="001E7FEC" w:rsidRDefault="0082227F" w:rsidP="0082227F">
      <w:pPr>
        <w:spacing w:line="360" w:lineRule="auto"/>
        <w:ind w:left="720" w:hanging="720"/>
        <w:rPr>
          <w:color w:val="000000" w:themeColor="text1"/>
        </w:rPr>
      </w:pPr>
      <w:r w:rsidRPr="00420139">
        <w:t xml:space="preserve">Leduc, D., Probert, P.K., Nodder, S.D. (2010) Influence of mesh size and core penetration on estimates of deep-sea nematode abundance, biomass, and diversity. </w:t>
      </w:r>
      <w:r w:rsidRPr="00420139">
        <w:rPr>
          <w:i/>
        </w:rPr>
        <w:t xml:space="preserve">Deep Sea </w:t>
      </w:r>
      <w:r w:rsidRPr="001E7FEC">
        <w:rPr>
          <w:i/>
          <w:color w:val="000000" w:themeColor="text1"/>
        </w:rPr>
        <w:t>Research I</w:t>
      </w:r>
      <w:r w:rsidRPr="001E7FEC">
        <w:rPr>
          <w:b/>
          <w:i/>
          <w:color w:val="000000" w:themeColor="text1"/>
        </w:rPr>
        <w:t xml:space="preserve"> </w:t>
      </w:r>
      <w:r w:rsidRPr="001E7FEC">
        <w:rPr>
          <w:b/>
          <w:color w:val="000000" w:themeColor="text1"/>
        </w:rPr>
        <w:t>57</w:t>
      </w:r>
      <w:r w:rsidRPr="001E7FEC">
        <w:rPr>
          <w:color w:val="000000" w:themeColor="text1"/>
        </w:rPr>
        <w:t>, 1354</w:t>
      </w:r>
      <w:r>
        <w:rPr>
          <w:color w:val="000000" w:themeColor="text1"/>
        </w:rPr>
        <w:t>-</w:t>
      </w:r>
      <w:r w:rsidRPr="001E7FEC">
        <w:rPr>
          <w:color w:val="000000" w:themeColor="text1"/>
        </w:rPr>
        <w:t>1362</w:t>
      </w:r>
      <w:r>
        <w:rPr>
          <w:color w:val="000000" w:themeColor="text1"/>
        </w:rPr>
        <w:t>.</w:t>
      </w:r>
    </w:p>
    <w:p w14:paraId="56EEF1F4" w14:textId="40EA8D73" w:rsidR="0082227F" w:rsidRPr="001E7FEC" w:rsidRDefault="0082227F" w:rsidP="0082227F">
      <w:pPr>
        <w:spacing w:line="360" w:lineRule="auto"/>
        <w:ind w:left="720" w:hanging="720"/>
        <w:rPr>
          <w:rFonts w:eastAsia="Cambria"/>
        </w:rPr>
      </w:pPr>
      <w:r w:rsidRPr="001E7FEC">
        <w:rPr>
          <w:rFonts w:eastAsia="Cambria"/>
        </w:rPr>
        <w:t xml:space="preserve">Masson, DG, </w:t>
      </w:r>
      <w:r w:rsidR="00CA63C8">
        <w:rPr>
          <w:rFonts w:eastAsia="Cambria"/>
        </w:rPr>
        <w:t>(</w:t>
      </w:r>
      <w:r w:rsidRPr="001E7FEC">
        <w:rPr>
          <w:rFonts w:eastAsia="Cambria"/>
        </w:rPr>
        <w:t>2009</w:t>
      </w:r>
      <w:r w:rsidR="00CA63C8">
        <w:rPr>
          <w:rFonts w:eastAsia="Cambria"/>
        </w:rPr>
        <w:t>)</w:t>
      </w:r>
      <w:r w:rsidRPr="001E7FEC">
        <w:rPr>
          <w:rFonts w:eastAsia="Cambria"/>
        </w:rPr>
        <w:t xml:space="preserve">. RRS </w:t>
      </w:r>
      <w:r w:rsidRPr="001E7FEC">
        <w:rPr>
          <w:rFonts w:eastAsia="Cambria"/>
          <w:i/>
        </w:rPr>
        <w:t>James Cook</w:t>
      </w:r>
      <w:r w:rsidRPr="001E7FEC">
        <w:rPr>
          <w:rFonts w:eastAsia="Cambria"/>
        </w:rPr>
        <w:t xml:space="preserve"> cruise 036, 19 Jul-28 Jul 2009. The Geobiology of Whittard Submarine Canyon. National Oceanography Centre Southampton Cruise Report, No. 41. National Oceanography Centre, Southampton.</w:t>
      </w:r>
    </w:p>
    <w:p w14:paraId="27C4FF93" w14:textId="4029CAEC" w:rsidR="0082227F" w:rsidRPr="00420139" w:rsidRDefault="0082227F" w:rsidP="0082227F">
      <w:pPr>
        <w:spacing w:line="360" w:lineRule="auto"/>
        <w:ind w:left="720" w:hanging="720"/>
      </w:pPr>
      <w:r w:rsidRPr="00420139">
        <w:t xml:space="preserve">Moens, T., Braeckman, U., Derycke, S., Fonseca, G., Gallucci, F., Gingold, R., Guilini, K., Ingels, J., Leduc, D., Vanaverbeke, J., Van Colen, C., Vanreusel, A., Vincx, M., </w:t>
      </w:r>
      <w:r w:rsidR="00CA63C8">
        <w:t>(</w:t>
      </w:r>
      <w:r w:rsidRPr="00420139">
        <w:t>2013</w:t>
      </w:r>
      <w:r w:rsidR="00CA63C8">
        <w:t>)</w:t>
      </w:r>
      <w:r w:rsidRPr="00420139">
        <w:t>. Ecology of free-living nematodes. In: Schmidt-Rhaesa, A. (Ed.), Handbook of Zoology, Vol. 2 Nematoda. De Gruyter, pp. 109-152</w:t>
      </w:r>
      <w:r>
        <w:t>.</w:t>
      </w:r>
    </w:p>
    <w:p w14:paraId="0BAA57A5" w14:textId="77777777" w:rsidR="0082227F" w:rsidRPr="001E7FEC" w:rsidRDefault="0082227F" w:rsidP="0082227F">
      <w:pPr>
        <w:spacing w:line="360" w:lineRule="auto"/>
        <w:ind w:left="720" w:hanging="720"/>
        <w:rPr>
          <w:rFonts w:eastAsia="Cambria"/>
        </w:rPr>
      </w:pPr>
      <w:r w:rsidRPr="001E7FEC">
        <w:rPr>
          <w:rFonts w:eastAsia="Cambria"/>
        </w:rPr>
        <w:t xml:space="preserve">Moens, T., Vincx, M. (1997) Observations on the Feeding Ecology of Estuarine Nematodes. </w:t>
      </w:r>
      <w:r w:rsidRPr="001E7FEC">
        <w:rPr>
          <w:rFonts w:eastAsia="Cambria"/>
          <w:i/>
        </w:rPr>
        <w:t>Journal of the Marine Biological Association of the United Kingdom</w:t>
      </w:r>
      <w:r w:rsidRPr="001E7FEC">
        <w:rPr>
          <w:rFonts w:eastAsia="Cambria"/>
        </w:rPr>
        <w:t xml:space="preserve"> </w:t>
      </w:r>
      <w:r w:rsidRPr="001E7FEC">
        <w:rPr>
          <w:rFonts w:eastAsia="Cambria"/>
          <w:b/>
        </w:rPr>
        <w:t>77</w:t>
      </w:r>
      <w:r w:rsidRPr="001E7FEC">
        <w:rPr>
          <w:rFonts w:eastAsia="Cambria"/>
        </w:rPr>
        <w:t>, 211-227.</w:t>
      </w:r>
    </w:p>
    <w:p w14:paraId="20F0FEE7" w14:textId="77777777" w:rsidR="0082227F" w:rsidRPr="00420139" w:rsidRDefault="0082227F" w:rsidP="0082227F">
      <w:pPr>
        <w:spacing w:line="360" w:lineRule="auto"/>
        <w:ind w:left="720" w:hanging="720"/>
      </w:pPr>
      <w:r w:rsidRPr="00420139">
        <w:t xml:space="preserve">Moore, C.G., Bett, B.J. (1989) The use of meiofauna in marine pollution impact assessment. </w:t>
      </w:r>
      <w:r w:rsidRPr="001E7FEC">
        <w:rPr>
          <w:i/>
        </w:rPr>
        <w:t>Zoological Journal of the Linnean Society</w:t>
      </w:r>
      <w:r w:rsidRPr="00420139">
        <w:t xml:space="preserve"> </w:t>
      </w:r>
      <w:r w:rsidRPr="001E7FEC">
        <w:rPr>
          <w:b/>
        </w:rPr>
        <w:t>96</w:t>
      </w:r>
      <w:r w:rsidRPr="00420139">
        <w:t>,</w:t>
      </w:r>
      <w:r>
        <w:t xml:space="preserve"> 263-</w:t>
      </w:r>
      <w:r w:rsidRPr="00420139">
        <w:t>280. doi:10.1111/j.1096-3642.1989.tb02260.x</w:t>
      </w:r>
    </w:p>
    <w:p w14:paraId="50319FC5" w14:textId="77777777" w:rsidR="0082227F" w:rsidRPr="00420139" w:rsidRDefault="0082227F" w:rsidP="0082227F">
      <w:pPr>
        <w:spacing w:line="360" w:lineRule="auto"/>
        <w:ind w:left="720" w:hanging="720"/>
      </w:pPr>
      <w:r w:rsidRPr="001E7FEC">
        <w:rPr>
          <w:rFonts w:eastAsia="Cambria"/>
        </w:rPr>
        <w:t xml:space="preserve">Netto, S.A., Warwick, R.M., Attrill, M.J. (1999) Meiobenthic and Macrobenthic Community Structure in Carbonate Sediments of Rocas Atoll (North-east, Brazil). </w:t>
      </w:r>
      <w:r w:rsidRPr="001E7FEC">
        <w:rPr>
          <w:rFonts w:eastAsia="Cambria"/>
          <w:i/>
        </w:rPr>
        <w:t>Estuarine, Coastal and Shelf Science</w:t>
      </w:r>
      <w:r w:rsidRPr="001E7FEC">
        <w:rPr>
          <w:rFonts w:eastAsia="Cambria"/>
        </w:rPr>
        <w:t xml:space="preserve"> </w:t>
      </w:r>
      <w:r w:rsidRPr="001E7FEC">
        <w:rPr>
          <w:rFonts w:eastAsia="Cambria"/>
          <w:b/>
        </w:rPr>
        <w:t>48</w:t>
      </w:r>
      <w:r w:rsidRPr="001E7FEC">
        <w:rPr>
          <w:rFonts w:eastAsia="Cambria"/>
        </w:rPr>
        <w:t>, 39-50.</w:t>
      </w:r>
    </w:p>
    <w:p w14:paraId="57AE22F2" w14:textId="77777777" w:rsidR="0082227F" w:rsidRPr="00420139" w:rsidRDefault="0082227F" w:rsidP="0082227F">
      <w:pPr>
        <w:spacing w:line="360" w:lineRule="auto"/>
        <w:ind w:left="720" w:hanging="720"/>
      </w:pPr>
      <w:r w:rsidRPr="001E7FEC">
        <w:rPr>
          <w:rFonts w:eastAsia="Cambria"/>
        </w:rPr>
        <w:t>Pape, E., Jones, D.O.B., Manini, E., Bezerra, T.N., Vanreusel, A. (2013) Benthic-</w:t>
      </w:r>
      <w:r>
        <w:rPr>
          <w:rFonts w:eastAsia="Cambria"/>
        </w:rPr>
        <w:t>p</w:t>
      </w:r>
      <w:r w:rsidRPr="001E7FEC">
        <w:rPr>
          <w:rFonts w:eastAsia="Cambria"/>
        </w:rPr>
        <w:t xml:space="preserve">elagic </w:t>
      </w:r>
      <w:r>
        <w:rPr>
          <w:rFonts w:eastAsia="Cambria"/>
        </w:rPr>
        <w:t>c</w:t>
      </w:r>
      <w:r w:rsidRPr="001E7FEC">
        <w:rPr>
          <w:rFonts w:eastAsia="Cambria"/>
        </w:rPr>
        <w:t xml:space="preserve">oupling: </w:t>
      </w:r>
      <w:r>
        <w:rPr>
          <w:rFonts w:eastAsia="Cambria"/>
        </w:rPr>
        <w:t>e</w:t>
      </w:r>
      <w:r w:rsidRPr="001E7FEC">
        <w:rPr>
          <w:rFonts w:eastAsia="Cambria"/>
        </w:rPr>
        <w:t xml:space="preserve">ffects on </w:t>
      </w:r>
      <w:r>
        <w:rPr>
          <w:rFonts w:eastAsia="Cambria"/>
        </w:rPr>
        <w:t>n</w:t>
      </w:r>
      <w:r w:rsidRPr="001E7FEC">
        <w:rPr>
          <w:rFonts w:eastAsia="Cambria"/>
        </w:rPr>
        <w:t xml:space="preserve">ematode </w:t>
      </w:r>
      <w:r>
        <w:rPr>
          <w:rFonts w:eastAsia="Cambria"/>
        </w:rPr>
        <w:t>c</w:t>
      </w:r>
      <w:r w:rsidRPr="001E7FEC">
        <w:rPr>
          <w:rFonts w:eastAsia="Cambria"/>
        </w:rPr>
        <w:t xml:space="preserve">ommunities along </w:t>
      </w:r>
      <w:r>
        <w:rPr>
          <w:rFonts w:eastAsia="Cambria"/>
        </w:rPr>
        <w:t>s</w:t>
      </w:r>
      <w:r w:rsidRPr="001E7FEC">
        <w:rPr>
          <w:rFonts w:eastAsia="Cambria"/>
        </w:rPr>
        <w:t xml:space="preserve">outhern European </w:t>
      </w:r>
      <w:r>
        <w:rPr>
          <w:rFonts w:eastAsia="Cambria"/>
        </w:rPr>
        <w:t>c</w:t>
      </w:r>
      <w:r w:rsidRPr="001E7FEC">
        <w:rPr>
          <w:rFonts w:eastAsia="Cambria"/>
        </w:rPr>
        <w:t xml:space="preserve">ontinental </w:t>
      </w:r>
      <w:r>
        <w:rPr>
          <w:rFonts w:eastAsia="Cambria"/>
        </w:rPr>
        <w:t>m</w:t>
      </w:r>
      <w:r w:rsidRPr="001E7FEC">
        <w:rPr>
          <w:rFonts w:eastAsia="Cambria"/>
        </w:rPr>
        <w:t xml:space="preserve">argins. </w:t>
      </w:r>
      <w:r w:rsidRPr="001E7FEC">
        <w:rPr>
          <w:rFonts w:eastAsia="Cambria"/>
          <w:i/>
        </w:rPr>
        <w:t>Plos One</w:t>
      </w:r>
      <w:r w:rsidRPr="001E7FEC">
        <w:rPr>
          <w:rFonts w:eastAsia="Cambria"/>
        </w:rPr>
        <w:t xml:space="preserve"> </w:t>
      </w:r>
      <w:r w:rsidRPr="001E7FEC">
        <w:rPr>
          <w:rFonts w:eastAsia="Cambria"/>
          <w:b/>
        </w:rPr>
        <w:t>8</w:t>
      </w:r>
      <w:r w:rsidRPr="001E7FEC">
        <w:rPr>
          <w:rFonts w:eastAsia="Cambria"/>
        </w:rPr>
        <w:t>, e59954.</w:t>
      </w:r>
    </w:p>
    <w:p w14:paraId="0B08256B" w14:textId="77777777" w:rsidR="0082227F" w:rsidRPr="001E7FEC" w:rsidRDefault="0082227F" w:rsidP="0082227F">
      <w:pPr>
        <w:spacing w:line="360" w:lineRule="auto"/>
        <w:ind w:left="720" w:hanging="720"/>
        <w:rPr>
          <w:rFonts w:eastAsia="Cambria"/>
        </w:rPr>
      </w:pPr>
      <w:r w:rsidRPr="001E7FEC">
        <w:rPr>
          <w:rFonts w:eastAsia="Cambria"/>
        </w:rPr>
        <w:t xml:space="preserve">Pavithran, S., Ingole, B.S., Nanajkar, M., Raghukumar, C., Nath, B.N., Valsangkar, A.B. (2009) Composition of macrobenthos from the Central Indian Ocean Basin. </w:t>
      </w:r>
      <w:r w:rsidRPr="001E7FEC">
        <w:rPr>
          <w:rFonts w:eastAsia="Cambria"/>
          <w:i/>
        </w:rPr>
        <w:t>Journal of Earth System Science</w:t>
      </w:r>
      <w:r w:rsidRPr="001E7FEC">
        <w:rPr>
          <w:rFonts w:eastAsia="Cambria"/>
        </w:rPr>
        <w:t xml:space="preserve"> </w:t>
      </w:r>
      <w:r w:rsidRPr="001E7FEC">
        <w:rPr>
          <w:rFonts w:eastAsia="Cambria"/>
          <w:b/>
        </w:rPr>
        <w:t>118</w:t>
      </w:r>
      <w:r w:rsidRPr="001E7FEC">
        <w:rPr>
          <w:rFonts w:eastAsia="Cambria"/>
        </w:rPr>
        <w:t>, 689-700.</w:t>
      </w:r>
    </w:p>
    <w:p w14:paraId="5290239B" w14:textId="77777777" w:rsidR="0082227F" w:rsidRPr="00420139" w:rsidRDefault="0082227F" w:rsidP="0082227F">
      <w:pPr>
        <w:spacing w:line="360" w:lineRule="auto"/>
        <w:ind w:left="720" w:hanging="720"/>
      </w:pPr>
      <w:r w:rsidRPr="00420139">
        <w:t>Pingree, R.D.,</w:t>
      </w:r>
      <w:r>
        <w:t xml:space="preserve"> </w:t>
      </w:r>
      <w:r w:rsidRPr="00420139">
        <w:t>LeCann,</w:t>
      </w:r>
      <w:r>
        <w:t xml:space="preserve"> </w:t>
      </w:r>
      <w:r w:rsidRPr="00420139">
        <w:t>B.</w:t>
      </w:r>
      <w:r>
        <w:t xml:space="preserve"> </w:t>
      </w:r>
      <w:r w:rsidRPr="00420139">
        <w:t>(1989)</w:t>
      </w:r>
      <w:r>
        <w:t xml:space="preserve"> </w:t>
      </w:r>
      <w:r w:rsidRPr="00420139">
        <w:t xml:space="preserve">Celtic and Armorican slope and shelf residual currents. </w:t>
      </w:r>
      <w:r w:rsidRPr="001E7FEC">
        <w:rPr>
          <w:i/>
        </w:rPr>
        <w:t>Progress in Oceanography</w:t>
      </w:r>
      <w:r w:rsidRPr="00420139">
        <w:t xml:space="preserve"> </w:t>
      </w:r>
      <w:r w:rsidRPr="001E7FEC">
        <w:rPr>
          <w:b/>
        </w:rPr>
        <w:t>32</w:t>
      </w:r>
      <w:r w:rsidRPr="00420139">
        <w:rPr>
          <w:b/>
        </w:rPr>
        <w:t>,</w:t>
      </w:r>
      <w:r>
        <w:rPr>
          <w:b/>
        </w:rPr>
        <w:t xml:space="preserve"> </w:t>
      </w:r>
      <w:r w:rsidRPr="00420139">
        <w:t>303</w:t>
      </w:r>
      <w:r>
        <w:t>-</w:t>
      </w:r>
      <w:r w:rsidRPr="00420139">
        <w:t>338.</w:t>
      </w:r>
    </w:p>
    <w:p w14:paraId="7EB2D1D0" w14:textId="77777777" w:rsidR="0082227F" w:rsidRPr="00420139" w:rsidRDefault="0082227F" w:rsidP="0082227F">
      <w:pPr>
        <w:spacing w:line="360" w:lineRule="auto"/>
        <w:ind w:left="720" w:hanging="720"/>
      </w:pPr>
      <w:r w:rsidRPr="00420139">
        <w:lastRenderedPageBreak/>
        <w:t>R Core Team (2015). R: A language and environment for statistical computing. R Foundation for Statistical Computing, Vienna, Austria. http://www.R-project.org</w:t>
      </w:r>
    </w:p>
    <w:p w14:paraId="2D2816F8" w14:textId="77777777" w:rsidR="0082227F" w:rsidRPr="00420139" w:rsidRDefault="0082227F" w:rsidP="0082227F">
      <w:pPr>
        <w:spacing w:line="360" w:lineRule="auto"/>
        <w:ind w:left="720" w:hanging="720"/>
      </w:pPr>
      <w:r w:rsidRPr="001E7FEC">
        <w:rPr>
          <w:rFonts w:eastAsia="Cambria"/>
        </w:rPr>
        <w:t xml:space="preserve">Renaud, P.E., Ambrose Jr, W.G., Vanreusel, A., Clough, L.M. (2006) Nematode and macrofaunal diversity in central Arctic Ocean benthos. </w:t>
      </w:r>
      <w:r w:rsidRPr="001E7FEC">
        <w:rPr>
          <w:rFonts w:eastAsia="Cambria"/>
          <w:i/>
        </w:rPr>
        <w:t>Journal of Experimental Marine Biology and Ecology</w:t>
      </w:r>
      <w:r w:rsidRPr="001E7FEC">
        <w:rPr>
          <w:rFonts w:eastAsia="Cambria"/>
        </w:rPr>
        <w:t xml:space="preserve"> </w:t>
      </w:r>
      <w:r w:rsidRPr="001E7FEC">
        <w:rPr>
          <w:rFonts w:eastAsia="Cambria"/>
          <w:b/>
        </w:rPr>
        <w:t>330</w:t>
      </w:r>
      <w:r w:rsidRPr="001E7FEC">
        <w:rPr>
          <w:rFonts w:eastAsia="Cambria"/>
        </w:rPr>
        <w:t>, 297-306.</w:t>
      </w:r>
    </w:p>
    <w:p w14:paraId="7605EC0D" w14:textId="77777777" w:rsidR="0082227F" w:rsidRPr="00420139" w:rsidRDefault="0082227F" w:rsidP="0082227F">
      <w:pPr>
        <w:spacing w:line="360" w:lineRule="auto"/>
        <w:ind w:left="720" w:hanging="720"/>
      </w:pPr>
      <w:r w:rsidRPr="001E7FEC">
        <w:rPr>
          <w:rFonts w:eastAsia="Cambria"/>
        </w:rPr>
        <w:t xml:space="preserve">Riemann, F. (1974) On hemisessile nematodes with flagelliform tails living in marine soft bottoms and on microtubes found in deep sea sediments. </w:t>
      </w:r>
      <w:r w:rsidRPr="001E7FEC">
        <w:rPr>
          <w:rFonts w:eastAsia="Cambria"/>
          <w:i/>
        </w:rPr>
        <w:t>Mikrofauna des Meeresbodens</w:t>
      </w:r>
      <w:r w:rsidRPr="001E7FEC">
        <w:rPr>
          <w:rFonts w:eastAsia="Cambria"/>
        </w:rPr>
        <w:t xml:space="preserve"> </w:t>
      </w:r>
      <w:r w:rsidRPr="001E7FEC">
        <w:rPr>
          <w:rFonts w:eastAsia="Cambria"/>
          <w:b/>
        </w:rPr>
        <w:t>40</w:t>
      </w:r>
      <w:r w:rsidRPr="001E7FEC">
        <w:rPr>
          <w:rFonts w:eastAsia="Cambria"/>
        </w:rPr>
        <w:t>, 1-15.</w:t>
      </w:r>
    </w:p>
    <w:p w14:paraId="5C3DA542" w14:textId="77777777" w:rsidR="0082227F" w:rsidRPr="00420139" w:rsidRDefault="0082227F" w:rsidP="0082227F">
      <w:pPr>
        <w:spacing w:line="360" w:lineRule="auto"/>
        <w:ind w:left="720" w:hanging="720"/>
      </w:pPr>
      <w:r w:rsidRPr="001E7FEC">
        <w:rPr>
          <w:rFonts w:eastAsia="Cambria"/>
        </w:rPr>
        <w:t xml:space="preserve">Schneider, C.A., Rasband, W.S., Eliceiri, K.W. (2012) NIH Image to ImageJ: 25 years of image analysis. </w:t>
      </w:r>
      <w:r w:rsidRPr="001E7FEC">
        <w:rPr>
          <w:rFonts w:eastAsia="Cambria"/>
          <w:i/>
        </w:rPr>
        <w:t>Nature Methods</w:t>
      </w:r>
      <w:r w:rsidRPr="001E7FEC">
        <w:rPr>
          <w:rFonts w:eastAsia="Cambria"/>
        </w:rPr>
        <w:t xml:space="preserve"> </w:t>
      </w:r>
      <w:r w:rsidRPr="001E7FEC">
        <w:rPr>
          <w:rFonts w:eastAsia="Cambria"/>
          <w:b/>
        </w:rPr>
        <w:t>9</w:t>
      </w:r>
      <w:r w:rsidRPr="001E7FEC">
        <w:rPr>
          <w:rFonts w:eastAsia="Cambria"/>
        </w:rPr>
        <w:t>, 671-675.</w:t>
      </w:r>
    </w:p>
    <w:p w14:paraId="32BCEA39" w14:textId="77777777" w:rsidR="0082227F" w:rsidRPr="00420139" w:rsidRDefault="0082227F" w:rsidP="0082227F">
      <w:pPr>
        <w:spacing w:line="360" w:lineRule="auto"/>
        <w:ind w:left="720" w:hanging="720"/>
      </w:pPr>
      <w:r w:rsidRPr="001E7FEC">
        <w:rPr>
          <w:rFonts w:eastAsia="Cambria"/>
        </w:rPr>
        <w:t xml:space="preserve">Seinhorst, J.W. (1959) A </w:t>
      </w:r>
      <w:r>
        <w:rPr>
          <w:rFonts w:eastAsia="Cambria"/>
        </w:rPr>
        <w:t>r</w:t>
      </w:r>
      <w:r w:rsidRPr="001E7FEC">
        <w:rPr>
          <w:rFonts w:eastAsia="Cambria"/>
        </w:rPr>
        <w:t xml:space="preserve">apid </w:t>
      </w:r>
      <w:r>
        <w:rPr>
          <w:rFonts w:eastAsia="Cambria"/>
        </w:rPr>
        <w:t>m</w:t>
      </w:r>
      <w:r w:rsidRPr="001E7FEC">
        <w:rPr>
          <w:rFonts w:eastAsia="Cambria"/>
        </w:rPr>
        <w:t xml:space="preserve">ethod for the </w:t>
      </w:r>
      <w:r>
        <w:rPr>
          <w:rFonts w:eastAsia="Cambria"/>
        </w:rPr>
        <w:t>t</w:t>
      </w:r>
      <w:r w:rsidRPr="001E7FEC">
        <w:rPr>
          <w:rFonts w:eastAsia="Cambria"/>
        </w:rPr>
        <w:t xml:space="preserve">ransfer of </w:t>
      </w:r>
      <w:r>
        <w:rPr>
          <w:rFonts w:eastAsia="Cambria"/>
        </w:rPr>
        <w:t>n</w:t>
      </w:r>
      <w:r w:rsidRPr="001E7FEC">
        <w:rPr>
          <w:rFonts w:eastAsia="Cambria"/>
        </w:rPr>
        <w:t xml:space="preserve">ematodes </w:t>
      </w:r>
      <w:r>
        <w:rPr>
          <w:rFonts w:eastAsia="Cambria"/>
        </w:rPr>
        <w:t>f</w:t>
      </w:r>
      <w:r w:rsidRPr="001E7FEC">
        <w:rPr>
          <w:rFonts w:eastAsia="Cambria"/>
        </w:rPr>
        <w:t xml:space="preserve">rom </w:t>
      </w:r>
      <w:r>
        <w:rPr>
          <w:rFonts w:eastAsia="Cambria"/>
        </w:rPr>
        <w:t>f</w:t>
      </w:r>
      <w:r w:rsidRPr="001E7FEC">
        <w:rPr>
          <w:rFonts w:eastAsia="Cambria"/>
        </w:rPr>
        <w:t xml:space="preserve">ixative </w:t>
      </w:r>
      <w:r>
        <w:rPr>
          <w:rFonts w:eastAsia="Cambria"/>
        </w:rPr>
        <w:t>t</w:t>
      </w:r>
      <w:r w:rsidRPr="001E7FEC">
        <w:rPr>
          <w:rFonts w:eastAsia="Cambria"/>
        </w:rPr>
        <w:t xml:space="preserve">o </w:t>
      </w:r>
      <w:r>
        <w:rPr>
          <w:rFonts w:eastAsia="Cambria"/>
        </w:rPr>
        <w:t>a</w:t>
      </w:r>
      <w:r w:rsidRPr="001E7FEC">
        <w:rPr>
          <w:rFonts w:eastAsia="Cambria"/>
        </w:rPr>
        <w:t xml:space="preserve">nhydrous </w:t>
      </w:r>
      <w:r>
        <w:rPr>
          <w:rFonts w:eastAsia="Cambria"/>
        </w:rPr>
        <w:t>g</w:t>
      </w:r>
      <w:r w:rsidRPr="001E7FEC">
        <w:rPr>
          <w:rFonts w:eastAsia="Cambria"/>
        </w:rPr>
        <w:t xml:space="preserve">lycerin. </w:t>
      </w:r>
      <w:r w:rsidRPr="001E7FEC">
        <w:rPr>
          <w:rFonts w:eastAsia="Cambria"/>
          <w:i/>
        </w:rPr>
        <w:t>Nematologica</w:t>
      </w:r>
      <w:r w:rsidRPr="001E7FEC">
        <w:rPr>
          <w:rFonts w:eastAsia="Cambria"/>
        </w:rPr>
        <w:t xml:space="preserve"> </w:t>
      </w:r>
      <w:r w:rsidRPr="001E7FEC">
        <w:rPr>
          <w:rFonts w:eastAsia="Cambria"/>
          <w:b/>
        </w:rPr>
        <w:t>4</w:t>
      </w:r>
      <w:r w:rsidRPr="001E7FEC">
        <w:rPr>
          <w:rFonts w:eastAsia="Cambria"/>
        </w:rPr>
        <w:t>, 67-69.</w:t>
      </w:r>
    </w:p>
    <w:p w14:paraId="14725F5B" w14:textId="77777777" w:rsidR="0082227F" w:rsidRPr="00420139" w:rsidRDefault="0082227F" w:rsidP="0082227F">
      <w:pPr>
        <w:spacing w:line="360" w:lineRule="auto"/>
        <w:ind w:left="720" w:hanging="720"/>
      </w:pPr>
      <w:r w:rsidRPr="001E7FEC">
        <w:rPr>
          <w:rFonts w:eastAsia="Cambria"/>
        </w:rPr>
        <w:t xml:space="preserve">Sharma, J., Baguley, J., Bluhm, B.A., Rowe, G. (2011) Do Meio- and Macrobenthic Nematodes Differ in Community Composition and Body Weight Trends with Depth? </w:t>
      </w:r>
      <w:r w:rsidRPr="001E7FEC">
        <w:rPr>
          <w:rFonts w:eastAsia="Cambria"/>
          <w:i/>
        </w:rPr>
        <w:t>Plos One</w:t>
      </w:r>
      <w:r w:rsidRPr="001E7FEC">
        <w:rPr>
          <w:rFonts w:eastAsia="Cambria"/>
        </w:rPr>
        <w:t xml:space="preserve"> </w:t>
      </w:r>
      <w:r w:rsidRPr="001E7FEC">
        <w:rPr>
          <w:rFonts w:eastAsia="Cambria"/>
          <w:b/>
        </w:rPr>
        <w:t>6</w:t>
      </w:r>
      <w:r>
        <w:rPr>
          <w:rFonts w:eastAsia="Cambria"/>
        </w:rPr>
        <w:t xml:space="preserve">, </w:t>
      </w:r>
      <w:r w:rsidRPr="006D3E80">
        <w:rPr>
          <w:rFonts w:eastAsia="Cambria"/>
        </w:rPr>
        <w:t>e14491. doi: 10.1371/journal.pone.0014491</w:t>
      </w:r>
    </w:p>
    <w:p w14:paraId="02C0E6F3" w14:textId="77777777" w:rsidR="0082227F" w:rsidRDefault="0082227F" w:rsidP="0082227F">
      <w:pPr>
        <w:spacing w:line="360" w:lineRule="auto"/>
        <w:ind w:left="720" w:hanging="720"/>
        <w:rPr>
          <w:rFonts w:eastAsia="Cambria"/>
        </w:rPr>
      </w:pPr>
      <w:r w:rsidRPr="001E7FEC">
        <w:rPr>
          <w:rFonts w:eastAsia="Cambria"/>
        </w:rPr>
        <w:t xml:space="preserve">Sharma, J., Bluhm, B. (2011) Diversity of larger free-living nematodes from macrobenthos (&gt;250 μm) in the Arctic deep-sea Canada Basin. </w:t>
      </w:r>
      <w:r w:rsidRPr="001E7FEC">
        <w:rPr>
          <w:rFonts w:eastAsia="Cambria"/>
          <w:i/>
        </w:rPr>
        <w:t>Marine Biodiversity</w:t>
      </w:r>
      <w:r w:rsidRPr="001E7FEC">
        <w:rPr>
          <w:rFonts w:eastAsia="Cambria"/>
        </w:rPr>
        <w:t xml:space="preserve"> </w:t>
      </w:r>
      <w:r w:rsidRPr="001E7FEC">
        <w:rPr>
          <w:rFonts w:eastAsia="Cambria"/>
          <w:b/>
        </w:rPr>
        <w:t>41</w:t>
      </w:r>
      <w:r w:rsidRPr="001E7FEC">
        <w:rPr>
          <w:rFonts w:eastAsia="Cambria"/>
        </w:rPr>
        <w:t>, 455-465.</w:t>
      </w:r>
    </w:p>
    <w:p w14:paraId="41F34E9D" w14:textId="328E363E" w:rsidR="00A37706" w:rsidRPr="00A37706" w:rsidRDefault="00176C3F" w:rsidP="00A37706">
      <w:pPr>
        <w:spacing w:line="360" w:lineRule="auto"/>
        <w:ind w:left="720" w:hanging="720"/>
        <w:rPr>
          <w:color w:val="auto"/>
          <w:lang w:eastAsia="en-US"/>
        </w:rPr>
      </w:pPr>
      <w:r>
        <w:rPr>
          <w:color w:val="auto"/>
          <w:lang w:eastAsia="en-US"/>
        </w:rPr>
        <w:t>Siegel, S.,</w:t>
      </w:r>
      <w:r w:rsidR="001F5F11">
        <w:rPr>
          <w:color w:val="auto"/>
          <w:lang w:eastAsia="en-US"/>
        </w:rPr>
        <w:t xml:space="preserve"> Castellan, N.</w:t>
      </w:r>
      <w:r w:rsidR="00A37706" w:rsidRPr="00A37706">
        <w:rPr>
          <w:color w:val="auto"/>
          <w:lang w:eastAsia="en-US"/>
        </w:rPr>
        <w:t>J.</w:t>
      </w:r>
      <w:r w:rsidR="001F5F11">
        <w:rPr>
          <w:color w:val="auto"/>
          <w:lang w:eastAsia="en-US"/>
        </w:rPr>
        <w:t>,</w:t>
      </w:r>
      <w:r>
        <w:rPr>
          <w:color w:val="auto"/>
          <w:lang w:eastAsia="en-US"/>
        </w:rPr>
        <w:t xml:space="preserve"> (</w:t>
      </w:r>
      <w:r w:rsidR="00A37706" w:rsidRPr="00A37706">
        <w:rPr>
          <w:color w:val="auto"/>
          <w:lang w:eastAsia="en-US"/>
        </w:rPr>
        <w:t>1988</w:t>
      </w:r>
      <w:r>
        <w:rPr>
          <w:color w:val="auto"/>
          <w:lang w:eastAsia="en-US"/>
        </w:rPr>
        <w:t>)</w:t>
      </w:r>
      <w:r w:rsidR="00A37706" w:rsidRPr="00A37706">
        <w:rPr>
          <w:color w:val="auto"/>
          <w:lang w:eastAsia="en-US"/>
        </w:rPr>
        <w:t>.</w:t>
      </w:r>
      <w:r>
        <w:rPr>
          <w:color w:val="auto"/>
          <w:lang w:eastAsia="en-US"/>
        </w:rPr>
        <w:t xml:space="preserve"> </w:t>
      </w:r>
      <w:r w:rsidR="00A37706" w:rsidRPr="00A37706">
        <w:rPr>
          <w:color w:val="auto"/>
          <w:lang w:eastAsia="en-US"/>
        </w:rPr>
        <w:t>Nonparametric Statistics for the Behavioural Sciences.</w:t>
      </w:r>
      <w:r w:rsidR="00A37706">
        <w:rPr>
          <w:color w:val="auto"/>
          <w:lang w:eastAsia="en-US"/>
        </w:rPr>
        <w:t xml:space="preserve"> </w:t>
      </w:r>
      <w:r w:rsidR="00A37706" w:rsidRPr="00A37706">
        <w:rPr>
          <w:color w:val="auto"/>
          <w:lang w:eastAsia="en-US"/>
        </w:rPr>
        <w:t>New York: McGraw-Hill.</w:t>
      </w:r>
    </w:p>
    <w:p w14:paraId="3D68B74B" w14:textId="77777777" w:rsidR="0082227F" w:rsidRPr="001E7FEC" w:rsidRDefault="0082227F" w:rsidP="0082227F">
      <w:pPr>
        <w:spacing w:line="360" w:lineRule="auto"/>
        <w:ind w:left="720" w:hanging="720"/>
        <w:rPr>
          <w:rFonts w:eastAsia="Cambria"/>
        </w:rPr>
      </w:pPr>
      <w:r w:rsidRPr="001E7FEC">
        <w:rPr>
          <w:rFonts w:eastAsia="Cambria"/>
        </w:rPr>
        <w:t xml:space="preserve">Soetaert, K., Heip, C. (1995) Nematode assemblages of deep-sea and shelf break sites in the North Atlantic and Mediterranean Sea. </w:t>
      </w:r>
      <w:r w:rsidRPr="001E7FEC">
        <w:rPr>
          <w:rFonts w:eastAsia="Cambria"/>
          <w:i/>
        </w:rPr>
        <w:t>Marine Ecology Progress Series</w:t>
      </w:r>
      <w:r w:rsidRPr="001E7FEC">
        <w:rPr>
          <w:rFonts w:eastAsia="Cambria"/>
        </w:rPr>
        <w:t xml:space="preserve"> </w:t>
      </w:r>
      <w:r w:rsidRPr="001E7FEC">
        <w:rPr>
          <w:rFonts w:eastAsia="Cambria"/>
          <w:b/>
        </w:rPr>
        <w:t>125</w:t>
      </w:r>
      <w:r w:rsidRPr="001E7FEC">
        <w:rPr>
          <w:rFonts w:eastAsia="Cambria"/>
        </w:rPr>
        <w:t>, 171-183.</w:t>
      </w:r>
    </w:p>
    <w:p w14:paraId="754C88DE" w14:textId="77777777" w:rsidR="0082227F" w:rsidRPr="00420139" w:rsidRDefault="0082227F" w:rsidP="0082227F">
      <w:pPr>
        <w:spacing w:line="360" w:lineRule="auto"/>
        <w:ind w:left="720" w:hanging="720"/>
      </w:pPr>
      <w:r w:rsidRPr="00420139">
        <w:t xml:space="preserve">Sokal, R.R., Rohlf, F.J. </w:t>
      </w:r>
      <w:r>
        <w:t>(</w:t>
      </w:r>
      <w:r w:rsidRPr="00420139">
        <w:t>2012</w:t>
      </w:r>
      <w:r>
        <w:t>)</w:t>
      </w:r>
      <w:r w:rsidRPr="00420139">
        <w:t xml:space="preserve"> Biometry: the principles and practice of statistics in biological research. 4th edition. W. H. Freeman and Co.: New York. 937 pp.  ISBN: 0-7167-8604-4</w:t>
      </w:r>
    </w:p>
    <w:p w14:paraId="142BAE94" w14:textId="77777777" w:rsidR="0082227F" w:rsidRPr="00420139" w:rsidRDefault="0082227F" w:rsidP="0082227F">
      <w:pPr>
        <w:spacing w:line="360" w:lineRule="auto"/>
        <w:ind w:left="720" w:hanging="720"/>
        <w:rPr>
          <w:lang w:val="nl-BE"/>
        </w:rPr>
      </w:pPr>
      <w:r w:rsidRPr="001E7FEC">
        <w:rPr>
          <w:rFonts w:eastAsia="Cambria"/>
        </w:rPr>
        <w:t xml:space="preserve">Thiel, H. (1975) The size structure of the deep-sea benthos. </w:t>
      </w:r>
      <w:r w:rsidRPr="001E7FEC">
        <w:rPr>
          <w:rFonts w:eastAsia="Cambria"/>
          <w:i/>
          <w:lang w:val="nl-BE"/>
        </w:rPr>
        <w:t>Internationale Revue Der Gesamten Hydrobiologie</w:t>
      </w:r>
      <w:r w:rsidRPr="001E7FEC">
        <w:rPr>
          <w:rFonts w:eastAsia="Cambria"/>
          <w:lang w:val="nl-BE"/>
        </w:rPr>
        <w:t xml:space="preserve"> </w:t>
      </w:r>
      <w:r w:rsidRPr="001E7FEC">
        <w:rPr>
          <w:rFonts w:eastAsia="Cambria"/>
          <w:b/>
          <w:lang w:val="nl-BE"/>
        </w:rPr>
        <w:t>60</w:t>
      </w:r>
      <w:r w:rsidRPr="001E7FEC">
        <w:rPr>
          <w:rFonts w:eastAsia="Cambria"/>
          <w:lang w:val="nl-BE"/>
        </w:rPr>
        <w:t>, 575-606.</w:t>
      </w:r>
    </w:p>
    <w:p w14:paraId="6AD5160A" w14:textId="77777777" w:rsidR="0082227F" w:rsidRPr="00420139" w:rsidRDefault="0082227F" w:rsidP="0082227F">
      <w:pPr>
        <w:spacing w:line="360" w:lineRule="auto"/>
        <w:ind w:left="720" w:hanging="720"/>
      </w:pPr>
      <w:r w:rsidRPr="001E7FEC">
        <w:rPr>
          <w:rFonts w:eastAsia="Cambria"/>
        </w:rPr>
        <w:t xml:space="preserve">Thiel, H. (1983) Meiobenthos and nanobenthos of the deep sea. In: G. Rowe (Ed). </w:t>
      </w:r>
      <w:r w:rsidRPr="001E7FEC">
        <w:rPr>
          <w:rFonts w:eastAsia="Cambria"/>
          <w:i/>
        </w:rPr>
        <w:t>Deep-sea biology. The Sea</w:t>
      </w:r>
      <w:r w:rsidRPr="001E7FEC">
        <w:rPr>
          <w:rFonts w:eastAsia="Cambria"/>
        </w:rPr>
        <w:t>. Wiley-Interscience, New York</w:t>
      </w:r>
      <w:r>
        <w:rPr>
          <w:rFonts w:eastAsia="Cambria"/>
        </w:rPr>
        <w:t>. Pp.</w:t>
      </w:r>
      <w:r w:rsidRPr="001E7FEC">
        <w:rPr>
          <w:rFonts w:eastAsia="Cambria"/>
        </w:rPr>
        <w:t xml:space="preserve"> 167-230.</w:t>
      </w:r>
    </w:p>
    <w:p w14:paraId="0BBB7945" w14:textId="77777777" w:rsidR="0082227F" w:rsidRPr="00420139" w:rsidRDefault="0082227F" w:rsidP="0082227F">
      <w:pPr>
        <w:spacing w:line="360" w:lineRule="auto"/>
        <w:ind w:left="720" w:hanging="720"/>
      </w:pPr>
      <w:r w:rsidRPr="001E7FEC">
        <w:rPr>
          <w:rFonts w:eastAsia="Cambria"/>
        </w:rPr>
        <w:t xml:space="preserve">Thistle, D., Lambshead, P.J.D., Sherman, K.M. (1995) Nematode tail-shape groups respond to environmental differences in the deep sea </w:t>
      </w:r>
      <w:r w:rsidRPr="001E7FEC">
        <w:rPr>
          <w:rFonts w:eastAsia="Cambria"/>
          <w:i/>
        </w:rPr>
        <w:t xml:space="preserve">Vie </w:t>
      </w:r>
      <w:r>
        <w:rPr>
          <w:rFonts w:eastAsia="Cambria"/>
          <w:i/>
        </w:rPr>
        <w:t>e</w:t>
      </w:r>
      <w:r w:rsidRPr="001E7FEC">
        <w:rPr>
          <w:rFonts w:eastAsia="Cambria"/>
          <w:i/>
        </w:rPr>
        <w:t>t Milieu</w:t>
      </w:r>
      <w:r w:rsidRPr="001E7FEC">
        <w:rPr>
          <w:rFonts w:eastAsia="Cambria"/>
        </w:rPr>
        <w:t xml:space="preserve"> </w:t>
      </w:r>
      <w:r w:rsidRPr="001E7FEC">
        <w:rPr>
          <w:rFonts w:eastAsia="Cambria"/>
          <w:b/>
        </w:rPr>
        <w:t>45</w:t>
      </w:r>
      <w:r w:rsidRPr="001E7FEC">
        <w:rPr>
          <w:rFonts w:eastAsia="Cambria"/>
        </w:rPr>
        <w:t>, 107-115.</w:t>
      </w:r>
    </w:p>
    <w:p w14:paraId="3227F474" w14:textId="77777777" w:rsidR="0082227F" w:rsidRPr="00420139" w:rsidRDefault="0082227F" w:rsidP="0082227F">
      <w:pPr>
        <w:spacing w:line="360" w:lineRule="auto"/>
        <w:ind w:left="720" w:hanging="720"/>
      </w:pPr>
      <w:r w:rsidRPr="001E7FEC">
        <w:rPr>
          <w:rFonts w:eastAsia="Cambria"/>
        </w:rPr>
        <w:lastRenderedPageBreak/>
        <w:t>Thistle, D., Sherman, K.M. (1985) The n</w:t>
      </w:r>
      <w:r>
        <w:rPr>
          <w:rFonts w:eastAsia="Cambria"/>
        </w:rPr>
        <w:t>e</w:t>
      </w:r>
      <w:r w:rsidRPr="001E7FEC">
        <w:rPr>
          <w:rFonts w:eastAsia="Cambria"/>
        </w:rPr>
        <w:t xml:space="preserve">matode fauna of a deep-sea site exposed to strong near-bottom currents. </w:t>
      </w:r>
      <w:r w:rsidRPr="001E7FEC">
        <w:rPr>
          <w:rFonts w:eastAsia="Cambria"/>
          <w:i/>
        </w:rPr>
        <w:t>Deep-Sea Research</w:t>
      </w:r>
      <w:r w:rsidRPr="001E7FEC">
        <w:rPr>
          <w:rFonts w:eastAsia="Cambria"/>
        </w:rPr>
        <w:t xml:space="preserve"> </w:t>
      </w:r>
      <w:r w:rsidRPr="001E7FEC">
        <w:rPr>
          <w:rFonts w:eastAsia="Cambria"/>
          <w:b/>
        </w:rPr>
        <w:t>32</w:t>
      </w:r>
      <w:r w:rsidRPr="001E7FEC">
        <w:rPr>
          <w:rFonts w:eastAsia="Cambria"/>
        </w:rPr>
        <w:t>, 1077-1088.</w:t>
      </w:r>
    </w:p>
    <w:p w14:paraId="41D9DC4F" w14:textId="77777777" w:rsidR="0082227F" w:rsidRPr="001E7FEC" w:rsidRDefault="0082227F" w:rsidP="0082227F">
      <w:pPr>
        <w:spacing w:line="360" w:lineRule="auto"/>
        <w:ind w:left="720" w:hanging="720"/>
        <w:rPr>
          <w:rFonts w:eastAsia="Cambria"/>
        </w:rPr>
      </w:pPr>
      <w:r w:rsidRPr="001E7FEC">
        <w:rPr>
          <w:rFonts w:eastAsia="Cambria"/>
        </w:rPr>
        <w:t xml:space="preserve">Tita, G., Vincx, M., Desrosiers, G. (1999) Size spectra, body width and morphotypes of intertidal nematodes: an ecological interpretation. </w:t>
      </w:r>
      <w:r w:rsidRPr="001E7FEC">
        <w:rPr>
          <w:rFonts w:eastAsia="Cambria"/>
          <w:i/>
        </w:rPr>
        <w:t>Journal of the Marine Biological Association of the United Kingdom</w:t>
      </w:r>
      <w:r w:rsidRPr="001E7FEC">
        <w:rPr>
          <w:rFonts w:eastAsia="Cambria"/>
        </w:rPr>
        <w:t xml:space="preserve"> </w:t>
      </w:r>
      <w:r w:rsidRPr="001E7FEC">
        <w:rPr>
          <w:rFonts w:eastAsia="Cambria"/>
          <w:b/>
        </w:rPr>
        <w:t>79</w:t>
      </w:r>
      <w:r w:rsidRPr="001E7FEC">
        <w:rPr>
          <w:rFonts w:eastAsia="Cambria"/>
        </w:rPr>
        <w:t>, 1007-1015.</w:t>
      </w:r>
    </w:p>
    <w:p w14:paraId="14B05992" w14:textId="77777777" w:rsidR="0082227F" w:rsidRPr="00420139" w:rsidRDefault="0082227F" w:rsidP="0082227F">
      <w:pPr>
        <w:spacing w:line="360" w:lineRule="auto"/>
        <w:ind w:left="720" w:hanging="720"/>
      </w:pPr>
      <w:r w:rsidRPr="001E7FEC">
        <w:rPr>
          <w:rFonts w:eastAsia="Cambria"/>
        </w:rPr>
        <w:t xml:space="preserve">Vanreusel, A. (1991) Ecology of </w:t>
      </w:r>
      <w:r>
        <w:rPr>
          <w:rFonts w:eastAsia="Cambria"/>
        </w:rPr>
        <w:t>f</w:t>
      </w:r>
      <w:r w:rsidRPr="001E7FEC">
        <w:rPr>
          <w:rFonts w:eastAsia="Cambria"/>
        </w:rPr>
        <w:t>ree-</w:t>
      </w:r>
      <w:r>
        <w:rPr>
          <w:rFonts w:eastAsia="Cambria"/>
        </w:rPr>
        <w:t>l</w:t>
      </w:r>
      <w:r w:rsidRPr="001E7FEC">
        <w:rPr>
          <w:rFonts w:eastAsia="Cambria"/>
        </w:rPr>
        <w:t xml:space="preserve">iving </w:t>
      </w:r>
      <w:r>
        <w:rPr>
          <w:rFonts w:eastAsia="Cambria"/>
        </w:rPr>
        <w:t>m</w:t>
      </w:r>
      <w:r w:rsidRPr="001E7FEC">
        <w:rPr>
          <w:rFonts w:eastAsia="Cambria"/>
        </w:rPr>
        <w:t xml:space="preserve">arine </w:t>
      </w:r>
      <w:r>
        <w:rPr>
          <w:rFonts w:eastAsia="Cambria"/>
        </w:rPr>
        <w:t>n</w:t>
      </w:r>
      <w:r w:rsidRPr="001E7FEC">
        <w:rPr>
          <w:rFonts w:eastAsia="Cambria"/>
        </w:rPr>
        <w:t>ematodes in the Voordelta (Southern Bight of the North Sea). I</w:t>
      </w:r>
      <w:r>
        <w:rPr>
          <w:rFonts w:eastAsia="Cambria"/>
        </w:rPr>
        <w:t>I</w:t>
      </w:r>
      <w:r w:rsidRPr="001E7FEC">
        <w:rPr>
          <w:rFonts w:eastAsia="Cambria"/>
        </w:rPr>
        <w:t xml:space="preserve">. Habitat </w:t>
      </w:r>
      <w:r>
        <w:rPr>
          <w:rFonts w:eastAsia="Cambria"/>
        </w:rPr>
        <w:t>p</w:t>
      </w:r>
      <w:r w:rsidRPr="001E7FEC">
        <w:rPr>
          <w:rFonts w:eastAsia="Cambria"/>
        </w:rPr>
        <w:t xml:space="preserve">references of the </w:t>
      </w:r>
      <w:r>
        <w:rPr>
          <w:rFonts w:eastAsia="Cambria"/>
        </w:rPr>
        <w:t>d</w:t>
      </w:r>
      <w:r w:rsidRPr="001E7FEC">
        <w:rPr>
          <w:rFonts w:eastAsia="Cambria"/>
        </w:rPr>
        <w:t xml:space="preserve">ominant Species. </w:t>
      </w:r>
      <w:r w:rsidRPr="001E7FEC">
        <w:rPr>
          <w:rFonts w:eastAsia="Cambria"/>
          <w:i/>
        </w:rPr>
        <w:t>Nematologica</w:t>
      </w:r>
      <w:r w:rsidRPr="001E7FEC">
        <w:rPr>
          <w:rFonts w:eastAsia="Cambria"/>
        </w:rPr>
        <w:t xml:space="preserve"> </w:t>
      </w:r>
      <w:r w:rsidRPr="001E7FEC">
        <w:rPr>
          <w:rFonts w:eastAsia="Cambria"/>
          <w:b/>
        </w:rPr>
        <w:t>37</w:t>
      </w:r>
      <w:r w:rsidRPr="001E7FEC">
        <w:rPr>
          <w:rFonts w:eastAsia="Cambria"/>
        </w:rPr>
        <w:t>, 343-359.</w:t>
      </w:r>
    </w:p>
    <w:p w14:paraId="4C68EE89" w14:textId="77777777" w:rsidR="0082227F" w:rsidRPr="00420139" w:rsidRDefault="0082227F" w:rsidP="0082227F">
      <w:pPr>
        <w:spacing w:line="360" w:lineRule="auto"/>
        <w:ind w:left="720" w:hanging="720"/>
      </w:pPr>
      <w:r w:rsidRPr="001E7FEC">
        <w:rPr>
          <w:rFonts w:eastAsia="Cambria"/>
        </w:rPr>
        <w:t xml:space="preserve">Vanreusel, A., Fonseca, G., Danovaro, R., Da Silva, M.C., Esteves, A.M., Ferrero, T., Gad, G., Galtsova, V., Gambi, C., Da Fonsêca Genevois, V., Ingels, J., Ingole, B., Lampadariou, N., Merckx, B., Miljutin, D., Miljutina, M., Muthumbi, A., Netto, S., Portnova, D., Radziejewska, T., Raes, M., Tchesunov, A., Vanaverbeke, J., Van Gaever, S., Venekey, V., Bezerra, T.N., Flint, H., Copley, J., Pape, E., Zeppilli, D., Martinez, P.A., Galeron, J. (2010) The contribution of deep-sea macrohabitat heterogeneity to global nematode diversity. </w:t>
      </w:r>
      <w:r w:rsidRPr="001E7FEC">
        <w:rPr>
          <w:rFonts w:eastAsia="Cambria"/>
          <w:i/>
        </w:rPr>
        <w:t>Marine Ecology</w:t>
      </w:r>
      <w:r w:rsidRPr="001E7FEC">
        <w:rPr>
          <w:rFonts w:eastAsia="Cambria"/>
        </w:rPr>
        <w:t xml:space="preserve"> </w:t>
      </w:r>
      <w:r w:rsidRPr="001E7FEC">
        <w:rPr>
          <w:rFonts w:eastAsia="Cambria"/>
          <w:b/>
        </w:rPr>
        <w:t>31</w:t>
      </w:r>
      <w:r w:rsidRPr="001E7FEC">
        <w:rPr>
          <w:rFonts w:eastAsia="Cambria"/>
        </w:rPr>
        <w:t>, 6-20.</w:t>
      </w:r>
    </w:p>
    <w:p w14:paraId="7093D5F5" w14:textId="77777777" w:rsidR="0082227F" w:rsidRPr="00420139" w:rsidRDefault="0082227F" w:rsidP="0082227F">
      <w:pPr>
        <w:spacing w:line="360" w:lineRule="auto"/>
        <w:ind w:left="720" w:hanging="720"/>
      </w:pPr>
      <w:r w:rsidRPr="001E7FEC">
        <w:rPr>
          <w:rFonts w:eastAsia="Cambria"/>
        </w:rPr>
        <w:t xml:space="preserve">Vanreusel, A., Vincx, M., Bett, B.J., Rice, A.L. (1995) Nematode </w:t>
      </w:r>
      <w:r>
        <w:rPr>
          <w:rFonts w:eastAsia="Cambria"/>
        </w:rPr>
        <w:t>b</w:t>
      </w:r>
      <w:r w:rsidRPr="001E7FEC">
        <w:rPr>
          <w:rFonts w:eastAsia="Cambria"/>
        </w:rPr>
        <w:t xml:space="preserve">iomass </w:t>
      </w:r>
      <w:r>
        <w:rPr>
          <w:rFonts w:eastAsia="Cambria"/>
        </w:rPr>
        <w:t>s</w:t>
      </w:r>
      <w:r w:rsidRPr="001E7FEC">
        <w:rPr>
          <w:rFonts w:eastAsia="Cambria"/>
        </w:rPr>
        <w:t xml:space="preserve">pectra at </w:t>
      </w:r>
      <w:r>
        <w:rPr>
          <w:rFonts w:eastAsia="Cambria"/>
        </w:rPr>
        <w:t>t</w:t>
      </w:r>
      <w:r w:rsidRPr="001E7FEC">
        <w:rPr>
          <w:rFonts w:eastAsia="Cambria"/>
        </w:rPr>
        <w:t xml:space="preserve">wo </w:t>
      </w:r>
      <w:r>
        <w:rPr>
          <w:rFonts w:eastAsia="Cambria"/>
        </w:rPr>
        <w:t>a</w:t>
      </w:r>
      <w:r w:rsidRPr="001E7FEC">
        <w:rPr>
          <w:rFonts w:eastAsia="Cambria"/>
        </w:rPr>
        <w:t xml:space="preserve">byssal </w:t>
      </w:r>
      <w:r>
        <w:rPr>
          <w:rFonts w:eastAsia="Cambria"/>
        </w:rPr>
        <w:t>s</w:t>
      </w:r>
      <w:r w:rsidRPr="001E7FEC">
        <w:rPr>
          <w:rFonts w:eastAsia="Cambria"/>
        </w:rPr>
        <w:t xml:space="preserve">ites in the NE Atlantic with a </w:t>
      </w:r>
      <w:r>
        <w:rPr>
          <w:rFonts w:eastAsia="Cambria"/>
        </w:rPr>
        <w:t>c</w:t>
      </w:r>
      <w:r w:rsidRPr="001E7FEC">
        <w:rPr>
          <w:rFonts w:eastAsia="Cambria"/>
        </w:rPr>
        <w:t xml:space="preserve">ontrasting </w:t>
      </w:r>
      <w:r>
        <w:rPr>
          <w:rFonts w:eastAsia="Cambria"/>
        </w:rPr>
        <w:t>f</w:t>
      </w:r>
      <w:r w:rsidRPr="001E7FEC">
        <w:rPr>
          <w:rFonts w:eastAsia="Cambria"/>
        </w:rPr>
        <w:t xml:space="preserve">ood </w:t>
      </w:r>
      <w:r>
        <w:rPr>
          <w:rFonts w:eastAsia="Cambria"/>
        </w:rPr>
        <w:t>s</w:t>
      </w:r>
      <w:r w:rsidRPr="001E7FEC">
        <w:rPr>
          <w:rFonts w:eastAsia="Cambria"/>
        </w:rPr>
        <w:t xml:space="preserve">upply. </w:t>
      </w:r>
      <w:r w:rsidRPr="001E7FEC">
        <w:rPr>
          <w:rFonts w:eastAsia="Cambria"/>
          <w:i/>
        </w:rPr>
        <w:t>Internationale Revue der gesamten Hydrobiologie und Hydrographie</w:t>
      </w:r>
      <w:r w:rsidRPr="001E7FEC">
        <w:rPr>
          <w:rFonts w:eastAsia="Cambria"/>
        </w:rPr>
        <w:t xml:space="preserve"> </w:t>
      </w:r>
      <w:r w:rsidRPr="001E7FEC">
        <w:rPr>
          <w:rFonts w:eastAsia="Cambria"/>
          <w:b/>
        </w:rPr>
        <w:t>80</w:t>
      </w:r>
      <w:r w:rsidRPr="001E7FEC">
        <w:rPr>
          <w:rFonts w:eastAsia="Cambria"/>
        </w:rPr>
        <w:t>, 287-296.</w:t>
      </w:r>
    </w:p>
    <w:p w14:paraId="72841030" w14:textId="77777777" w:rsidR="0082227F" w:rsidRPr="00420139" w:rsidRDefault="0082227F" w:rsidP="0082227F">
      <w:pPr>
        <w:spacing w:line="360" w:lineRule="auto"/>
        <w:ind w:left="720" w:hanging="720"/>
      </w:pPr>
      <w:r w:rsidRPr="001E7FEC">
        <w:rPr>
          <w:rFonts w:eastAsia="Cambria"/>
        </w:rPr>
        <w:t xml:space="preserve">Vetter, E.W., Dayton, P.K. (1998) Macrofaunal communities within and adjacent to a detritus-rich submarine canyon system. </w:t>
      </w:r>
      <w:r w:rsidRPr="001E7FEC">
        <w:rPr>
          <w:rFonts w:eastAsia="Cambria"/>
          <w:i/>
        </w:rPr>
        <w:t>Deep-Sea Research Part I</w:t>
      </w:r>
      <w:r>
        <w:rPr>
          <w:rFonts w:eastAsia="Cambria"/>
          <w:i/>
        </w:rPr>
        <w:t>I</w:t>
      </w:r>
      <w:r w:rsidRPr="001E7FEC">
        <w:rPr>
          <w:rFonts w:eastAsia="Cambria"/>
        </w:rPr>
        <w:t xml:space="preserve"> </w:t>
      </w:r>
      <w:r w:rsidRPr="001E7FEC">
        <w:rPr>
          <w:rFonts w:eastAsia="Cambria"/>
          <w:b/>
        </w:rPr>
        <w:t>45</w:t>
      </w:r>
      <w:r w:rsidRPr="001E7FEC">
        <w:rPr>
          <w:rFonts w:eastAsia="Cambria"/>
        </w:rPr>
        <w:t>, 25-54.</w:t>
      </w:r>
    </w:p>
    <w:p w14:paraId="4F6DE8C3" w14:textId="77777777" w:rsidR="0082227F" w:rsidRPr="00420139" w:rsidRDefault="0082227F" w:rsidP="0082227F">
      <w:pPr>
        <w:spacing w:line="360" w:lineRule="auto"/>
        <w:ind w:left="720" w:hanging="720"/>
      </w:pPr>
      <w:r w:rsidRPr="001E7FEC">
        <w:rPr>
          <w:rFonts w:eastAsia="Cambria"/>
        </w:rPr>
        <w:t xml:space="preserve">Vincx, M., Bett, B.J., Dinet, A., Ferrero, T., Gooday, A.J., Lambshead, P.J.D., Pfannkuche, O., Soltwedel, T., Vanreusel, A. (1994) Meiobenthos of the deep Northeast Atlantic. </w:t>
      </w:r>
      <w:r w:rsidRPr="001E7FEC">
        <w:rPr>
          <w:rFonts w:eastAsia="Cambria"/>
          <w:i/>
        </w:rPr>
        <w:t>Advances in Marine Biology</w:t>
      </w:r>
      <w:r w:rsidRPr="001E7FEC">
        <w:rPr>
          <w:rFonts w:eastAsia="Cambria"/>
        </w:rPr>
        <w:t xml:space="preserve"> </w:t>
      </w:r>
      <w:r w:rsidRPr="001E7FEC">
        <w:rPr>
          <w:rFonts w:eastAsia="Cambria"/>
          <w:b/>
        </w:rPr>
        <w:t>30</w:t>
      </w:r>
      <w:r w:rsidRPr="001E7FEC">
        <w:rPr>
          <w:rFonts w:eastAsia="Cambria"/>
        </w:rPr>
        <w:t>, 1-88.</w:t>
      </w:r>
    </w:p>
    <w:p w14:paraId="46876D43" w14:textId="77777777" w:rsidR="0082227F" w:rsidRDefault="0082227F" w:rsidP="0082227F">
      <w:pPr>
        <w:spacing w:line="360" w:lineRule="auto"/>
        <w:ind w:left="720" w:hanging="720"/>
        <w:rPr>
          <w:rFonts w:eastAsia="Cambria"/>
        </w:rPr>
      </w:pPr>
      <w:r w:rsidRPr="001E7FEC">
        <w:rPr>
          <w:rFonts w:eastAsia="Cambria"/>
        </w:rPr>
        <w:t xml:space="preserve">Vincx, M., Meire, P., Heip, C. (1990) The distribution of nematodes communities in the Southern Bight of the North Sea. </w:t>
      </w:r>
      <w:r w:rsidRPr="001E7FEC">
        <w:rPr>
          <w:rFonts w:eastAsia="Cambria"/>
          <w:i/>
        </w:rPr>
        <w:t>Cahiers de Biologie Marine</w:t>
      </w:r>
      <w:r w:rsidRPr="001E7FEC">
        <w:rPr>
          <w:rFonts w:eastAsia="Cambria"/>
        </w:rPr>
        <w:t xml:space="preserve"> </w:t>
      </w:r>
      <w:r w:rsidRPr="001E7FEC">
        <w:rPr>
          <w:rFonts w:eastAsia="Cambria"/>
          <w:b/>
        </w:rPr>
        <w:t>31</w:t>
      </w:r>
      <w:r w:rsidRPr="001E7FEC">
        <w:rPr>
          <w:rFonts w:eastAsia="Cambria"/>
        </w:rPr>
        <w:t>, 107-129.</w:t>
      </w:r>
    </w:p>
    <w:p w14:paraId="547776CF" w14:textId="77777777" w:rsidR="0082227F" w:rsidRDefault="0082227F" w:rsidP="0082227F">
      <w:pPr>
        <w:spacing w:line="360" w:lineRule="auto"/>
        <w:ind w:left="720" w:hanging="720"/>
      </w:pPr>
      <w:r>
        <w:t xml:space="preserve">Warwick, R.M. (1988a) Analyses of community attributes of the macrobenthos of Frierfjord / Langesundfjord, Norway, at taxonomic levels higher than species. </w:t>
      </w:r>
      <w:r w:rsidRPr="001E7FEC">
        <w:rPr>
          <w:i/>
        </w:rPr>
        <w:t>Marine Ecology Progress Series</w:t>
      </w:r>
      <w:r>
        <w:t xml:space="preserve"> </w:t>
      </w:r>
      <w:r w:rsidRPr="001E7FEC">
        <w:rPr>
          <w:b/>
        </w:rPr>
        <w:t>46</w:t>
      </w:r>
      <w:r>
        <w:t>, 167-170.</w:t>
      </w:r>
    </w:p>
    <w:p w14:paraId="0615CA61" w14:textId="77777777" w:rsidR="0082227F" w:rsidRDefault="0082227F" w:rsidP="0082227F">
      <w:pPr>
        <w:spacing w:line="360" w:lineRule="auto"/>
        <w:ind w:left="720" w:hanging="720"/>
      </w:pPr>
      <w:r>
        <w:t xml:space="preserve">Warwick, R.M. (1988b) The level of taxonomic discrimination required to detect pollution effects on marine benthic communities. </w:t>
      </w:r>
      <w:r w:rsidRPr="001E7FEC">
        <w:rPr>
          <w:i/>
        </w:rPr>
        <w:t>Marine Pollution Bulletin</w:t>
      </w:r>
      <w:r>
        <w:t xml:space="preserve"> </w:t>
      </w:r>
      <w:r w:rsidRPr="001E7FEC">
        <w:rPr>
          <w:b/>
        </w:rPr>
        <w:t>19</w:t>
      </w:r>
      <w:r>
        <w:t>, 259-268.</w:t>
      </w:r>
    </w:p>
    <w:p w14:paraId="0D01A34A" w14:textId="77777777" w:rsidR="0082227F" w:rsidRPr="00420139" w:rsidRDefault="0082227F" w:rsidP="0082227F">
      <w:pPr>
        <w:spacing w:line="360" w:lineRule="auto"/>
        <w:ind w:left="720" w:hanging="720"/>
      </w:pPr>
      <w:r>
        <w:lastRenderedPageBreak/>
        <w:t xml:space="preserve">Warwick, R.M. (2014) Meiobenthos and macrobenthos are discrete entities and not artefacts of sampling a size continuum: Comment on Bett (2013). </w:t>
      </w:r>
      <w:r w:rsidRPr="001E7FEC">
        <w:rPr>
          <w:i/>
        </w:rPr>
        <w:t>Marine Ecology Progress Series</w:t>
      </w:r>
      <w:r>
        <w:t xml:space="preserve"> </w:t>
      </w:r>
      <w:r w:rsidRPr="001E7FEC">
        <w:rPr>
          <w:b/>
        </w:rPr>
        <w:t>505</w:t>
      </w:r>
      <w:r>
        <w:t>, 295-298.</w:t>
      </w:r>
    </w:p>
    <w:p w14:paraId="12E1FC44" w14:textId="77777777" w:rsidR="0082227F" w:rsidRPr="00420139" w:rsidRDefault="0082227F" w:rsidP="0082227F">
      <w:pPr>
        <w:spacing w:line="360" w:lineRule="auto"/>
        <w:ind w:left="720" w:hanging="720"/>
      </w:pPr>
      <w:r w:rsidRPr="001E7FEC">
        <w:rPr>
          <w:rFonts w:eastAsia="Cambria"/>
        </w:rPr>
        <w:t xml:space="preserve">Warwick, R., Collins, N., Gee, J., George, C. (1986) Species size distributions of benthic and pelagic Metazoa: evidence for interaction. </w:t>
      </w:r>
      <w:r w:rsidRPr="001E7FEC">
        <w:rPr>
          <w:rFonts w:eastAsia="Cambria"/>
          <w:i/>
        </w:rPr>
        <w:t>Mar</w:t>
      </w:r>
      <w:r>
        <w:rPr>
          <w:rFonts w:eastAsia="Cambria"/>
          <w:i/>
        </w:rPr>
        <w:t>ine</w:t>
      </w:r>
      <w:r w:rsidRPr="001E7FEC">
        <w:rPr>
          <w:rFonts w:eastAsia="Cambria"/>
          <w:i/>
        </w:rPr>
        <w:t xml:space="preserve"> Ecol</w:t>
      </w:r>
      <w:r>
        <w:rPr>
          <w:rFonts w:eastAsia="Cambria"/>
          <w:i/>
        </w:rPr>
        <w:t>ogy</w:t>
      </w:r>
      <w:r w:rsidRPr="001E7FEC">
        <w:rPr>
          <w:rFonts w:eastAsia="Cambria"/>
          <w:i/>
        </w:rPr>
        <w:t xml:space="preserve"> Prog</w:t>
      </w:r>
      <w:r>
        <w:rPr>
          <w:rFonts w:eastAsia="Cambria"/>
          <w:i/>
        </w:rPr>
        <w:t>ress</w:t>
      </w:r>
      <w:r w:rsidRPr="001E7FEC">
        <w:rPr>
          <w:rFonts w:eastAsia="Cambria"/>
          <w:i/>
        </w:rPr>
        <w:t xml:space="preserve"> Ser</w:t>
      </w:r>
      <w:r>
        <w:rPr>
          <w:rFonts w:eastAsia="Cambria"/>
          <w:i/>
        </w:rPr>
        <w:t>ies</w:t>
      </w:r>
      <w:r w:rsidRPr="001E7FEC">
        <w:rPr>
          <w:rFonts w:eastAsia="Cambria"/>
        </w:rPr>
        <w:t xml:space="preserve"> </w:t>
      </w:r>
      <w:r w:rsidRPr="001E7FEC">
        <w:rPr>
          <w:rFonts w:eastAsia="Cambria"/>
          <w:b/>
        </w:rPr>
        <w:t>34</w:t>
      </w:r>
      <w:r w:rsidRPr="001E7FEC">
        <w:rPr>
          <w:rFonts w:eastAsia="Cambria"/>
        </w:rPr>
        <w:t>, 63-68.</w:t>
      </w:r>
    </w:p>
    <w:p w14:paraId="029780E4" w14:textId="77777777" w:rsidR="0082227F" w:rsidRPr="00420139" w:rsidRDefault="0082227F" w:rsidP="0082227F">
      <w:pPr>
        <w:spacing w:line="360" w:lineRule="auto"/>
        <w:ind w:left="720" w:hanging="720"/>
      </w:pPr>
      <w:r w:rsidRPr="001E7FEC">
        <w:rPr>
          <w:rFonts w:eastAsia="Cambria"/>
        </w:rPr>
        <w:t xml:space="preserve">Warwick, R.M. (2014) Meiobenthos and macrobenthos are discrete entities and not artefacts of sampling a size continuum: Comment on Bett (2013). </w:t>
      </w:r>
      <w:r w:rsidRPr="001E7FEC">
        <w:rPr>
          <w:rFonts w:eastAsia="Cambria"/>
          <w:i/>
        </w:rPr>
        <w:t>Marine Ecology Progress Series</w:t>
      </w:r>
      <w:r w:rsidRPr="001E7FEC">
        <w:rPr>
          <w:rFonts w:eastAsia="Cambria"/>
        </w:rPr>
        <w:t xml:space="preserve"> </w:t>
      </w:r>
      <w:r w:rsidRPr="001E7FEC">
        <w:rPr>
          <w:rFonts w:eastAsia="Cambria"/>
          <w:b/>
        </w:rPr>
        <w:t>505</w:t>
      </w:r>
      <w:r w:rsidRPr="001E7FEC">
        <w:rPr>
          <w:rFonts w:eastAsia="Cambria"/>
        </w:rPr>
        <w:t>, 295-298.</w:t>
      </w:r>
    </w:p>
    <w:p w14:paraId="302A50B6" w14:textId="77777777" w:rsidR="0082227F" w:rsidRPr="00420139" w:rsidRDefault="0082227F" w:rsidP="0082227F">
      <w:pPr>
        <w:spacing w:line="360" w:lineRule="auto"/>
        <w:ind w:left="720" w:hanging="720"/>
      </w:pPr>
      <w:r w:rsidRPr="001E7FEC">
        <w:rPr>
          <w:rFonts w:eastAsia="Cambria"/>
        </w:rPr>
        <w:t xml:space="preserve">Warwick, R.M., Platt, H.M., Somerfield, P.J. (1998) </w:t>
      </w:r>
      <w:r w:rsidRPr="001E7FEC">
        <w:rPr>
          <w:rFonts w:eastAsia="Cambria"/>
          <w:i/>
        </w:rPr>
        <w:t>Free-living marine nematodes. Part III: Monhysterids</w:t>
      </w:r>
      <w:r w:rsidRPr="001E7FEC">
        <w:rPr>
          <w:rFonts w:eastAsia="Cambria"/>
        </w:rPr>
        <w:t xml:space="preserve">. </w:t>
      </w:r>
      <w:r>
        <w:rPr>
          <w:rFonts w:eastAsia="Cambria"/>
        </w:rPr>
        <w:t xml:space="preserve">Pictorial key to world genera and notes for the identification of British species. Synopses of the British Fauna (New Series) No. 53. </w:t>
      </w:r>
      <w:r w:rsidRPr="001E7FEC">
        <w:rPr>
          <w:rFonts w:eastAsia="Cambria"/>
        </w:rPr>
        <w:t xml:space="preserve">Field Studies Council, </w:t>
      </w:r>
      <w:r>
        <w:rPr>
          <w:rFonts w:eastAsia="Cambria"/>
        </w:rPr>
        <w:t>London</w:t>
      </w:r>
      <w:r w:rsidRPr="001E7FEC">
        <w:rPr>
          <w:rFonts w:eastAsia="Cambria"/>
        </w:rPr>
        <w:t>.</w:t>
      </w:r>
    </w:p>
    <w:p w14:paraId="197BFBB3" w14:textId="77777777" w:rsidR="0082227F" w:rsidRPr="00420139" w:rsidRDefault="0082227F" w:rsidP="0082227F">
      <w:pPr>
        <w:spacing w:line="360" w:lineRule="auto"/>
        <w:ind w:left="720" w:hanging="720"/>
      </w:pPr>
      <w:r w:rsidRPr="001E7FEC">
        <w:rPr>
          <w:rFonts w:eastAsia="Cambria"/>
          <w:lang w:val="nl-BE"/>
        </w:rPr>
        <w:t xml:space="preserve">Wieser, V.W. (1953) Die Beziehung zwischen Mundhohlengestalt, Ernahrungsweise und Vorkommen bei freilebenden marinen Nematoden. </w:t>
      </w:r>
      <w:r w:rsidRPr="001E7FEC">
        <w:rPr>
          <w:rFonts w:eastAsia="Cambria"/>
          <w:i/>
        </w:rPr>
        <w:t>Arkiv Zoologie</w:t>
      </w:r>
      <w:r w:rsidRPr="001E7FEC">
        <w:rPr>
          <w:rFonts w:eastAsia="Cambria"/>
          <w:b/>
        </w:rPr>
        <w:t xml:space="preserve"> 2</w:t>
      </w:r>
      <w:r w:rsidRPr="001E7FEC">
        <w:rPr>
          <w:rFonts w:eastAsia="Cambria"/>
        </w:rPr>
        <w:t>, 439</w:t>
      </w:r>
      <w:r>
        <w:rPr>
          <w:rFonts w:eastAsia="Cambria"/>
        </w:rPr>
        <w:t>-</w:t>
      </w:r>
      <w:r w:rsidRPr="001E7FEC">
        <w:rPr>
          <w:rFonts w:eastAsia="Cambria"/>
        </w:rPr>
        <w:t>484.</w:t>
      </w:r>
    </w:p>
    <w:p w14:paraId="4964E075" w14:textId="77777777" w:rsidR="00C2585C" w:rsidRDefault="00C4027B">
      <w:pPr>
        <w:sectPr w:rsidR="00C2585C" w:rsidSect="00502F0B">
          <w:footerReference w:type="even" r:id="rId8"/>
          <w:footerReference w:type="default" r:id="rId9"/>
          <w:pgSz w:w="11900" w:h="16840"/>
          <w:pgMar w:top="1440" w:right="1797" w:bottom="1440" w:left="1797" w:header="720" w:footer="720" w:gutter="0"/>
          <w:lnNumType w:countBy="1" w:restart="continuous"/>
          <w:pgNumType w:start="1"/>
          <w:cols w:space="720"/>
          <w:docGrid w:linePitch="326"/>
        </w:sectPr>
      </w:pPr>
      <w:bookmarkStart w:id="3" w:name="h.1fob9te" w:colFirst="0" w:colLast="0"/>
      <w:bookmarkStart w:id="4" w:name="h.3znysh7" w:colFirst="0" w:colLast="0"/>
      <w:bookmarkStart w:id="5" w:name="h.2et92p0" w:colFirst="0" w:colLast="0"/>
      <w:bookmarkStart w:id="6" w:name="h.tyjcwt" w:colFirst="0" w:colLast="0"/>
      <w:bookmarkStart w:id="7" w:name="h.3dy6vkm" w:colFirst="0" w:colLast="0"/>
      <w:bookmarkStart w:id="8" w:name="h.1t3h5sf" w:colFirst="0" w:colLast="0"/>
      <w:bookmarkStart w:id="9" w:name="h.4d34og8" w:colFirst="0" w:colLast="0"/>
      <w:bookmarkStart w:id="10" w:name="h.2s8eyo1" w:colFirst="0" w:colLast="0"/>
      <w:bookmarkStart w:id="11" w:name="h.17dp8vu" w:colFirst="0" w:colLast="0"/>
      <w:bookmarkStart w:id="12" w:name="h.3rdcrjn" w:colFirst="0" w:colLast="0"/>
      <w:bookmarkStart w:id="13" w:name="h.26in1rg" w:colFirst="0" w:colLast="0"/>
      <w:bookmarkStart w:id="14" w:name="h.lnxbz9" w:colFirst="0" w:colLast="0"/>
      <w:bookmarkStart w:id="15" w:name="h.35nkun2" w:colFirst="0" w:colLast="0"/>
      <w:bookmarkStart w:id="16" w:name="h.1ksv4uv" w:colFirst="0" w:colLast="0"/>
      <w:bookmarkStart w:id="17" w:name="h.44sinio" w:colFirst="0" w:colLast="0"/>
      <w:bookmarkStart w:id="18" w:name="h.2jxsxqh" w:colFirst="0" w:colLast="0"/>
      <w:bookmarkStart w:id="19" w:name="h.z337ya" w:colFirst="0" w:colLast="0"/>
      <w:bookmarkStart w:id="20" w:name="h.3j2qqm3" w:colFirst="0" w:colLast="0"/>
      <w:bookmarkStart w:id="21" w:name="h.1y810tw" w:colFirst="0" w:colLast="0"/>
      <w:bookmarkStart w:id="22" w:name="h.4i7ojhp" w:colFirst="0" w:colLast="0"/>
      <w:bookmarkStart w:id="23" w:name="h.2xcytpi" w:colFirst="0" w:colLast="0"/>
      <w:bookmarkStart w:id="24" w:name="h.1ci93xb" w:colFirst="0" w:colLast="0"/>
      <w:bookmarkStart w:id="25" w:name="h.3whwml4" w:colFirst="0" w:colLast="0"/>
      <w:bookmarkStart w:id="26" w:name="h.2bn6wsx" w:colFirst="0" w:colLast="0"/>
      <w:bookmarkStart w:id="27" w:name="h.qsh70q" w:colFirst="0" w:colLast="0"/>
      <w:bookmarkStart w:id="28" w:name="h.3as4poj" w:colFirst="0" w:colLast="0"/>
      <w:bookmarkStart w:id="29" w:name="h.1pxezwc" w:colFirst="0" w:colLast="0"/>
      <w:bookmarkStart w:id="30" w:name="h.49x2ik5" w:colFirst="0" w:colLast="0"/>
      <w:bookmarkStart w:id="31" w:name="h.2p2csry" w:colFirst="0" w:colLast="0"/>
      <w:bookmarkStart w:id="32" w:name="h.147n2zr" w:colFirst="0" w:colLast="0"/>
      <w:bookmarkStart w:id="33" w:name="h.3o7alnk" w:colFirst="0" w:colLast="0"/>
      <w:bookmarkStart w:id="34" w:name="h.23ckvvd" w:colFirst="0" w:colLast="0"/>
      <w:bookmarkStart w:id="35" w:name="h.ihv636" w:colFirst="0" w:colLast="0"/>
      <w:bookmarkStart w:id="36" w:name="h.32hioqz" w:colFirst="0" w:colLast="0"/>
      <w:bookmarkStart w:id="37" w:name="h.1hmsyys" w:colFirst="0" w:colLast="0"/>
      <w:bookmarkStart w:id="38" w:name="h.41mghml" w:colFirst="0" w:colLast="0"/>
      <w:bookmarkStart w:id="39" w:name="h.2grqrue" w:colFirst="0" w:colLast="0"/>
      <w:bookmarkStart w:id="40" w:name="h.vx1227" w:colFirst="0" w:colLast="0"/>
      <w:bookmarkStart w:id="41" w:name="h.3fwokq0" w:colFirst="0" w:colLast="0"/>
      <w:bookmarkStart w:id="42" w:name="h.1v1yuxt" w:colFirst="0" w:colLast="0"/>
      <w:bookmarkStart w:id="43" w:name="h.4f1mdlm" w:colFirst="0" w:colLast="0"/>
      <w:bookmarkStart w:id="44" w:name="h.2u6wntf" w:colFirst="0" w:colLast="0"/>
      <w:bookmarkStart w:id="45" w:name="h.19c6y18" w:colFirst="0" w:colLast="0"/>
      <w:bookmarkStart w:id="46" w:name="h.3tbugp1" w:colFirst="0" w:colLast="0"/>
      <w:bookmarkStart w:id="47" w:name="h.28h4qwu" w:colFirst="0" w:colLast="0"/>
      <w:bookmarkStart w:id="48" w:name="h.nmf14n" w:colFirst="0" w:colLast="0"/>
      <w:bookmarkStart w:id="49" w:name="h.37m2jsg" w:colFirst="0" w:colLast="0"/>
      <w:bookmarkStart w:id="50" w:name="h.1mrcu09" w:colFirst="0" w:colLast="0"/>
      <w:bookmarkStart w:id="51" w:name="h.46r0co2" w:colFirst="0" w:colLast="0"/>
      <w:bookmarkStart w:id="52" w:name="h.2lwamvv" w:colFirst="0" w:colLast="0"/>
      <w:bookmarkStart w:id="53" w:name="h.111kx3o" w:colFirst="0" w:colLast="0"/>
      <w:bookmarkStart w:id="54" w:name="h.3l18frh" w:colFirst="0" w:colLast="0"/>
      <w:bookmarkStart w:id="55" w:name="h.206ipza" w:colFirst="0" w:colLast="0"/>
      <w:bookmarkStart w:id="56" w:name="h.4k668n3" w:colFirst="0" w:colLast="0"/>
      <w:bookmarkStart w:id="57" w:name="h.2zbgiuw" w:colFirst="0" w:colLast="0"/>
      <w:bookmarkStart w:id="58" w:name="h.1egqt2p" w:colFirst="0" w:colLast="0"/>
      <w:bookmarkStart w:id="59" w:name="h.3ygebqi" w:colFirst="0" w:colLast="0"/>
      <w:bookmarkStart w:id="60" w:name="h.2dlolyb" w:colFirst="0" w:colLast="0"/>
      <w:bookmarkStart w:id="61" w:name="h.sqyw64" w:colFirst="0" w:colLast="0"/>
      <w:bookmarkStart w:id="62" w:name="h.3cqmetx" w:colFirst="0" w:colLast="0"/>
      <w:bookmarkStart w:id="63" w:name="h.1rvwp1q" w:colFirst="0" w:colLast="0"/>
      <w:bookmarkStart w:id="64" w:name="h.4bvk7pj" w:colFirst="0" w:colLast="0"/>
      <w:bookmarkStart w:id="65" w:name="h.2r0uhxc" w:colFirst="0" w:colLast="0"/>
      <w:bookmarkStart w:id="66" w:name="h.1664s55" w:colFirst="0" w:colLast="0"/>
      <w:bookmarkStart w:id="67" w:name="h.3q5sasy" w:colFirst="0" w:colLast="0"/>
      <w:bookmarkStart w:id="68" w:name="h.25b2l0r" w:colFirst="0" w:colLast="0"/>
      <w:bookmarkStart w:id="69" w:name="h.kgcv8k" w:colFirst="0" w:colLast="0"/>
      <w:bookmarkStart w:id="70" w:name="h.34g0dwd" w:colFirst="0" w:colLast="0"/>
      <w:bookmarkStart w:id="71" w:name="h.1jlao46" w:colFirst="0" w:colLast="0"/>
      <w:bookmarkStart w:id="72" w:name="h.43ky6rz" w:colFirst="0" w:colLast="0"/>
      <w:bookmarkStart w:id="73" w:name="h.2iq8gzs" w:colFirst="0" w:colLast="0"/>
      <w:bookmarkStart w:id="74" w:name="h.xvir7l" w:colFirst="0" w:colLast="0"/>
      <w:bookmarkStart w:id="75" w:name="h.3hv69ve" w:colFirst="0" w:colLast="0"/>
      <w:bookmarkStart w:id="76" w:name="h.1x0gk37" w:colFirst="0" w:colLast="0"/>
      <w:bookmarkStart w:id="77" w:name="h.4h042r0" w:colFirst="0" w:colLast="0"/>
      <w:bookmarkStart w:id="78" w:name="h.2w5ecyt" w:colFirst="0" w:colLast="0"/>
      <w:bookmarkStart w:id="79" w:name="h.1baon6m" w:colFirst="0" w:colLast="0"/>
      <w:bookmarkStart w:id="80" w:name="h.3vac5uf" w:colFirst="0" w:colLast="0"/>
      <w:bookmarkStart w:id="81" w:name="h.2afmg28" w:colFirst="0" w:colLast="0"/>
      <w:bookmarkStart w:id="82" w:name="h.pkwqa1" w:colFirst="0" w:colLast="0"/>
      <w:bookmarkStart w:id="83" w:name="h.39kk8xu" w:colFirst="0" w:colLast="0"/>
      <w:bookmarkStart w:id="84" w:name="h.1opuj5n" w:colFirst="0" w:colLast="0"/>
      <w:bookmarkStart w:id="85" w:name="h.48pi1tg" w:colFirst="0" w:colLast="0"/>
      <w:bookmarkStart w:id="86" w:name="h.2nusc19" w:colFirst="0" w:colLast="0"/>
      <w:bookmarkStart w:id="87" w:name="h.1302m92" w:colFirst="0" w:colLast="0"/>
      <w:bookmarkStart w:id="88" w:name="h.3mzq4wv" w:colFirst="0" w:colLast="0"/>
      <w:bookmarkStart w:id="89" w:name="h.2250f4o" w:colFirst="0" w:colLast="0"/>
      <w:bookmarkStart w:id="90" w:name="h.haapch" w:colFirst="0" w:colLast="0"/>
      <w:bookmarkStart w:id="91" w:name="h.319y80a" w:colFirst="0" w:colLast="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br w:type="page"/>
      </w:r>
    </w:p>
    <w:p w14:paraId="7BC39E0B" w14:textId="77777777" w:rsidR="00091DF8" w:rsidRDefault="00091DF8" w:rsidP="00091DF8">
      <w:r>
        <w:rPr>
          <w:b/>
        </w:rPr>
        <w:lastRenderedPageBreak/>
        <w:t xml:space="preserve">Table 1. </w:t>
      </w:r>
      <w:r>
        <w:t>Sampling sites in three branches of the Whittard Canyon and on the adjacent slope. (Area, total seafloor area sampled by pooled cores).</w:t>
      </w:r>
    </w:p>
    <w:p w14:paraId="1A930A1A" w14:textId="77777777" w:rsidR="00091DF8" w:rsidRDefault="00091DF8" w:rsidP="00091DF8"/>
    <w:tbl>
      <w:tblPr>
        <w:tblW w:w="0" w:type="auto"/>
        <w:jc w:val="center"/>
        <w:tblLook w:val="0400" w:firstRow="0" w:lastRow="0" w:firstColumn="0" w:lastColumn="0" w:noHBand="0" w:noVBand="1"/>
      </w:tblPr>
      <w:tblGrid>
        <w:gridCol w:w="883"/>
        <w:gridCol w:w="750"/>
        <w:gridCol w:w="934"/>
        <w:gridCol w:w="990"/>
        <w:gridCol w:w="670"/>
        <w:gridCol w:w="715"/>
      </w:tblGrid>
      <w:tr w:rsidR="00091DF8" w:rsidRPr="00074F17" w14:paraId="72A1C0E5" w14:textId="77777777" w:rsidTr="004029ED">
        <w:trPr>
          <w:trHeight w:val="227"/>
          <w:jc w:val="center"/>
        </w:trPr>
        <w:tc>
          <w:tcPr>
            <w:tcW w:w="0" w:type="auto"/>
            <w:vAlign w:val="center"/>
          </w:tcPr>
          <w:p w14:paraId="15F755E6" w14:textId="77777777" w:rsidR="00091DF8" w:rsidRPr="001E7FEC" w:rsidRDefault="00091DF8" w:rsidP="00E24FD5">
            <w:pPr>
              <w:rPr>
                <w:rFonts w:ascii="Arial" w:hAnsi="Arial" w:cs="Arial"/>
                <w:b/>
                <w:sz w:val="16"/>
                <w:szCs w:val="16"/>
              </w:rPr>
            </w:pPr>
            <w:r w:rsidRPr="001E7FEC">
              <w:rPr>
                <w:rFonts w:ascii="Arial" w:hAnsi="Arial" w:cs="Arial"/>
                <w:b/>
                <w:sz w:val="16"/>
                <w:szCs w:val="16"/>
              </w:rPr>
              <w:t>Location</w:t>
            </w:r>
          </w:p>
        </w:tc>
        <w:tc>
          <w:tcPr>
            <w:tcW w:w="0" w:type="auto"/>
            <w:vAlign w:val="center"/>
          </w:tcPr>
          <w:p w14:paraId="4CA712D9"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Deploy</w:t>
            </w:r>
            <w:r w:rsidRPr="001E7FEC">
              <w:rPr>
                <w:rFonts w:ascii="Arial" w:hAnsi="Arial" w:cs="Arial"/>
                <w:b/>
                <w:sz w:val="16"/>
                <w:szCs w:val="16"/>
              </w:rPr>
              <w:br/>
              <w:t>-ment</w:t>
            </w:r>
          </w:p>
        </w:tc>
        <w:tc>
          <w:tcPr>
            <w:tcW w:w="0" w:type="auto"/>
            <w:vAlign w:val="center"/>
          </w:tcPr>
          <w:p w14:paraId="408AF4CF"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Latitude</w:t>
            </w:r>
            <w:r w:rsidRPr="001E7FEC">
              <w:rPr>
                <w:rFonts w:ascii="Arial" w:hAnsi="Arial" w:cs="Arial"/>
                <w:b/>
                <w:sz w:val="16"/>
                <w:szCs w:val="16"/>
              </w:rPr>
              <w:br/>
              <w:t>(N)</w:t>
            </w:r>
          </w:p>
        </w:tc>
        <w:tc>
          <w:tcPr>
            <w:tcW w:w="0" w:type="auto"/>
            <w:vAlign w:val="center"/>
          </w:tcPr>
          <w:p w14:paraId="2DDE8B35"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Longitude</w:t>
            </w:r>
            <w:r w:rsidRPr="001E7FEC">
              <w:rPr>
                <w:rFonts w:ascii="Arial" w:hAnsi="Arial" w:cs="Arial"/>
                <w:b/>
                <w:sz w:val="16"/>
                <w:szCs w:val="16"/>
              </w:rPr>
              <w:br/>
              <w:t>(W)</w:t>
            </w:r>
          </w:p>
        </w:tc>
        <w:tc>
          <w:tcPr>
            <w:tcW w:w="0" w:type="auto"/>
            <w:vAlign w:val="center"/>
          </w:tcPr>
          <w:p w14:paraId="4D8F3A35"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Depth</w:t>
            </w:r>
            <w:r w:rsidRPr="001E7FEC">
              <w:rPr>
                <w:rFonts w:ascii="Arial" w:hAnsi="Arial" w:cs="Arial"/>
                <w:b/>
                <w:sz w:val="16"/>
                <w:szCs w:val="16"/>
              </w:rPr>
              <w:br/>
              <w:t>(m)</w:t>
            </w:r>
          </w:p>
        </w:tc>
        <w:tc>
          <w:tcPr>
            <w:tcW w:w="0" w:type="auto"/>
            <w:vAlign w:val="center"/>
          </w:tcPr>
          <w:p w14:paraId="0AB8E7D0"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Area</w:t>
            </w:r>
            <w:r w:rsidRPr="001E7FEC">
              <w:rPr>
                <w:rFonts w:ascii="Arial" w:hAnsi="Arial" w:cs="Arial"/>
                <w:b/>
                <w:sz w:val="16"/>
                <w:szCs w:val="16"/>
              </w:rPr>
              <w:br/>
              <w:t>(m</w:t>
            </w:r>
            <w:r w:rsidRPr="001E7FEC">
              <w:rPr>
                <w:rFonts w:ascii="Arial" w:hAnsi="Arial" w:cs="Arial"/>
                <w:b/>
                <w:sz w:val="16"/>
                <w:szCs w:val="16"/>
                <w:vertAlign w:val="superscript"/>
              </w:rPr>
              <w:t>2</w:t>
            </w:r>
            <w:r w:rsidRPr="001E7FEC">
              <w:rPr>
                <w:rFonts w:ascii="Arial" w:hAnsi="Arial" w:cs="Arial"/>
                <w:b/>
                <w:sz w:val="16"/>
                <w:szCs w:val="16"/>
              </w:rPr>
              <w:t>)</w:t>
            </w:r>
          </w:p>
        </w:tc>
      </w:tr>
      <w:tr w:rsidR="00091DF8" w:rsidRPr="00074F17" w14:paraId="08166D9C" w14:textId="77777777" w:rsidTr="004029ED">
        <w:trPr>
          <w:trHeight w:val="227"/>
          <w:jc w:val="center"/>
        </w:trPr>
        <w:tc>
          <w:tcPr>
            <w:tcW w:w="0" w:type="auto"/>
            <w:vMerge w:val="restart"/>
            <w:vAlign w:val="center"/>
          </w:tcPr>
          <w:p w14:paraId="42720315" w14:textId="77777777" w:rsidR="00091DF8" w:rsidRPr="001E7FEC" w:rsidRDefault="00091DF8" w:rsidP="00E24FD5">
            <w:pPr>
              <w:rPr>
                <w:rFonts w:ascii="Arial" w:hAnsi="Arial" w:cs="Arial"/>
                <w:sz w:val="16"/>
                <w:szCs w:val="16"/>
              </w:rPr>
            </w:pPr>
            <w:r w:rsidRPr="001E7FEC">
              <w:rPr>
                <w:rFonts w:ascii="Arial" w:hAnsi="Arial" w:cs="Arial"/>
                <w:sz w:val="16"/>
                <w:szCs w:val="16"/>
              </w:rPr>
              <w:t>Slope</w:t>
            </w:r>
          </w:p>
        </w:tc>
        <w:tc>
          <w:tcPr>
            <w:tcW w:w="0" w:type="auto"/>
            <w:vAlign w:val="center"/>
          </w:tcPr>
          <w:p w14:paraId="2AED1A11"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S016</w:t>
            </w:r>
          </w:p>
        </w:tc>
        <w:tc>
          <w:tcPr>
            <w:tcW w:w="0" w:type="auto"/>
            <w:vAlign w:val="center"/>
          </w:tcPr>
          <w:p w14:paraId="650DC50E"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47° 56.79'</w:t>
            </w:r>
          </w:p>
        </w:tc>
        <w:tc>
          <w:tcPr>
            <w:tcW w:w="0" w:type="auto"/>
            <w:vAlign w:val="center"/>
          </w:tcPr>
          <w:p w14:paraId="5C4DA3D8"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46.85'</w:t>
            </w:r>
          </w:p>
        </w:tc>
        <w:tc>
          <w:tcPr>
            <w:tcW w:w="0" w:type="auto"/>
            <w:vAlign w:val="center"/>
          </w:tcPr>
          <w:p w14:paraId="299375AE"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3511</w:t>
            </w:r>
          </w:p>
        </w:tc>
        <w:tc>
          <w:tcPr>
            <w:tcW w:w="0" w:type="auto"/>
            <w:vAlign w:val="center"/>
          </w:tcPr>
          <w:p w14:paraId="19165062"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0.063</w:t>
            </w:r>
          </w:p>
        </w:tc>
      </w:tr>
      <w:tr w:rsidR="00091DF8" w:rsidRPr="00074F17" w14:paraId="47D27AA9" w14:textId="77777777" w:rsidTr="004029ED">
        <w:trPr>
          <w:trHeight w:val="227"/>
          <w:jc w:val="center"/>
        </w:trPr>
        <w:tc>
          <w:tcPr>
            <w:tcW w:w="0" w:type="auto"/>
            <w:vMerge/>
            <w:vAlign w:val="center"/>
          </w:tcPr>
          <w:p w14:paraId="5F77C160" w14:textId="77777777" w:rsidR="00091DF8" w:rsidRPr="001E7FEC" w:rsidRDefault="00091DF8" w:rsidP="00E24FD5">
            <w:pPr>
              <w:contextualSpacing/>
              <w:rPr>
                <w:rFonts w:ascii="Arial" w:hAnsi="Arial" w:cs="Arial"/>
                <w:sz w:val="16"/>
                <w:szCs w:val="16"/>
              </w:rPr>
            </w:pPr>
          </w:p>
        </w:tc>
        <w:tc>
          <w:tcPr>
            <w:tcW w:w="0" w:type="auto"/>
            <w:vAlign w:val="center"/>
          </w:tcPr>
          <w:p w14:paraId="1042799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S017</w:t>
            </w:r>
          </w:p>
        </w:tc>
        <w:tc>
          <w:tcPr>
            <w:tcW w:w="0" w:type="auto"/>
            <w:vAlign w:val="center"/>
          </w:tcPr>
          <w:p w14:paraId="613E3C3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47° 56.78'</w:t>
            </w:r>
          </w:p>
        </w:tc>
        <w:tc>
          <w:tcPr>
            <w:tcW w:w="0" w:type="auto"/>
            <w:vAlign w:val="center"/>
          </w:tcPr>
          <w:p w14:paraId="2B97E417"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46.85'</w:t>
            </w:r>
          </w:p>
        </w:tc>
        <w:tc>
          <w:tcPr>
            <w:tcW w:w="0" w:type="auto"/>
            <w:vAlign w:val="center"/>
          </w:tcPr>
          <w:p w14:paraId="7D161A59"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3512</w:t>
            </w:r>
          </w:p>
        </w:tc>
        <w:tc>
          <w:tcPr>
            <w:tcW w:w="0" w:type="auto"/>
            <w:vAlign w:val="center"/>
          </w:tcPr>
          <w:p w14:paraId="53FDB9EC"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0.055</w:t>
            </w:r>
          </w:p>
        </w:tc>
      </w:tr>
      <w:tr w:rsidR="00091DF8" w:rsidRPr="00074F17" w14:paraId="19EDE158" w14:textId="77777777" w:rsidTr="004029ED">
        <w:trPr>
          <w:trHeight w:val="227"/>
          <w:jc w:val="center"/>
        </w:trPr>
        <w:tc>
          <w:tcPr>
            <w:tcW w:w="0" w:type="auto"/>
            <w:vMerge/>
            <w:vAlign w:val="center"/>
          </w:tcPr>
          <w:p w14:paraId="70B87CC2" w14:textId="77777777" w:rsidR="00091DF8" w:rsidRPr="001E7FEC" w:rsidRDefault="00091DF8" w:rsidP="00E24FD5">
            <w:pPr>
              <w:contextualSpacing/>
              <w:rPr>
                <w:rFonts w:ascii="Arial" w:hAnsi="Arial" w:cs="Arial"/>
                <w:sz w:val="16"/>
                <w:szCs w:val="16"/>
              </w:rPr>
            </w:pPr>
          </w:p>
        </w:tc>
        <w:tc>
          <w:tcPr>
            <w:tcW w:w="0" w:type="auto"/>
            <w:vAlign w:val="center"/>
          </w:tcPr>
          <w:p w14:paraId="709716BC"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S018</w:t>
            </w:r>
          </w:p>
        </w:tc>
        <w:tc>
          <w:tcPr>
            <w:tcW w:w="0" w:type="auto"/>
            <w:vAlign w:val="center"/>
          </w:tcPr>
          <w:p w14:paraId="6F5018A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47° 56.81'</w:t>
            </w:r>
          </w:p>
        </w:tc>
        <w:tc>
          <w:tcPr>
            <w:tcW w:w="0" w:type="auto"/>
            <w:vAlign w:val="center"/>
          </w:tcPr>
          <w:p w14:paraId="6ECF2106"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46.91'</w:t>
            </w:r>
          </w:p>
        </w:tc>
        <w:tc>
          <w:tcPr>
            <w:tcW w:w="0" w:type="auto"/>
            <w:vAlign w:val="center"/>
          </w:tcPr>
          <w:p w14:paraId="1B32D958"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3514</w:t>
            </w:r>
          </w:p>
        </w:tc>
        <w:tc>
          <w:tcPr>
            <w:tcW w:w="0" w:type="auto"/>
            <w:vAlign w:val="center"/>
          </w:tcPr>
          <w:p w14:paraId="08C8C9A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0.047</w:t>
            </w:r>
          </w:p>
        </w:tc>
      </w:tr>
      <w:tr w:rsidR="00091DF8" w:rsidRPr="00074F17" w14:paraId="20FF699F" w14:textId="77777777" w:rsidTr="004029ED">
        <w:trPr>
          <w:trHeight w:val="227"/>
          <w:jc w:val="center"/>
        </w:trPr>
        <w:tc>
          <w:tcPr>
            <w:tcW w:w="0" w:type="auto"/>
            <w:vMerge/>
            <w:vAlign w:val="center"/>
          </w:tcPr>
          <w:p w14:paraId="55EAAB3C" w14:textId="77777777" w:rsidR="00091DF8" w:rsidRPr="001E7FEC" w:rsidRDefault="00091DF8" w:rsidP="00E24FD5">
            <w:pPr>
              <w:contextualSpacing/>
              <w:rPr>
                <w:rFonts w:ascii="Arial" w:hAnsi="Arial" w:cs="Arial"/>
                <w:sz w:val="16"/>
                <w:szCs w:val="16"/>
              </w:rPr>
            </w:pPr>
          </w:p>
        </w:tc>
        <w:tc>
          <w:tcPr>
            <w:tcW w:w="0" w:type="auto"/>
            <w:vAlign w:val="center"/>
          </w:tcPr>
          <w:p w14:paraId="26B7F477"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S019</w:t>
            </w:r>
          </w:p>
        </w:tc>
        <w:tc>
          <w:tcPr>
            <w:tcW w:w="0" w:type="auto"/>
            <w:vAlign w:val="center"/>
          </w:tcPr>
          <w:p w14:paraId="7A2A40A2"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47° 56.74'</w:t>
            </w:r>
          </w:p>
        </w:tc>
        <w:tc>
          <w:tcPr>
            <w:tcW w:w="0" w:type="auto"/>
            <w:vAlign w:val="center"/>
          </w:tcPr>
          <w:p w14:paraId="41FE8B06"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46.94'</w:t>
            </w:r>
          </w:p>
        </w:tc>
        <w:tc>
          <w:tcPr>
            <w:tcW w:w="0" w:type="auto"/>
            <w:vAlign w:val="center"/>
          </w:tcPr>
          <w:p w14:paraId="5D284EE7"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3505</w:t>
            </w:r>
          </w:p>
        </w:tc>
        <w:tc>
          <w:tcPr>
            <w:tcW w:w="0" w:type="auto"/>
            <w:vAlign w:val="center"/>
          </w:tcPr>
          <w:p w14:paraId="6E67D912"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0.063</w:t>
            </w:r>
          </w:p>
        </w:tc>
      </w:tr>
      <w:tr w:rsidR="00091DF8" w:rsidRPr="00074F17" w14:paraId="4BDD1615" w14:textId="77777777" w:rsidTr="004029ED">
        <w:trPr>
          <w:trHeight w:val="227"/>
          <w:jc w:val="center"/>
        </w:trPr>
        <w:tc>
          <w:tcPr>
            <w:tcW w:w="0" w:type="auto"/>
            <w:vMerge/>
            <w:vAlign w:val="center"/>
          </w:tcPr>
          <w:p w14:paraId="0183C9C3" w14:textId="77777777" w:rsidR="00091DF8" w:rsidRPr="001E7FEC" w:rsidRDefault="00091DF8" w:rsidP="00E24FD5">
            <w:pPr>
              <w:contextualSpacing/>
              <w:rPr>
                <w:rFonts w:ascii="Arial" w:hAnsi="Arial" w:cs="Arial"/>
                <w:sz w:val="16"/>
                <w:szCs w:val="16"/>
              </w:rPr>
            </w:pPr>
          </w:p>
        </w:tc>
        <w:tc>
          <w:tcPr>
            <w:tcW w:w="0" w:type="auto"/>
            <w:vAlign w:val="center"/>
          </w:tcPr>
          <w:p w14:paraId="37DFFEE1"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S020</w:t>
            </w:r>
          </w:p>
        </w:tc>
        <w:tc>
          <w:tcPr>
            <w:tcW w:w="0" w:type="auto"/>
            <w:vAlign w:val="center"/>
          </w:tcPr>
          <w:p w14:paraId="2741CAB1"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47° 56.78'</w:t>
            </w:r>
          </w:p>
        </w:tc>
        <w:tc>
          <w:tcPr>
            <w:tcW w:w="0" w:type="auto"/>
            <w:vAlign w:val="center"/>
          </w:tcPr>
          <w:p w14:paraId="2209BC26"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46.85'</w:t>
            </w:r>
          </w:p>
        </w:tc>
        <w:tc>
          <w:tcPr>
            <w:tcW w:w="0" w:type="auto"/>
            <w:vAlign w:val="center"/>
          </w:tcPr>
          <w:p w14:paraId="6A83BB18"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3514</w:t>
            </w:r>
          </w:p>
        </w:tc>
        <w:tc>
          <w:tcPr>
            <w:tcW w:w="0" w:type="auto"/>
            <w:vAlign w:val="center"/>
          </w:tcPr>
          <w:p w14:paraId="5AAD77E3"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0.055</w:t>
            </w:r>
          </w:p>
        </w:tc>
      </w:tr>
      <w:tr w:rsidR="00091DF8" w:rsidRPr="00074F17" w14:paraId="67F4122B" w14:textId="77777777" w:rsidTr="004029ED">
        <w:trPr>
          <w:trHeight w:val="227"/>
          <w:jc w:val="center"/>
        </w:trPr>
        <w:tc>
          <w:tcPr>
            <w:tcW w:w="0" w:type="auto"/>
            <w:vMerge/>
            <w:vAlign w:val="center"/>
          </w:tcPr>
          <w:p w14:paraId="7BA4FC91" w14:textId="77777777" w:rsidR="00091DF8" w:rsidRPr="001E7FEC" w:rsidRDefault="00091DF8" w:rsidP="00E24FD5">
            <w:pPr>
              <w:contextualSpacing/>
              <w:rPr>
                <w:rFonts w:ascii="Arial" w:hAnsi="Arial" w:cs="Arial"/>
                <w:sz w:val="16"/>
                <w:szCs w:val="16"/>
              </w:rPr>
            </w:pPr>
          </w:p>
        </w:tc>
        <w:tc>
          <w:tcPr>
            <w:tcW w:w="0" w:type="auto"/>
            <w:vAlign w:val="center"/>
          </w:tcPr>
          <w:p w14:paraId="037A37D2" w14:textId="77777777" w:rsidR="00091DF8" w:rsidRPr="001E7FEC" w:rsidRDefault="00091DF8" w:rsidP="00E24FD5">
            <w:pPr>
              <w:jc w:val="center"/>
              <w:rPr>
                <w:rFonts w:ascii="Arial" w:hAnsi="Arial" w:cs="Arial"/>
                <w:sz w:val="16"/>
                <w:szCs w:val="16"/>
              </w:rPr>
            </w:pPr>
          </w:p>
        </w:tc>
        <w:tc>
          <w:tcPr>
            <w:tcW w:w="0" w:type="auto"/>
            <w:vAlign w:val="center"/>
          </w:tcPr>
          <w:p w14:paraId="02BC318F" w14:textId="77777777" w:rsidR="00091DF8" w:rsidRPr="001E7FEC" w:rsidRDefault="00091DF8" w:rsidP="00E24FD5">
            <w:pPr>
              <w:jc w:val="center"/>
              <w:rPr>
                <w:rFonts w:ascii="Arial" w:hAnsi="Arial" w:cs="Arial"/>
                <w:sz w:val="16"/>
                <w:szCs w:val="16"/>
              </w:rPr>
            </w:pPr>
          </w:p>
        </w:tc>
        <w:tc>
          <w:tcPr>
            <w:tcW w:w="0" w:type="auto"/>
            <w:vAlign w:val="center"/>
          </w:tcPr>
          <w:p w14:paraId="08C5EC41" w14:textId="77777777" w:rsidR="00091DF8" w:rsidRPr="001E7FEC" w:rsidRDefault="00091DF8" w:rsidP="00E24FD5">
            <w:pPr>
              <w:jc w:val="center"/>
              <w:rPr>
                <w:rFonts w:ascii="Arial" w:hAnsi="Arial" w:cs="Arial"/>
                <w:sz w:val="16"/>
                <w:szCs w:val="16"/>
              </w:rPr>
            </w:pPr>
          </w:p>
        </w:tc>
        <w:tc>
          <w:tcPr>
            <w:tcW w:w="0" w:type="auto"/>
            <w:vAlign w:val="center"/>
          </w:tcPr>
          <w:p w14:paraId="2C054106" w14:textId="77777777" w:rsidR="00091DF8" w:rsidRPr="001E7FEC" w:rsidRDefault="00091DF8" w:rsidP="00E24FD5">
            <w:pPr>
              <w:jc w:val="center"/>
              <w:rPr>
                <w:rFonts w:ascii="Arial" w:hAnsi="Arial" w:cs="Arial"/>
                <w:sz w:val="16"/>
                <w:szCs w:val="16"/>
              </w:rPr>
            </w:pPr>
          </w:p>
        </w:tc>
        <w:tc>
          <w:tcPr>
            <w:tcW w:w="0" w:type="auto"/>
            <w:vAlign w:val="center"/>
          </w:tcPr>
          <w:p w14:paraId="609C519E" w14:textId="77777777" w:rsidR="00091DF8" w:rsidRPr="001E7FEC" w:rsidRDefault="00091DF8" w:rsidP="00E24FD5">
            <w:pPr>
              <w:jc w:val="center"/>
              <w:rPr>
                <w:rFonts w:ascii="Arial" w:hAnsi="Arial" w:cs="Arial"/>
                <w:sz w:val="16"/>
                <w:szCs w:val="16"/>
              </w:rPr>
            </w:pPr>
          </w:p>
        </w:tc>
      </w:tr>
      <w:tr w:rsidR="00091DF8" w:rsidRPr="00074F17" w14:paraId="2D52C445" w14:textId="77777777" w:rsidTr="004029ED">
        <w:trPr>
          <w:trHeight w:val="227"/>
          <w:jc w:val="center"/>
        </w:trPr>
        <w:tc>
          <w:tcPr>
            <w:tcW w:w="0" w:type="auto"/>
            <w:vMerge w:val="restart"/>
            <w:vAlign w:val="center"/>
          </w:tcPr>
          <w:p w14:paraId="1969F635" w14:textId="77777777" w:rsidR="00091DF8" w:rsidRPr="001E7FEC" w:rsidRDefault="00091DF8" w:rsidP="00E24FD5">
            <w:pPr>
              <w:rPr>
                <w:rFonts w:ascii="Arial" w:hAnsi="Arial" w:cs="Arial"/>
                <w:sz w:val="16"/>
                <w:szCs w:val="16"/>
              </w:rPr>
            </w:pPr>
            <w:r w:rsidRPr="001E7FEC">
              <w:rPr>
                <w:rFonts w:ascii="Arial" w:hAnsi="Arial" w:cs="Arial"/>
                <w:sz w:val="16"/>
                <w:szCs w:val="16"/>
              </w:rPr>
              <w:t>Western</w:t>
            </w:r>
          </w:p>
        </w:tc>
        <w:tc>
          <w:tcPr>
            <w:tcW w:w="0" w:type="auto"/>
            <w:vAlign w:val="center"/>
          </w:tcPr>
          <w:p w14:paraId="11170907"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W002</w:t>
            </w:r>
          </w:p>
        </w:tc>
        <w:tc>
          <w:tcPr>
            <w:tcW w:w="0" w:type="auto"/>
            <w:vAlign w:val="center"/>
          </w:tcPr>
          <w:p w14:paraId="3BC206BE"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48° 09.18'</w:t>
            </w:r>
          </w:p>
        </w:tc>
        <w:tc>
          <w:tcPr>
            <w:tcW w:w="0" w:type="auto"/>
            <w:vAlign w:val="center"/>
          </w:tcPr>
          <w:p w14:paraId="1D897F84"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33.70'</w:t>
            </w:r>
          </w:p>
        </w:tc>
        <w:tc>
          <w:tcPr>
            <w:tcW w:w="0" w:type="auto"/>
            <w:vAlign w:val="center"/>
          </w:tcPr>
          <w:p w14:paraId="3EEDB249"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3670</w:t>
            </w:r>
          </w:p>
        </w:tc>
        <w:tc>
          <w:tcPr>
            <w:tcW w:w="0" w:type="auto"/>
            <w:vAlign w:val="center"/>
          </w:tcPr>
          <w:p w14:paraId="3FDD715D"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0.063</w:t>
            </w:r>
          </w:p>
        </w:tc>
      </w:tr>
      <w:tr w:rsidR="00091DF8" w:rsidRPr="00074F17" w14:paraId="3BF6AA5F" w14:textId="77777777" w:rsidTr="004029ED">
        <w:trPr>
          <w:trHeight w:val="227"/>
          <w:jc w:val="center"/>
        </w:trPr>
        <w:tc>
          <w:tcPr>
            <w:tcW w:w="0" w:type="auto"/>
            <w:vMerge/>
            <w:vAlign w:val="center"/>
          </w:tcPr>
          <w:p w14:paraId="5B40497B" w14:textId="77777777" w:rsidR="00091DF8" w:rsidRPr="001E7FEC" w:rsidRDefault="00091DF8" w:rsidP="00E24FD5">
            <w:pPr>
              <w:contextualSpacing/>
              <w:rPr>
                <w:rFonts w:ascii="Arial" w:hAnsi="Arial" w:cs="Arial"/>
                <w:sz w:val="16"/>
                <w:szCs w:val="16"/>
              </w:rPr>
            </w:pPr>
          </w:p>
        </w:tc>
        <w:tc>
          <w:tcPr>
            <w:tcW w:w="0" w:type="auto"/>
            <w:vAlign w:val="center"/>
          </w:tcPr>
          <w:p w14:paraId="4C4FD949"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W003</w:t>
            </w:r>
          </w:p>
        </w:tc>
        <w:tc>
          <w:tcPr>
            <w:tcW w:w="0" w:type="auto"/>
            <w:vAlign w:val="center"/>
          </w:tcPr>
          <w:p w14:paraId="2E4FAB0C"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48° 09.17'</w:t>
            </w:r>
          </w:p>
        </w:tc>
        <w:tc>
          <w:tcPr>
            <w:tcW w:w="0" w:type="auto"/>
            <w:vAlign w:val="center"/>
          </w:tcPr>
          <w:p w14:paraId="4161C9EB"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33.70'</w:t>
            </w:r>
          </w:p>
        </w:tc>
        <w:tc>
          <w:tcPr>
            <w:tcW w:w="0" w:type="auto"/>
            <w:vAlign w:val="center"/>
          </w:tcPr>
          <w:p w14:paraId="5F8C1F0D"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3661</w:t>
            </w:r>
          </w:p>
        </w:tc>
        <w:tc>
          <w:tcPr>
            <w:tcW w:w="0" w:type="auto"/>
            <w:vAlign w:val="center"/>
          </w:tcPr>
          <w:p w14:paraId="1D901808"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0.055</w:t>
            </w:r>
          </w:p>
        </w:tc>
      </w:tr>
      <w:tr w:rsidR="00091DF8" w:rsidRPr="00074F17" w14:paraId="28BFBC5F" w14:textId="77777777" w:rsidTr="004029ED">
        <w:trPr>
          <w:trHeight w:val="227"/>
          <w:jc w:val="center"/>
        </w:trPr>
        <w:tc>
          <w:tcPr>
            <w:tcW w:w="0" w:type="auto"/>
            <w:vMerge/>
            <w:vAlign w:val="center"/>
          </w:tcPr>
          <w:p w14:paraId="00F2D296" w14:textId="77777777" w:rsidR="00091DF8" w:rsidRPr="001E7FEC" w:rsidRDefault="00091DF8" w:rsidP="00E24FD5">
            <w:pPr>
              <w:contextualSpacing/>
              <w:rPr>
                <w:rFonts w:ascii="Arial" w:hAnsi="Arial" w:cs="Arial"/>
                <w:sz w:val="16"/>
                <w:szCs w:val="16"/>
              </w:rPr>
            </w:pPr>
          </w:p>
        </w:tc>
        <w:tc>
          <w:tcPr>
            <w:tcW w:w="0" w:type="auto"/>
            <w:vAlign w:val="center"/>
          </w:tcPr>
          <w:p w14:paraId="7E857052"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W011</w:t>
            </w:r>
          </w:p>
        </w:tc>
        <w:tc>
          <w:tcPr>
            <w:tcW w:w="0" w:type="auto"/>
            <w:vAlign w:val="center"/>
          </w:tcPr>
          <w:p w14:paraId="603303F5"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48° 09.22'</w:t>
            </w:r>
          </w:p>
        </w:tc>
        <w:tc>
          <w:tcPr>
            <w:tcW w:w="0" w:type="auto"/>
            <w:vAlign w:val="center"/>
          </w:tcPr>
          <w:p w14:paraId="202BB149"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32.36'</w:t>
            </w:r>
          </w:p>
        </w:tc>
        <w:tc>
          <w:tcPr>
            <w:tcW w:w="0" w:type="auto"/>
            <w:vAlign w:val="center"/>
          </w:tcPr>
          <w:p w14:paraId="473D0AD8"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3582</w:t>
            </w:r>
          </w:p>
        </w:tc>
        <w:tc>
          <w:tcPr>
            <w:tcW w:w="0" w:type="auto"/>
            <w:vAlign w:val="center"/>
          </w:tcPr>
          <w:p w14:paraId="0BD5EBB2"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0.047</w:t>
            </w:r>
          </w:p>
        </w:tc>
      </w:tr>
      <w:tr w:rsidR="00091DF8" w:rsidRPr="00074F17" w14:paraId="5A65D926" w14:textId="77777777" w:rsidTr="004029ED">
        <w:trPr>
          <w:trHeight w:val="227"/>
          <w:jc w:val="center"/>
        </w:trPr>
        <w:tc>
          <w:tcPr>
            <w:tcW w:w="0" w:type="auto"/>
            <w:vMerge/>
            <w:vAlign w:val="center"/>
          </w:tcPr>
          <w:p w14:paraId="5EAA3E89" w14:textId="77777777" w:rsidR="00091DF8" w:rsidRPr="001E7FEC" w:rsidRDefault="00091DF8" w:rsidP="00E24FD5">
            <w:pPr>
              <w:contextualSpacing/>
              <w:rPr>
                <w:rFonts w:ascii="Arial" w:hAnsi="Arial" w:cs="Arial"/>
                <w:sz w:val="16"/>
                <w:szCs w:val="16"/>
              </w:rPr>
            </w:pPr>
          </w:p>
        </w:tc>
        <w:tc>
          <w:tcPr>
            <w:tcW w:w="0" w:type="auto"/>
            <w:vAlign w:val="center"/>
          </w:tcPr>
          <w:p w14:paraId="442DE62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W026</w:t>
            </w:r>
          </w:p>
        </w:tc>
        <w:tc>
          <w:tcPr>
            <w:tcW w:w="0" w:type="auto"/>
            <w:vAlign w:val="center"/>
          </w:tcPr>
          <w:p w14:paraId="2FE47FCD"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48° 09.18'</w:t>
            </w:r>
          </w:p>
        </w:tc>
        <w:tc>
          <w:tcPr>
            <w:tcW w:w="0" w:type="auto"/>
            <w:vAlign w:val="center"/>
          </w:tcPr>
          <w:p w14:paraId="6C07B66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33.73'</w:t>
            </w:r>
          </w:p>
        </w:tc>
        <w:tc>
          <w:tcPr>
            <w:tcW w:w="0" w:type="auto"/>
            <w:vAlign w:val="center"/>
          </w:tcPr>
          <w:p w14:paraId="7EEEADC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3670</w:t>
            </w:r>
          </w:p>
        </w:tc>
        <w:tc>
          <w:tcPr>
            <w:tcW w:w="0" w:type="auto"/>
            <w:vAlign w:val="center"/>
          </w:tcPr>
          <w:p w14:paraId="258E2D2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0.039</w:t>
            </w:r>
          </w:p>
        </w:tc>
      </w:tr>
      <w:tr w:rsidR="00091DF8" w:rsidRPr="00074F17" w14:paraId="03D66277" w14:textId="77777777" w:rsidTr="004029ED">
        <w:trPr>
          <w:trHeight w:val="227"/>
          <w:jc w:val="center"/>
        </w:trPr>
        <w:tc>
          <w:tcPr>
            <w:tcW w:w="0" w:type="auto"/>
            <w:vMerge/>
            <w:vAlign w:val="center"/>
          </w:tcPr>
          <w:p w14:paraId="10486D4F" w14:textId="77777777" w:rsidR="00091DF8" w:rsidRPr="001E7FEC" w:rsidRDefault="00091DF8" w:rsidP="00E24FD5">
            <w:pPr>
              <w:contextualSpacing/>
              <w:rPr>
                <w:rFonts w:ascii="Arial" w:hAnsi="Arial" w:cs="Arial"/>
                <w:sz w:val="16"/>
                <w:szCs w:val="16"/>
              </w:rPr>
            </w:pPr>
          </w:p>
        </w:tc>
        <w:tc>
          <w:tcPr>
            <w:tcW w:w="0" w:type="auto"/>
            <w:vAlign w:val="center"/>
          </w:tcPr>
          <w:p w14:paraId="459635C2"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W043</w:t>
            </w:r>
          </w:p>
        </w:tc>
        <w:tc>
          <w:tcPr>
            <w:tcW w:w="0" w:type="auto"/>
            <w:vAlign w:val="center"/>
          </w:tcPr>
          <w:p w14:paraId="2E9926F3"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48° 09.15'</w:t>
            </w:r>
          </w:p>
        </w:tc>
        <w:tc>
          <w:tcPr>
            <w:tcW w:w="0" w:type="auto"/>
            <w:vAlign w:val="center"/>
          </w:tcPr>
          <w:p w14:paraId="4477F917"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33.76'</w:t>
            </w:r>
          </w:p>
        </w:tc>
        <w:tc>
          <w:tcPr>
            <w:tcW w:w="0" w:type="auto"/>
            <w:vAlign w:val="center"/>
          </w:tcPr>
          <w:p w14:paraId="499BC5C4"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3657</w:t>
            </w:r>
          </w:p>
        </w:tc>
        <w:tc>
          <w:tcPr>
            <w:tcW w:w="0" w:type="auto"/>
            <w:vAlign w:val="center"/>
          </w:tcPr>
          <w:p w14:paraId="77FEC4F2"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0.047</w:t>
            </w:r>
          </w:p>
        </w:tc>
      </w:tr>
      <w:tr w:rsidR="00091DF8" w:rsidRPr="00074F17" w14:paraId="73830BC5" w14:textId="77777777" w:rsidTr="004029ED">
        <w:trPr>
          <w:trHeight w:val="227"/>
          <w:jc w:val="center"/>
        </w:trPr>
        <w:tc>
          <w:tcPr>
            <w:tcW w:w="0" w:type="auto"/>
            <w:vMerge/>
            <w:vAlign w:val="center"/>
          </w:tcPr>
          <w:p w14:paraId="528C2E18" w14:textId="77777777" w:rsidR="00091DF8" w:rsidRPr="001E7FEC" w:rsidRDefault="00091DF8" w:rsidP="00E24FD5">
            <w:pPr>
              <w:contextualSpacing/>
              <w:rPr>
                <w:rFonts w:ascii="Arial" w:hAnsi="Arial" w:cs="Arial"/>
                <w:sz w:val="16"/>
                <w:szCs w:val="16"/>
              </w:rPr>
            </w:pPr>
          </w:p>
        </w:tc>
        <w:tc>
          <w:tcPr>
            <w:tcW w:w="0" w:type="auto"/>
            <w:vAlign w:val="center"/>
          </w:tcPr>
          <w:p w14:paraId="66D137C4" w14:textId="77777777" w:rsidR="00091DF8" w:rsidRPr="001E7FEC" w:rsidRDefault="00091DF8" w:rsidP="00E24FD5">
            <w:pPr>
              <w:jc w:val="center"/>
              <w:rPr>
                <w:rFonts w:ascii="Arial" w:hAnsi="Arial" w:cs="Arial"/>
                <w:sz w:val="16"/>
                <w:szCs w:val="16"/>
              </w:rPr>
            </w:pPr>
          </w:p>
        </w:tc>
        <w:tc>
          <w:tcPr>
            <w:tcW w:w="0" w:type="auto"/>
            <w:vAlign w:val="center"/>
          </w:tcPr>
          <w:p w14:paraId="03554D5F" w14:textId="77777777" w:rsidR="00091DF8" w:rsidRPr="001E7FEC" w:rsidRDefault="00091DF8" w:rsidP="00E24FD5">
            <w:pPr>
              <w:jc w:val="center"/>
              <w:rPr>
                <w:rFonts w:ascii="Arial" w:hAnsi="Arial" w:cs="Arial"/>
                <w:sz w:val="16"/>
                <w:szCs w:val="16"/>
              </w:rPr>
            </w:pPr>
          </w:p>
        </w:tc>
        <w:tc>
          <w:tcPr>
            <w:tcW w:w="0" w:type="auto"/>
            <w:vAlign w:val="center"/>
          </w:tcPr>
          <w:p w14:paraId="7A85EFF4" w14:textId="77777777" w:rsidR="00091DF8" w:rsidRPr="001E7FEC" w:rsidRDefault="00091DF8" w:rsidP="00E24FD5">
            <w:pPr>
              <w:jc w:val="center"/>
              <w:rPr>
                <w:rFonts w:ascii="Arial" w:hAnsi="Arial" w:cs="Arial"/>
                <w:sz w:val="16"/>
                <w:szCs w:val="16"/>
              </w:rPr>
            </w:pPr>
          </w:p>
        </w:tc>
        <w:tc>
          <w:tcPr>
            <w:tcW w:w="0" w:type="auto"/>
            <w:vAlign w:val="center"/>
          </w:tcPr>
          <w:p w14:paraId="7F53578E" w14:textId="77777777" w:rsidR="00091DF8" w:rsidRPr="001E7FEC" w:rsidRDefault="00091DF8" w:rsidP="00E24FD5">
            <w:pPr>
              <w:jc w:val="center"/>
              <w:rPr>
                <w:rFonts w:ascii="Arial" w:hAnsi="Arial" w:cs="Arial"/>
                <w:sz w:val="16"/>
                <w:szCs w:val="16"/>
              </w:rPr>
            </w:pPr>
          </w:p>
        </w:tc>
        <w:tc>
          <w:tcPr>
            <w:tcW w:w="0" w:type="auto"/>
            <w:vAlign w:val="center"/>
          </w:tcPr>
          <w:p w14:paraId="3B52D35B" w14:textId="77777777" w:rsidR="00091DF8" w:rsidRPr="001E7FEC" w:rsidRDefault="00091DF8" w:rsidP="00E24FD5">
            <w:pPr>
              <w:jc w:val="center"/>
              <w:rPr>
                <w:rFonts w:ascii="Arial" w:hAnsi="Arial" w:cs="Arial"/>
                <w:sz w:val="16"/>
                <w:szCs w:val="16"/>
              </w:rPr>
            </w:pPr>
          </w:p>
        </w:tc>
      </w:tr>
      <w:tr w:rsidR="00091DF8" w:rsidRPr="00074F17" w14:paraId="31A73871" w14:textId="77777777" w:rsidTr="004029ED">
        <w:trPr>
          <w:trHeight w:val="227"/>
          <w:jc w:val="center"/>
        </w:trPr>
        <w:tc>
          <w:tcPr>
            <w:tcW w:w="0" w:type="auto"/>
            <w:vMerge w:val="restart"/>
            <w:vAlign w:val="center"/>
          </w:tcPr>
          <w:p w14:paraId="056769E0" w14:textId="77777777" w:rsidR="00091DF8" w:rsidRPr="001E7FEC" w:rsidRDefault="00091DF8" w:rsidP="00E24FD5">
            <w:pPr>
              <w:rPr>
                <w:rFonts w:ascii="Arial" w:hAnsi="Arial" w:cs="Arial"/>
                <w:sz w:val="16"/>
                <w:szCs w:val="16"/>
              </w:rPr>
            </w:pPr>
            <w:r w:rsidRPr="001E7FEC">
              <w:rPr>
                <w:rFonts w:ascii="Arial" w:hAnsi="Arial" w:cs="Arial"/>
                <w:sz w:val="16"/>
                <w:szCs w:val="16"/>
              </w:rPr>
              <w:t>Central</w:t>
            </w:r>
          </w:p>
        </w:tc>
        <w:tc>
          <w:tcPr>
            <w:tcW w:w="0" w:type="auto"/>
            <w:vAlign w:val="center"/>
          </w:tcPr>
          <w:p w14:paraId="6B5559A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C063</w:t>
            </w:r>
          </w:p>
        </w:tc>
        <w:tc>
          <w:tcPr>
            <w:tcW w:w="0" w:type="auto"/>
            <w:vAlign w:val="center"/>
          </w:tcPr>
          <w:p w14:paraId="445DBDCD"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48° 16.89'</w:t>
            </w:r>
          </w:p>
        </w:tc>
        <w:tc>
          <w:tcPr>
            <w:tcW w:w="0" w:type="auto"/>
            <w:vAlign w:val="center"/>
          </w:tcPr>
          <w:p w14:paraId="5B4742CE"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18.74'</w:t>
            </w:r>
          </w:p>
        </w:tc>
        <w:tc>
          <w:tcPr>
            <w:tcW w:w="0" w:type="auto"/>
            <w:vAlign w:val="center"/>
          </w:tcPr>
          <w:p w14:paraId="57DAB0CD"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3375</w:t>
            </w:r>
          </w:p>
        </w:tc>
        <w:tc>
          <w:tcPr>
            <w:tcW w:w="0" w:type="auto"/>
            <w:vAlign w:val="center"/>
          </w:tcPr>
          <w:p w14:paraId="7BBD8BC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0.047</w:t>
            </w:r>
          </w:p>
        </w:tc>
      </w:tr>
      <w:tr w:rsidR="00091DF8" w:rsidRPr="00074F17" w14:paraId="2EF80201" w14:textId="77777777" w:rsidTr="004029ED">
        <w:trPr>
          <w:trHeight w:val="227"/>
          <w:jc w:val="center"/>
        </w:trPr>
        <w:tc>
          <w:tcPr>
            <w:tcW w:w="0" w:type="auto"/>
            <w:vMerge/>
            <w:vAlign w:val="center"/>
          </w:tcPr>
          <w:p w14:paraId="772D0BE8" w14:textId="77777777" w:rsidR="00091DF8" w:rsidRPr="001E7FEC" w:rsidRDefault="00091DF8" w:rsidP="00E24FD5">
            <w:pPr>
              <w:contextualSpacing/>
              <w:rPr>
                <w:rFonts w:ascii="Arial" w:hAnsi="Arial" w:cs="Arial"/>
                <w:sz w:val="16"/>
                <w:szCs w:val="16"/>
              </w:rPr>
            </w:pPr>
          </w:p>
        </w:tc>
        <w:tc>
          <w:tcPr>
            <w:tcW w:w="0" w:type="auto"/>
            <w:vAlign w:val="center"/>
          </w:tcPr>
          <w:p w14:paraId="162EC0B7"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C064</w:t>
            </w:r>
          </w:p>
        </w:tc>
        <w:tc>
          <w:tcPr>
            <w:tcW w:w="0" w:type="auto"/>
            <w:vAlign w:val="center"/>
          </w:tcPr>
          <w:p w14:paraId="1AA3E2A8"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48° 16.97'</w:t>
            </w:r>
          </w:p>
        </w:tc>
        <w:tc>
          <w:tcPr>
            <w:tcW w:w="0" w:type="auto"/>
            <w:vAlign w:val="center"/>
          </w:tcPr>
          <w:p w14:paraId="1C3B0706"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18.65'</w:t>
            </w:r>
          </w:p>
        </w:tc>
        <w:tc>
          <w:tcPr>
            <w:tcW w:w="0" w:type="auto"/>
            <w:vAlign w:val="center"/>
          </w:tcPr>
          <w:p w14:paraId="1F89294E"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3382</w:t>
            </w:r>
          </w:p>
        </w:tc>
        <w:tc>
          <w:tcPr>
            <w:tcW w:w="0" w:type="auto"/>
            <w:vAlign w:val="center"/>
          </w:tcPr>
          <w:p w14:paraId="6C024AA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0.063</w:t>
            </w:r>
          </w:p>
        </w:tc>
      </w:tr>
      <w:tr w:rsidR="00091DF8" w:rsidRPr="00074F17" w14:paraId="32A5CEF2" w14:textId="77777777" w:rsidTr="004029ED">
        <w:trPr>
          <w:trHeight w:val="227"/>
          <w:jc w:val="center"/>
        </w:trPr>
        <w:tc>
          <w:tcPr>
            <w:tcW w:w="0" w:type="auto"/>
            <w:vMerge/>
            <w:vAlign w:val="center"/>
          </w:tcPr>
          <w:p w14:paraId="7B719F86" w14:textId="77777777" w:rsidR="00091DF8" w:rsidRPr="001E7FEC" w:rsidRDefault="00091DF8" w:rsidP="00E24FD5">
            <w:pPr>
              <w:contextualSpacing/>
              <w:rPr>
                <w:rFonts w:ascii="Arial" w:hAnsi="Arial" w:cs="Arial"/>
                <w:sz w:val="16"/>
                <w:szCs w:val="16"/>
              </w:rPr>
            </w:pPr>
          </w:p>
        </w:tc>
        <w:tc>
          <w:tcPr>
            <w:tcW w:w="0" w:type="auto"/>
            <w:vAlign w:val="center"/>
          </w:tcPr>
          <w:p w14:paraId="5101DC9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C065</w:t>
            </w:r>
          </w:p>
        </w:tc>
        <w:tc>
          <w:tcPr>
            <w:tcW w:w="0" w:type="auto"/>
            <w:vAlign w:val="center"/>
          </w:tcPr>
          <w:p w14:paraId="4F78E2C6"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48° 17.04'</w:t>
            </w:r>
          </w:p>
        </w:tc>
        <w:tc>
          <w:tcPr>
            <w:tcW w:w="0" w:type="auto"/>
            <w:vAlign w:val="center"/>
          </w:tcPr>
          <w:p w14:paraId="6BA0B62C"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18.89'</w:t>
            </w:r>
          </w:p>
        </w:tc>
        <w:tc>
          <w:tcPr>
            <w:tcW w:w="0" w:type="auto"/>
            <w:vAlign w:val="center"/>
          </w:tcPr>
          <w:p w14:paraId="0F799393"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3373</w:t>
            </w:r>
          </w:p>
        </w:tc>
        <w:tc>
          <w:tcPr>
            <w:tcW w:w="0" w:type="auto"/>
            <w:vAlign w:val="center"/>
          </w:tcPr>
          <w:p w14:paraId="461F1CE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0.055</w:t>
            </w:r>
          </w:p>
        </w:tc>
      </w:tr>
      <w:tr w:rsidR="00091DF8" w:rsidRPr="00074F17" w14:paraId="0A7AAC6D" w14:textId="77777777" w:rsidTr="004029ED">
        <w:trPr>
          <w:trHeight w:val="227"/>
          <w:jc w:val="center"/>
        </w:trPr>
        <w:tc>
          <w:tcPr>
            <w:tcW w:w="0" w:type="auto"/>
            <w:vMerge/>
            <w:vAlign w:val="center"/>
          </w:tcPr>
          <w:p w14:paraId="1E00F6C1" w14:textId="77777777" w:rsidR="00091DF8" w:rsidRPr="001E7FEC" w:rsidRDefault="00091DF8" w:rsidP="00E24FD5">
            <w:pPr>
              <w:contextualSpacing/>
              <w:rPr>
                <w:rFonts w:ascii="Arial" w:hAnsi="Arial" w:cs="Arial"/>
                <w:sz w:val="16"/>
                <w:szCs w:val="16"/>
              </w:rPr>
            </w:pPr>
          </w:p>
        </w:tc>
        <w:tc>
          <w:tcPr>
            <w:tcW w:w="0" w:type="auto"/>
            <w:vAlign w:val="center"/>
          </w:tcPr>
          <w:p w14:paraId="2606FF9D"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C067</w:t>
            </w:r>
          </w:p>
        </w:tc>
        <w:tc>
          <w:tcPr>
            <w:tcW w:w="0" w:type="auto"/>
            <w:vAlign w:val="center"/>
          </w:tcPr>
          <w:p w14:paraId="7588F808"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48° 16.98'</w:t>
            </w:r>
          </w:p>
        </w:tc>
        <w:tc>
          <w:tcPr>
            <w:tcW w:w="0" w:type="auto"/>
            <w:vAlign w:val="center"/>
          </w:tcPr>
          <w:p w14:paraId="22A04E7C"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18.72'</w:t>
            </w:r>
          </w:p>
        </w:tc>
        <w:tc>
          <w:tcPr>
            <w:tcW w:w="0" w:type="auto"/>
            <w:vAlign w:val="center"/>
          </w:tcPr>
          <w:p w14:paraId="7AEF9D05"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3376</w:t>
            </w:r>
          </w:p>
        </w:tc>
        <w:tc>
          <w:tcPr>
            <w:tcW w:w="0" w:type="auto"/>
            <w:vAlign w:val="center"/>
          </w:tcPr>
          <w:p w14:paraId="5567CEF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0.055</w:t>
            </w:r>
          </w:p>
        </w:tc>
      </w:tr>
      <w:tr w:rsidR="00091DF8" w:rsidRPr="00074F17" w14:paraId="4E796C2F" w14:textId="77777777" w:rsidTr="004029ED">
        <w:trPr>
          <w:trHeight w:val="227"/>
          <w:jc w:val="center"/>
        </w:trPr>
        <w:tc>
          <w:tcPr>
            <w:tcW w:w="0" w:type="auto"/>
            <w:vMerge/>
            <w:vAlign w:val="center"/>
          </w:tcPr>
          <w:p w14:paraId="1F357FE8" w14:textId="77777777" w:rsidR="00091DF8" w:rsidRPr="001E7FEC" w:rsidRDefault="00091DF8" w:rsidP="00E24FD5">
            <w:pPr>
              <w:contextualSpacing/>
              <w:rPr>
                <w:rFonts w:ascii="Arial" w:hAnsi="Arial" w:cs="Arial"/>
                <w:sz w:val="16"/>
                <w:szCs w:val="16"/>
              </w:rPr>
            </w:pPr>
          </w:p>
        </w:tc>
        <w:tc>
          <w:tcPr>
            <w:tcW w:w="0" w:type="auto"/>
            <w:vAlign w:val="center"/>
          </w:tcPr>
          <w:p w14:paraId="6278A47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C066</w:t>
            </w:r>
          </w:p>
        </w:tc>
        <w:tc>
          <w:tcPr>
            <w:tcW w:w="0" w:type="auto"/>
            <w:vAlign w:val="center"/>
          </w:tcPr>
          <w:p w14:paraId="494B8556"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48° 16.83'</w:t>
            </w:r>
          </w:p>
        </w:tc>
        <w:tc>
          <w:tcPr>
            <w:tcW w:w="0" w:type="auto"/>
            <w:vAlign w:val="center"/>
          </w:tcPr>
          <w:p w14:paraId="71470EF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18.72'</w:t>
            </w:r>
          </w:p>
        </w:tc>
        <w:tc>
          <w:tcPr>
            <w:tcW w:w="0" w:type="auto"/>
            <w:vAlign w:val="center"/>
          </w:tcPr>
          <w:p w14:paraId="4E168BC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3381</w:t>
            </w:r>
          </w:p>
        </w:tc>
        <w:tc>
          <w:tcPr>
            <w:tcW w:w="0" w:type="auto"/>
            <w:vMerge w:val="restart"/>
            <w:vAlign w:val="center"/>
          </w:tcPr>
          <w:p w14:paraId="51FC1333"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 0.063</w:t>
            </w:r>
          </w:p>
        </w:tc>
      </w:tr>
      <w:tr w:rsidR="00091DF8" w:rsidRPr="00074F17" w14:paraId="2BBFF81F" w14:textId="77777777" w:rsidTr="004029ED">
        <w:trPr>
          <w:trHeight w:val="227"/>
          <w:jc w:val="center"/>
        </w:trPr>
        <w:tc>
          <w:tcPr>
            <w:tcW w:w="0" w:type="auto"/>
            <w:vMerge/>
            <w:vAlign w:val="center"/>
          </w:tcPr>
          <w:p w14:paraId="23382D0E" w14:textId="77777777" w:rsidR="00091DF8" w:rsidRPr="001E7FEC" w:rsidRDefault="00091DF8" w:rsidP="00E24FD5">
            <w:pPr>
              <w:contextualSpacing/>
              <w:rPr>
                <w:rFonts w:ascii="Arial" w:hAnsi="Arial" w:cs="Arial"/>
                <w:sz w:val="16"/>
                <w:szCs w:val="16"/>
              </w:rPr>
            </w:pPr>
          </w:p>
        </w:tc>
        <w:tc>
          <w:tcPr>
            <w:tcW w:w="0" w:type="auto"/>
            <w:vAlign w:val="center"/>
          </w:tcPr>
          <w:p w14:paraId="3D252DBB"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C068</w:t>
            </w:r>
          </w:p>
        </w:tc>
        <w:tc>
          <w:tcPr>
            <w:tcW w:w="0" w:type="auto"/>
            <w:vAlign w:val="center"/>
          </w:tcPr>
          <w:p w14:paraId="565828E3"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48° 17.01'</w:t>
            </w:r>
          </w:p>
        </w:tc>
        <w:tc>
          <w:tcPr>
            <w:tcW w:w="0" w:type="auto"/>
            <w:vAlign w:val="center"/>
          </w:tcPr>
          <w:p w14:paraId="0F257106"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18.83'</w:t>
            </w:r>
          </w:p>
        </w:tc>
        <w:tc>
          <w:tcPr>
            <w:tcW w:w="0" w:type="auto"/>
            <w:vAlign w:val="center"/>
          </w:tcPr>
          <w:p w14:paraId="2A6D9D84"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3375</w:t>
            </w:r>
          </w:p>
        </w:tc>
        <w:tc>
          <w:tcPr>
            <w:tcW w:w="0" w:type="auto"/>
            <w:vMerge/>
            <w:vAlign w:val="center"/>
          </w:tcPr>
          <w:p w14:paraId="4A409C7B" w14:textId="77777777" w:rsidR="00091DF8" w:rsidRPr="001E7FEC" w:rsidRDefault="00091DF8" w:rsidP="00E24FD5">
            <w:pPr>
              <w:jc w:val="center"/>
              <w:rPr>
                <w:rFonts w:ascii="Arial" w:hAnsi="Arial" w:cs="Arial"/>
                <w:sz w:val="16"/>
                <w:szCs w:val="16"/>
              </w:rPr>
            </w:pPr>
          </w:p>
        </w:tc>
      </w:tr>
      <w:tr w:rsidR="00091DF8" w:rsidRPr="00074F17" w14:paraId="7FB5DA13" w14:textId="77777777" w:rsidTr="004029ED">
        <w:trPr>
          <w:trHeight w:val="227"/>
          <w:jc w:val="center"/>
        </w:trPr>
        <w:tc>
          <w:tcPr>
            <w:tcW w:w="0" w:type="auto"/>
            <w:vMerge/>
            <w:vAlign w:val="center"/>
          </w:tcPr>
          <w:p w14:paraId="7E9E8424" w14:textId="77777777" w:rsidR="00091DF8" w:rsidRPr="001E7FEC" w:rsidRDefault="00091DF8" w:rsidP="00E24FD5">
            <w:pPr>
              <w:contextualSpacing/>
              <w:rPr>
                <w:rFonts w:ascii="Arial" w:hAnsi="Arial" w:cs="Arial"/>
                <w:sz w:val="16"/>
                <w:szCs w:val="16"/>
              </w:rPr>
            </w:pPr>
          </w:p>
        </w:tc>
        <w:tc>
          <w:tcPr>
            <w:tcW w:w="0" w:type="auto"/>
            <w:vAlign w:val="center"/>
          </w:tcPr>
          <w:p w14:paraId="224052D7" w14:textId="77777777" w:rsidR="00091DF8" w:rsidRPr="001E7FEC" w:rsidRDefault="00091DF8" w:rsidP="00E24FD5">
            <w:pPr>
              <w:jc w:val="center"/>
              <w:rPr>
                <w:rFonts w:ascii="Arial" w:hAnsi="Arial" w:cs="Arial"/>
                <w:sz w:val="16"/>
                <w:szCs w:val="16"/>
              </w:rPr>
            </w:pPr>
          </w:p>
        </w:tc>
        <w:tc>
          <w:tcPr>
            <w:tcW w:w="0" w:type="auto"/>
            <w:vAlign w:val="center"/>
          </w:tcPr>
          <w:p w14:paraId="18B6BC07" w14:textId="77777777" w:rsidR="00091DF8" w:rsidRPr="001E7FEC" w:rsidRDefault="00091DF8" w:rsidP="00E24FD5">
            <w:pPr>
              <w:jc w:val="center"/>
              <w:rPr>
                <w:rFonts w:ascii="Arial" w:hAnsi="Arial" w:cs="Arial"/>
                <w:sz w:val="16"/>
                <w:szCs w:val="16"/>
              </w:rPr>
            </w:pPr>
          </w:p>
        </w:tc>
        <w:tc>
          <w:tcPr>
            <w:tcW w:w="0" w:type="auto"/>
            <w:vAlign w:val="center"/>
          </w:tcPr>
          <w:p w14:paraId="35581BAE" w14:textId="77777777" w:rsidR="00091DF8" w:rsidRPr="001E7FEC" w:rsidRDefault="00091DF8" w:rsidP="00E24FD5">
            <w:pPr>
              <w:jc w:val="center"/>
              <w:rPr>
                <w:rFonts w:ascii="Arial" w:hAnsi="Arial" w:cs="Arial"/>
                <w:sz w:val="16"/>
                <w:szCs w:val="16"/>
              </w:rPr>
            </w:pPr>
          </w:p>
        </w:tc>
        <w:tc>
          <w:tcPr>
            <w:tcW w:w="0" w:type="auto"/>
            <w:vAlign w:val="center"/>
          </w:tcPr>
          <w:p w14:paraId="102AB276" w14:textId="77777777" w:rsidR="00091DF8" w:rsidRPr="001E7FEC" w:rsidRDefault="00091DF8" w:rsidP="00E24FD5">
            <w:pPr>
              <w:jc w:val="center"/>
              <w:rPr>
                <w:rFonts w:ascii="Arial" w:hAnsi="Arial" w:cs="Arial"/>
                <w:sz w:val="16"/>
                <w:szCs w:val="16"/>
              </w:rPr>
            </w:pPr>
          </w:p>
        </w:tc>
        <w:tc>
          <w:tcPr>
            <w:tcW w:w="0" w:type="auto"/>
            <w:vAlign w:val="center"/>
          </w:tcPr>
          <w:p w14:paraId="510D20F3" w14:textId="77777777" w:rsidR="00091DF8" w:rsidRPr="001E7FEC" w:rsidRDefault="00091DF8" w:rsidP="00E24FD5">
            <w:pPr>
              <w:jc w:val="center"/>
              <w:rPr>
                <w:rFonts w:ascii="Arial" w:hAnsi="Arial" w:cs="Arial"/>
                <w:sz w:val="16"/>
                <w:szCs w:val="16"/>
              </w:rPr>
            </w:pPr>
          </w:p>
        </w:tc>
      </w:tr>
      <w:tr w:rsidR="00091DF8" w:rsidRPr="00074F17" w14:paraId="11FF897D" w14:textId="77777777" w:rsidTr="004029ED">
        <w:trPr>
          <w:trHeight w:val="227"/>
          <w:jc w:val="center"/>
        </w:trPr>
        <w:tc>
          <w:tcPr>
            <w:tcW w:w="0" w:type="auto"/>
            <w:vMerge w:val="restart"/>
            <w:vAlign w:val="center"/>
          </w:tcPr>
          <w:p w14:paraId="7E7BF5E5" w14:textId="77777777" w:rsidR="00091DF8" w:rsidRPr="001E7FEC" w:rsidRDefault="00091DF8" w:rsidP="00E24FD5">
            <w:pPr>
              <w:rPr>
                <w:rFonts w:ascii="Arial" w:hAnsi="Arial" w:cs="Arial"/>
                <w:sz w:val="16"/>
                <w:szCs w:val="16"/>
              </w:rPr>
            </w:pPr>
            <w:r w:rsidRPr="001E7FEC">
              <w:rPr>
                <w:rFonts w:ascii="Arial" w:hAnsi="Arial" w:cs="Arial"/>
                <w:sz w:val="16"/>
                <w:szCs w:val="16"/>
              </w:rPr>
              <w:t>Eastern</w:t>
            </w:r>
          </w:p>
        </w:tc>
        <w:tc>
          <w:tcPr>
            <w:tcW w:w="0" w:type="auto"/>
            <w:vAlign w:val="center"/>
          </w:tcPr>
          <w:p w14:paraId="74956114"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E093</w:t>
            </w:r>
          </w:p>
        </w:tc>
        <w:tc>
          <w:tcPr>
            <w:tcW w:w="0" w:type="auto"/>
            <w:vAlign w:val="center"/>
          </w:tcPr>
          <w:p w14:paraId="21BA2518"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48° 15.89'</w:t>
            </w:r>
          </w:p>
        </w:tc>
        <w:tc>
          <w:tcPr>
            <w:tcW w:w="0" w:type="auto"/>
            <w:vAlign w:val="center"/>
          </w:tcPr>
          <w:p w14:paraId="7D2DC1B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09.56'</w:t>
            </w:r>
          </w:p>
        </w:tc>
        <w:tc>
          <w:tcPr>
            <w:tcW w:w="0" w:type="auto"/>
            <w:vAlign w:val="center"/>
          </w:tcPr>
          <w:p w14:paraId="5F6C7113"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3424</w:t>
            </w:r>
          </w:p>
        </w:tc>
        <w:tc>
          <w:tcPr>
            <w:tcW w:w="0" w:type="auto"/>
            <w:vAlign w:val="center"/>
          </w:tcPr>
          <w:p w14:paraId="5E3AD4B8"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0.063</w:t>
            </w:r>
          </w:p>
        </w:tc>
      </w:tr>
      <w:tr w:rsidR="00091DF8" w:rsidRPr="00074F17" w14:paraId="1371E22F" w14:textId="77777777" w:rsidTr="004029ED">
        <w:trPr>
          <w:trHeight w:val="227"/>
          <w:jc w:val="center"/>
        </w:trPr>
        <w:tc>
          <w:tcPr>
            <w:tcW w:w="0" w:type="auto"/>
            <w:vMerge/>
            <w:vAlign w:val="center"/>
          </w:tcPr>
          <w:p w14:paraId="134A3071" w14:textId="77777777" w:rsidR="00091DF8" w:rsidRPr="001E7FEC" w:rsidRDefault="00091DF8" w:rsidP="00E24FD5">
            <w:pPr>
              <w:contextualSpacing/>
              <w:rPr>
                <w:rFonts w:ascii="Arial" w:hAnsi="Arial" w:cs="Arial"/>
                <w:sz w:val="16"/>
                <w:szCs w:val="16"/>
              </w:rPr>
            </w:pPr>
          </w:p>
        </w:tc>
        <w:tc>
          <w:tcPr>
            <w:tcW w:w="0" w:type="auto"/>
            <w:vAlign w:val="center"/>
          </w:tcPr>
          <w:p w14:paraId="20312317"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E094</w:t>
            </w:r>
          </w:p>
        </w:tc>
        <w:tc>
          <w:tcPr>
            <w:tcW w:w="0" w:type="auto"/>
            <w:vAlign w:val="center"/>
          </w:tcPr>
          <w:p w14:paraId="181BDA23"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48° 15.78'</w:t>
            </w:r>
          </w:p>
        </w:tc>
        <w:tc>
          <w:tcPr>
            <w:tcW w:w="0" w:type="auto"/>
            <w:vAlign w:val="center"/>
          </w:tcPr>
          <w:p w14:paraId="7F8C2DB4"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09.57'</w:t>
            </w:r>
          </w:p>
        </w:tc>
        <w:tc>
          <w:tcPr>
            <w:tcW w:w="0" w:type="auto"/>
            <w:vAlign w:val="center"/>
          </w:tcPr>
          <w:p w14:paraId="3FC24D0C"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3429</w:t>
            </w:r>
          </w:p>
        </w:tc>
        <w:tc>
          <w:tcPr>
            <w:tcW w:w="0" w:type="auto"/>
            <w:vAlign w:val="center"/>
          </w:tcPr>
          <w:p w14:paraId="1C12AC8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0.053</w:t>
            </w:r>
          </w:p>
        </w:tc>
      </w:tr>
      <w:tr w:rsidR="00091DF8" w:rsidRPr="00074F17" w14:paraId="4266B3A9" w14:textId="77777777" w:rsidTr="004029ED">
        <w:trPr>
          <w:trHeight w:val="227"/>
          <w:jc w:val="center"/>
        </w:trPr>
        <w:tc>
          <w:tcPr>
            <w:tcW w:w="0" w:type="auto"/>
            <w:vMerge/>
            <w:vAlign w:val="center"/>
          </w:tcPr>
          <w:p w14:paraId="12FED375" w14:textId="77777777" w:rsidR="00091DF8" w:rsidRPr="001E7FEC" w:rsidRDefault="00091DF8" w:rsidP="00E24FD5">
            <w:pPr>
              <w:contextualSpacing/>
              <w:rPr>
                <w:rFonts w:ascii="Arial" w:hAnsi="Arial" w:cs="Arial"/>
                <w:sz w:val="16"/>
                <w:szCs w:val="16"/>
              </w:rPr>
            </w:pPr>
          </w:p>
        </w:tc>
        <w:tc>
          <w:tcPr>
            <w:tcW w:w="0" w:type="auto"/>
            <w:vAlign w:val="center"/>
          </w:tcPr>
          <w:p w14:paraId="5502F3B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E095</w:t>
            </w:r>
          </w:p>
        </w:tc>
        <w:tc>
          <w:tcPr>
            <w:tcW w:w="0" w:type="auto"/>
            <w:vAlign w:val="center"/>
          </w:tcPr>
          <w:p w14:paraId="6D4B8C03"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48° 15.78'</w:t>
            </w:r>
          </w:p>
        </w:tc>
        <w:tc>
          <w:tcPr>
            <w:tcW w:w="0" w:type="auto"/>
            <w:vAlign w:val="center"/>
          </w:tcPr>
          <w:p w14:paraId="06475092"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09.58'</w:t>
            </w:r>
          </w:p>
        </w:tc>
        <w:tc>
          <w:tcPr>
            <w:tcW w:w="0" w:type="auto"/>
            <w:vAlign w:val="center"/>
          </w:tcPr>
          <w:p w14:paraId="78EA9FB7"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3429</w:t>
            </w:r>
          </w:p>
        </w:tc>
        <w:tc>
          <w:tcPr>
            <w:tcW w:w="0" w:type="auto"/>
            <w:vMerge w:val="restart"/>
            <w:vAlign w:val="center"/>
          </w:tcPr>
          <w:p w14:paraId="5BFE35E7"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 0.063</w:t>
            </w:r>
          </w:p>
        </w:tc>
      </w:tr>
      <w:tr w:rsidR="00091DF8" w:rsidRPr="00074F17" w14:paraId="08D81BEC" w14:textId="77777777" w:rsidTr="004029ED">
        <w:trPr>
          <w:trHeight w:val="227"/>
          <w:jc w:val="center"/>
        </w:trPr>
        <w:tc>
          <w:tcPr>
            <w:tcW w:w="0" w:type="auto"/>
            <w:vMerge/>
            <w:vAlign w:val="center"/>
          </w:tcPr>
          <w:p w14:paraId="790744F0" w14:textId="77777777" w:rsidR="00091DF8" w:rsidRPr="001E7FEC" w:rsidRDefault="00091DF8" w:rsidP="00E24FD5">
            <w:pPr>
              <w:contextualSpacing/>
              <w:rPr>
                <w:rFonts w:ascii="Arial" w:hAnsi="Arial" w:cs="Arial"/>
                <w:sz w:val="16"/>
                <w:szCs w:val="16"/>
              </w:rPr>
            </w:pPr>
          </w:p>
        </w:tc>
        <w:tc>
          <w:tcPr>
            <w:tcW w:w="0" w:type="auto"/>
            <w:vAlign w:val="center"/>
          </w:tcPr>
          <w:p w14:paraId="26ECB6A2"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E096</w:t>
            </w:r>
          </w:p>
        </w:tc>
        <w:tc>
          <w:tcPr>
            <w:tcW w:w="0" w:type="auto"/>
            <w:vAlign w:val="center"/>
          </w:tcPr>
          <w:p w14:paraId="622719AD"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48° 15.76'</w:t>
            </w:r>
          </w:p>
        </w:tc>
        <w:tc>
          <w:tcPr>
            <w:tcW w:w="0" w:type="auto"/>
            <w:vAlign w:val="center"/>
          </w:tcPr>
          <w:p w14:paraId="1110DDDD"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09.60'</w:t>
            </w:r>
          </w:p>
        </w:tc>
        <w:tc>
          <w:tcPr>
            <w:tcW w:w="0" w:type="auto"/>
            <w:vAlign w:val="center"/>
          </w:tcPr>
          <w:p w14:paraId="4F1C1CDC"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3424</w:t>
            </w:r>
          </w:p>
        </w:tc>
        <w:tc>
          <w:tcPr>
            <w:tcW w:w="0" w:type="auto"/>
            <w:vMerge/>
            <w:vAlign w:val="center"/>
          </w:tcPr>
          <w:p w14:paraId="048BF8E5" w14:textId="77777777" w:rsidR="00091DF8" w:rsidRPr="001E7FEC" w:rsidRDefault="00091DF8" w:rsidP="00E24FD5">
            <w:pPr>
              <w:jc w:val="center"/>
              <w:rPr>
                <w:rFonts w:ascii="Arial" w:hAnsi="Arial" w:cs="Arial"/>
                <w:sz w:val="16"/>
                <w:szCs w:val="16"/>
              </w:rPr>
            </w:pPr>
          </w:p>
        </w:tc>
      </w:tr>
      <w:tr w:rsidR="00091DF8" w:rsidRPr="00074F17" w14:paraId="0E668B35" w14:textId="77777777" w:rsidTr="004029ED">
        <w:trPr>
          <w:trHeight w:val="227"/>
          <w:jc w:val="center"/>
        </w:trPr>
        <w:tc>
          <w:tcPr>
            <w:tcW w:w="0" w:type="auto"/>
            <w:vMerge/>
            <w:vAlign w:val="center"/>
          </w:tcPr>
          <w:p w14:paraId="65B3DF16" w14:textId="77777777" w:rsidR="00091DF8" w:rsidRPr="001E7FEC" w:rsidRDefault="00091DF8" w:rsidP="00E24FD5">
            <w:pPr>
              <w:contextualSpacing/>
              <w:rPr>
                <w:rFonts w:ascii="Arial" w:hAnsi="Arial" w:cs="Arial"/>
                <w:sz w:val="16"/>
                <w:szCs w:val="16"/>
              </w:rPr>
            </w:pPr>
          </w:p>
        </w:tc>
        <w:tc>
          <w:tcPr>
            <w:tcW w:w="0" w:type="auto"/>
            <w:vAlign w:val="center"/>
          </w:tcPr>
          <w:p w14:paraId="40822B3B"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E097</w:t>
            </w:r>
          </w:p>
        </w:tc>
        <w:tc>
          <w:tcPr>
            <w:tcW w:w="0" w:type="auto"/>
            <w:vAlign w:val="center"/>
          </w:tcPr>
          <w:p w14:paraId="5CC140E9"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48° 15.89'</w:t>
            </w:r>
          </w:p>
        </w:tc>
        <w:tc>
          <w:tcPr>
            <w:tcW w:w="0" w:type="auto"/>
            <w:vAlign w:val="center"/>
          </w:tcPr>
          <w:p w14:paraId="7CE4199C"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09.54'</w:t>
            </w:r>
          </w:p>
        </w:tc>
        <w:tc>
          <w:tcPr>
            <w:tcW w:w="0" w:type="auto"/>
            <w:vAlign w:val="center"/>
          </w:tcPr>
          <w:p w14:paraId="55B7763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3425</w:t>
            </w:r>
          </w:p>
        </w:tc>
        <w:tc>
          <w:tcPr>
            <w:tcW w:w="0" w:type="auto"/>
            <w:vAlign w:val="center"/>
          </w:tcPr>
          <w:p w14:paraId="7A404366"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0.039</w:t>
            </w:r>
          </w:p>
        </w:tc>
      </w:tr>
      <w:tr w:rsidR="00091DF8" w:rsidRPr="00074F17" w14:paraId="78C461BC" w14:textId="77777777" w:rsidTr="004029ED">
        <w:trPr>
          <w:trHeight w:val="227"/>
          <w:jc w:val="center"/>
        </w:trPr>
        <w:tc>
          <w:tcPr>
            <w:tcW w:w="0" w:type="auto"/>
            <w:vMerge/>
            <w:vAlign w:val="center"/>
          </w:tcPr>
          <w:p w14:paraId="0EF71A24" w14:textId="77777777" w:rsidR="00091DF8" w:rsidRPr="001E7FEC" w:rsidRDefault="00091DF8" w:rsidP="00E24FD5">
            <w:pPr>
              <w:contextualSpacing/>
              <w:rPr>
                <w:rFonts w:ascii="Arial" w:hAnsi="Arial" w:cs="Arial"/>
                <w:sz w:val="16"/>
                <w:szCs w:val="16"/>
              </w:rPr>
            </w:pPr>
          </w:p>
        </w:tc>
        <w:tc>
          <w:tcPr>
            <w:tcW w:w="0" w:type="auto"/>
            <w:vAlign w:val="center"/>
          </w:tcPr>
          <w:p w14:paraId="38B29F29"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E098</w:t>
            </w:r>
          </w:p>
        </w:tc>
        <w:tc>
          <w:tcPr>
            <w:tcW w:w="0" w:type="auto"/>
            <w:vAlign w:val="center"/>
          </w:tcPr>
          <w:p w14:paraId="3790B7B2"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48° 15.76'</w:t>
            </w:r>
          </w:p>
        </w:tc>
        <w:tc>
          <w:tcPr>
            <w:tcW w:w="0" w:type="auto"/>
            <w:vAlign w:val="center"/>
          </w:tcPr>
          <w:p w14:paraId="45E3EC4C"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 09.60'</w:t>
            </w:r>
          </w:p>
        </w:tc>
        <w:tc>
          <w:tcPr>
            <w:tcW w:w="0" w:type="auto"/>
            <w:vAlign w:val="center"/>
          </w:tcPr>
          <w:p w14:paraId="53ED0822"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3432</w:t>
            </w:r>
          </w:p>
        </w:tc>
        <w:tc>
          <w:tcPr>
            <w:tcW w:w="0" w:type="auto"/>
            <w:vAlign w:val="center"/>
          </w:tcPr>
          <w:p w14:paraId="475DE91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0.031</w:t>
            </w:r>
          </w:p>
        </w:tc>
      </w:tr>
    </w:tbl>
    <w:p w14:paraId="20E65A97" w14:textId="77777777" w:rsidR="00091DF8" w:rsidRDefault="00091DF8" w:rsidP="00091DF8"/>
    <w:p w14:paraId="402E1EE8" w14:textId="77777777" w:rsidR="00091DF8" w:rsidRDefault="00091DF8" w:rsidP="00091DF8">
      <w:pPr>
        <w:jc w:val="center"/>
      </w:pPr>
      <w:r>
        <w:br w:type="page"/>
      </w:r>
    </w:p>
    <w:p w14:paraId="44649222" w14:textId="77777777" w:rsidR="00091DF8" w:rsidRPr="001E7FEC" w:rsidRDefault="00091DF8" w:rsidP="00091DF8">
      <w:r w:rsidRPr="00E5473B">
        <w:rPr>
          <w:b/>
        </w:rPr>
        <w:lastRenderedPageBreak/>
        <w:t xml:space="preserve">Table </w:t>
      </w:r>
      <w:r>
        <w:rPr>
          <w:b/>
        </w:rPr>
        <w:t>2</w:t>
      </w:r>
      <w:r w:rsidRPr="00E5473B">
        <w:rPr>
          <w:b/>
        </w:rPr>
        <w:t>.</w:t>
      </w:r>
      <w:r w:rsidRPr="001E7FEC">
        <w:t xml:space="preserve"> </w:t>
      </w:r>
      <w:r>
        <w:t>Environmental characteristics of s</w:t>
      </w:r>
      <w:r w:rsidRPr="001E7FEC">
        <w:t xml:space="preserve">ampling sites in three branches of the Whittard Canyon and on the adjacent slope. </w:t>
      </w:r>
      <w:r>
        <w:t xml:space="preserve">Parameters are summarised from Gunton et al (2015a) as median values. </w:t>
      </w:r>
      <w:r w:rsidRPr="001E7FEC">
        <w:t>(</w:t>
      </w:r>
      <w:r>
        <w:t>au, arbitrary units; BPI, bathymetric position index; macrofaunal density, refers to macrofauna sensu stricto &gt; 300 µm</w:t>
      </w:r>
      <w:r w:rsidRPr="001E7FEC">
        <w:t>).</w:t>
      </w:r>
      <w:r>
        <w:t xml:space="preserve"> Also given in polychaete density from the present study (&gt; 500 µm</w:t>
      </w:r>
      <w:r w:rsidRPr="000822A1">
        <w:t>)</w:t>
      </w:r>
      <w:r>
        <w:t>, as geometric mean, with corresponding 95% confidence intervals in parentheses.</w:t>
      </w:r>
    </w:p>
    <w:p w14:paraId="6146F2BF" w14:textId="77777777" w:rsidR="00091DF8" w:rsidRPr="001E7FEC" w:rsidRDefault="00091DF8" w:rsidP="00091DF8"/>
    <w:tbl>
      <w:tblPr>
        <w:tblW w:w="0" w:type="auto"/>
        <w:jc w:val="center"/>
        <w:tblLook w:val="04A0" w:firstRow="1" w:lastRow="0" w:firstColumn="1" w:lastColumn="0" w:noHBand="0" w:noVBand="1"/>
      </w:tblPr>
      <w:tblGrid>
        <w:gridCol w:w="883"/>
        <w:gridCol w:w="661"/>
        <w:gridCol w:w="849"/>
        <w:gridCol w:w="848"/>
        <w:gridCol w:w="821"/>
        <w:gridCol w:w="904"/>
        <w:gridCol w:w="803"/>
        <w:gridCol w:w="803"/>
        <w:gridCol w:w="1115"/>
        <w:gridCol w:w="1257"/>
      </w:tblGrid>
      <w:tr w:rsidR="00091DF8" w:rsidRPr="00756BE2" w14:paraId="7228A5EB"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79DB85C4" w14:textId="77777777" w:rsidR="00091DF8" w:rsidRPr="001E7FEC" w:rsidRDefault="00091DF8" w:rsidP="00E24FD5">
            <w:pPr>
              <w:rPr>
                <w:rFonts w:ascii="Arial" w:hAnsi="Arial" w:cs="Arial"/>
                <w:b/>
                <w:sz w:val="16"/>
                <w:szCs w:val="16"/>
              </w:rPr>
            </w:pPr>
            <w:r w:rsidRPr="001E7FEC">
              <w:rPr>
                <w:rFonts w:ascii="Arial" w:hAnsi="Arial" w:cs="Arial"/>
                <w:b/>
                <w:sz w:val="16"/>
                <w:szCs w:val="16"/>
              </w:rPr>
              <w:t>Location</w:t>
            </w:r>
          </w:p>
        </w:tc>
        <w:tc>
          <w:tcPr>
            <w:tcW w:w="0" w:type="auto"/>
            <w:tcBorders>
              <w:top w:val="nil"/>
              <w:left w:val="nil"/>
              <w:bottom w:val="nil"/>
              <w:right w:val="nil"/>
            </w:tcBorders>
            <w:shd w:val="clear" w:color="auto" w:fill="auto"/>
            <w:noWrap/>
            <w:vAlign w:val="center"/>
            <w:hideMark/>
          </w:tcPr>
          <w:p w14:paraId="75A79E1F"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Water</w:t>
            </w:r>
            <w:r w:rsidRPr="001E7FEC">
              <w:rPr>
                <w:rFonts w:ascii="Arial" w:hAnsi="Arial" w:cs="Arial"/>
                <w:b/>
                <w:sz w:val="16"/>
                <w:szCs w:val="16"/>
              </w:rPr>
              <w:br/>
              <w:t>depth</w:t>
            </w:r>
            <w:r w:rsidRPr="001E7FEC">
              <w:rPr>
                <w:rFonts w:ascii="Arial" w:hAnsi="Arial" w:cs="Arial"/>
                <w:b/>
                <w:sz w:val="16"/>
                <w:szCs w:val="16"/>
              </w:rPr>
              <w:br/>
              <w:t>(m)</w:t>
            </w:r>
          </w:p>
        </w:tc>
        <w:tc>
          <w:tcPr>
            <w:tcW w:w="0" w:type="auto"/>
            <w:tcBorders>
              <w:top w:val="nil"/>
              <w:left w:val="nil"/>
              <w:bottom w:val="nil"/>
              <w:right w:val="nil"/>
            </w:tcBorders>
            <w:shd w:val="clear" w:color="auto" w:fill="auto"/>
            <w:noWrap/>
            <w:vAlign w:val="center"/>
            <w:hideMark/>
          </w:tcPr>
          <w:p w14:paraId="3A69F716"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Seabed</w:t>
            </w:r>
            <w:r w:rsidRPr="001E7FEC">
              <w:rPr>
                <w:rFonts w:ascii="Arial" w:hAnsi="Arial" w:cs="Arial"/>
                <w:b/>
                <w:sz w:val="16"/>
                <w:szCs w:val="16"/>
              </w:rPr>
              <w:br/>
              <w:t>slope</w:t>
            </w:r>
            <w:r w:rsidRPr="001E7FEC">
              <w:rPr>
                <w:rFonts w:ascii="Arial" w:hAnsi="Arial" w:cs="Arial"/>
                <w:b/>
                <w:sz w:val="16"/>
                <w:szCs w:val="16"/>
              </w:rPr>
              <w:br/>
              <w:t>angle (°)</w:t>
            </w:r>
          </w:p>
        </w:tc>
        <w:tc>
          <w:tcPr>
            <w:tcW w:w="0" w:type="auto"/>
            <w:tcBorders>
              <w:top w:val="nil"/>
              <w:left w:val="nil"/>
              <w:bottom w:val="nil"/>
              <w:right w:val="nil"/>
            </w:tcBorders>
            <w:shd w:val="clear" w:color="auto" w:fill="auto"/>
            <w:noWrap/>
            <w:vAlign w:val="center"/>
            <w:hideMark/>
          </w:tcPr>
          <w:p w14:paraId="0E38C928"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Local</w:t>
            </w:r>
            <w:r w:rsidRPr="001E7FEC">
              <w:rPr>
                <w:rFonts w:ascii="Arial" w:hAnsi="Arial" w:cs="Arial"/>
                <w:b/>
                <w:sz w:val="16"/>
                <w:szCs w:val="16"/>
              </w:rPr>
              <w:br/>
              <w:t>rugosity</w:t>
            </w:r>
            <w:r w:rsidRPr="001E7FEC">
              <w:rPr>
                <w:rFonts w:ascii="Arial" w:hAnsi="Arial" w:cs="Arial"/>
                <w:b/>
                <w:sz w:val="16"/>
                <w:szCs w:val="16"/>
              </w:rPr>
              <w:br/>
              <w:t>(au)</w:t>
            </w:r>
          </w:p>
        </w:tc>
        <w:tc>
          <w:tcPr>
            <w:tcW w:w="0" w:type="auto"/>
            <w:tcBorders>
              <w:top w:val="nil"/>
              <w:left w:val="nil"/>
              <w:bottom w:val="nil"/>
              <w:right w:val="nil"/>
            </w:tcBorders>
            <w:shd w:val="clear" w:color="auto" w:fill="auto"/>
            <w:noWrap/>
            <w:vAlign w:val="center"/>
            <w:hideMark/>
          </w:tcPr>
          <w:p w14:paraId="3389C5EB"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Fine-</w:t>
            </w:r>
            <w:r w:rsidRPr="001E7FEC">
              <w:rPr>
                <w:rFonts w:ascii="Arial" w:hAnsi="Arial" w:cs="Arial"/>
                <w:b/>
                <w:sz w:val="16"/>
                <w:szCs w:val="16"/>
              </w:rPr>
              <w:br/>
              <w:t>scale</w:t>
            </w:r>
            <w:r w:rsidRPr="001E7FEC">
              <w:rPr>
                <w:rFonts w:ascii="Arial" w:hAnsi="Arial" w:cs="Arial"/>
                <w:b/>
                <w:sz w:val="16"/>
                <w:szCs w:val="16"/>
              </w:rPr>
              <w:br/>
              <w:t>BPI (au)</w:t>
            </w:r>
          </w:p>
        </w:tc>
        <w:tc>
          <w:tcPr>
            <w:tcW w:w="0" w:type="auto"/>
            <w:tcBorders>
              <w:top w:val="nil"/>
              <w:left w:val="nil"/>
              <w:bottom w:val="nil"/>
              <w:right w:val="nil"/>
            </w:tcBorders>
            <w:shd w:val="clear" w:color="auto" w:fill="auto"/>
            <w:noWrap/>
            <w:vAlign w:val="center"/>
            <w:hideMark/>
          </w:tcPr>
          <w:p w14:paraId="477A9FAA"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Mean</w:t>
            </w:r>
            <w:r w:rsidRPr="001E7FEC">
              <w:rPr>
                <w:rFonts w:ascii="Arial" w:hAnsi="Arial" w:cs="Arial"/>
                <w:b/>
                <w:sz w:val="16"/>
                <w:szCs w:val="16"/>
              </w:rPr>
              <w:br/>
              <w:t>grain</w:t>
            </w:r>
            <w:r w:rsidRPr="001E7FEC">
              <w:rPr>
                <w:rFonts w:ascii="Arial" w:hAnsi="Arial" w:cs="Arial"/>
                <w:b/>
                <w:sz w:val="16"/>
                <w:szCs w:val="16"/>
              </w:rPr>
              <w:br/>
              <w:t>size (µm)</w:t>
            </w:r>
          </w:p>
        </w:tc>
        <w:tc>
          <w:tcPr>
            <w:tcW w:w="0" w:type="auto"/>
            <w:tcBorders>
              <w:top w:val="nil"/>
              <w:left w:val="nil"/>
              <w:bottom w:val="nil"/>
              <w:right w:val="nil"/>
            </w:tcBorders>
            <w:shd w:val="clear" w:color="auto" w:fill="auto"/>
            <w:noWrap/>
            <w:vAlign w:val="center"/>
            <w:hideMark/>
          </w:tcPr>
          <w:p w14:paraId="464C07B0"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Sand</w:t>
            </w:r>
            <w:r w:rsidRPr="001E7FEC">
              <w:rPr>
                <w:rFonts w:ascii="Arial" w:hAnsi="Arial" w:cs="Arial"/>
                <w:b/>
                <w:sz w:val="16"/>
                <w:szCs w:val="16"/>
              </w:rPr>
              <w:br/>
              <w:t>fraction</w:t>
            </w:r>
            <w:r w:rsidRPr="001E7FEC">
              <w:rPr>
                <w:rFonts w:ascii="Arial" w:hAnsi="Arial" w:cs="Arial"/>
                <w:b/>
                <w:sz w:val="16"/>
                <w:szCs w:val="16"/>
              </w:rPr>
              <w:br/>
              <w:t>(%)</w:t>
            </w:r>
          </w:p>
        </w:tc>
        <w:tc>
          <w:tcPr>
            <w:tcW w:w="0" w:type="auto"/>
            <w:tcBorders>
              <w:top w:val="nil"/>
              <w:left w:val="nil"/>
              <w:bottom w:val="nil"/>
              <w:right w:val="nil"/>
            </w:tcBorders>
            <w:shd w:val="clear" w:color="auto" w:fill="auto"/>
            <w:noWrap/>
            <w:vAlign w:val="center"/>
            <w:hideMark/>
          </w:tcPr>
          <w:p w14:paraId="6DCFB6FD"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Mud</w:t>
            </w:r>
            <w:r w:rsidRPr="001E7FEC">
              <w:rPr>
                <w:rFonts w:ascii="Arial" w:hAnsi="Arial" w:cs="Arial"/>
                <w:b/>
                <w:sz w:val="16"/>
                <w:szCs w:val="16"/>
              </w:rPr>
              <w:br/>
              <w:t>fraction</w:t>
            </w:r>
            <w:r w:rsidRPr="001E7FEC">
              <w:rPr>
                <w:rFonts w:ascii="Arial" w:hAnsi="Arial" w:cs="Arial"/>
                <w:b/>
                <w:sz w:val="16"/>
                <w:szCs w:val="16"/>
              </w:rPr>
              <w:br/>
              <w:t>(%)</w:t>
            </w:r>
          </w:p>
        </w:tc>
        <w:tc>
          <w:tcPr>
            <w:tcW w:w="0" w:type="auto"/>
            <w:tcBorders>
              <w:top w:val="nil"/>
              <w:left w:val="nil"/>
              <w:bottom w:val="nil"/>
              <w:right w:val="nil"/>
            </w:tcBorders>
            <w:shd w:val="clear" w:color="auto" w:fill="auto"/>
            <w:noWrap/>
            <w:vAlign w:val="center"/>
            <w:hideMark/>
          </w:tcPr>
          <w:p w14:paraId="54ABEFC3"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Macrofauna</w:t>
            </w:r>
            <w:r w:rsidRPr="001E7FEC">
              <w:rPr>
                <w:rFonts w:ascii="Arial" w:hAnsi="Arial" w:cs="Arial"/>
                <w:b/>
                <w:sz w:val="16"/>
                <w:szCs w:val="16"/>
              </w:rPr>
              <w:br/>
              <w:t>density</w:t>
            </w:r>
            <w:r w:rsidRPr="001E7FEC">
              <w:rPr>
                <w:rFonts w:ascii="Arial" w:hAnsi="Arial" w:cs="Arial"/>
                <w:b/>
                <w:sz w:val="16"/>
                <w:szCs w:val="16"/>
              </w:rPr>
              <w:br/>
              <w:t>(ind 0.1 m</w:t>
            </w:r>
            <w:r w:rsidRPr="001E7FEC">
              <w:rPr>
                <w:rFonts w:ascii="Arial" w:hAnsi="Arial" w:cs="Arial"/>
                <w:b/>
                <w:sz w:val="16"/>
                <w:szCs w:val="16"/>
                <w:vertAlign w:val="superscript"/>
              </w:rPr>
              <w:t>-2</w:t>
            </w:r>
            <w:r w:rsidRPr="001E7FEC">
              <w:rPr>
                <w:rFonts w:ascii="Arial" w:hAnsi="Arial" w:cs="Arial"/>
                <w:b/>
                <w:sz w:val="16"/>
                <w:szCs w:val="16"/>
              </w:rPr>
              <w:t>)</w:t>
            </w:r>
          </w:p>
        </w:tc>
        <w:tc>
          <w:tcPr>
            <w:tcW w:w="0" w:type="auto"/>
            <w:tcBorders>
              <w:top w:val="nil"/>
              <w:left w:val="nil"/>
              <w:bottom w:val="nil"/>
              <w:right w:val="nil"/>
            </w:tcBorders>
            <w:vAlign w:val="center"/>
          </w:tcPr>
          <w:p w14:paraId="6319DC63" w14:textId="77777777" w:rsidR="00091DF8" w:rsidRPr="00756BE2" w:rsidRDefault="00091DF8" w:rsidP="00E24FD5">
            <w:pPr>
              <w:jc w:val="center"/>
              <w:rPr>
                <w:rFonts w:ascii="Arial" w:hAnsi="Arial" w:cs="Arial"/>
                <w:b/>
                <w:sz w:val="16"/>
                <w:szCs w:val="16"/>
              </w:rPr>
            </w:pPr>
            <w:r>
              <w:rPr>
                <w:rFonts w:ascii="Arial" w:hAnsi="Arial" w:cs="Arial"/>
                <w:b/>
                <w:sz w:val="16"/>
                <w:szCs w:val="16"/>
              </w:rPr>
              <w:t>Polychaete</w:t>
            </w:r>
            <w:r>
              <w:rPr>
                <w:rFonts w:ascii="Arial" w:hAnsi="Arial" w:cs="Arial"/>
                <w:b/>
                <w:sz w:val="16"/>
                <w:szCs w:val="16"/>
              </w:rPr>
              <w:br/>
              <w:t>density</w:t>
            </w:r>
            <w:r>
              <w:rPr>
                <w:rFonts w:ascii="Arial" w:hAnsi="Arial" w:cs="Arial"/>
                <w:b/>
                <w:sz w:val="16"/>
                <w:szCs w:val="16"/>
              </w:rPr>
              <w:br/>
            </w:r>
            <w:r w:rsidRPr="000822A1">
              <w:rPr>
                <w:rFonts w:ascii="Arial" w:hAnsi="Arial" w:cs="Arial"/>
                <w:b/>
                <w:sz w:val="16"/>
                <w:szCs w:val="16"/>
              </w:rPr>
              <w:t>(ind 0.1 m</w:t>
            </w:r>
            <w:r w:rsidRPr="000822A1">
              <w:rPr>
                <w:rFonts w:ascii="Arial" w:hAnsi="Arial" w:cs="Arial"/>
                <w:b/>
                <w:sz w:val="16"/>
                <w:szCs w:val="16"/>
                <w:vertAlign w:val="superscript"/>
              </w:rPr>
              <w:t>-2</w:t>
            </w:r>
            <w:r w:rsidRPr="000822A1">
              <w:rPr>
                <w:rFonts w:ascii="Arial" w:hAnsi="Arial" w:cs="Arial"/>
                <w:b/>
                <w:sz w:val="16"/>
                <w:szCs w:val="16"/>
              </w:rPr>
              <w:t>)</w:t>
            </w:r>
          </w:p>
        </w:tc>
      </w:tr>
      <w:tr w:rsidR="00091DF8" w:rsidRPr="00756BE2" w14:paraId="0291889A"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1C720E0D" w14:textId="77777777" w:rsidR="00091DF8" w:rsidRPr="001E7FEC" w:rsidRDefault="00091DF8" w:rsidP="00E24FD5">
            <w:pPr>
              <w:rPr>
                <w:rFonts w:ascii="Arial" w:hAnsi="Arial" w:cs="Arial"/>
                <w:sz w:val="16"/>
                <w:szCs w:val="16"/>
              </w:rPr>
            </w:pPr>
            <w:r w:rsidRPr="001E7FEC">
              <w:rPr>
                <w:rFonts w:ascii="Arial" w:hAnsi="Arial" w:cs="Arial"/>
                <w:sz w:val="16"/>
                <w:szCs w:val="16"/>
              </w:rPr>
              <w:t>Slope</w:t>
            </w:r>
          </w:p>
        </w:tc>
        <w:tc>
          <w:tcPr>
            <w:tcW w:w="0" w:type="auto"/>
            <w:tcBorders>
              <w:top w:val="nil"/>
              <w:left w:val="nil"/>
              <w:bottom w:val="nil"/>
              <w:right w:val="nil"/>
            </w:tcBorders>
            <w:shd w:val="clear" w:color="auto" w:fill="auto"/>
            <w:noWrap/>
            <w:vAlign w:val="center"/>
            <w:hideMark/>
          </w:tcPr>
          <w:p w14:paraId="5E91CEEE"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3512</w:t>
            </w:r>
          </w:p>
        </w:tc>
        <w:tc>
          <w:tcPr>
            <w:tcW w:w="0" w:type="auto"/>
            <w:tcBorders>
              <w:top w:val="nil"/>
              <w:left w:val="nil"/>
              <w:bottom w:val="nil"/>
              <w:right w:val="nil"/>
            </w:tcBorders>
            <w:shd w:val="clear" w:color="auto" w:fill="auto"/>
            <w:noWrap/>
            <w:vAlign w:val="center"/>
            <w:hideMark/>
          </w:tcPr>
          <w:p w14:paraId="1ABC61D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0.9</w:t>
            </w:r>
          </w:p>
        </w:tc>
        <w:tc>
          <w:tcPr>
            <w:tcW w:w="0" w:type="auto"/>
            <w:tcBorders>
              <w:top w:val="nil"/>
              <w:left w:val="nil"/>
              <w:bottom w:val="nil"/>
              <w:right w:val="nil"/>
            </w:tcBorders>
            <w:shd w:val="clear" w:color="auto" w:fill="auto"/>
            <w:noWrap/>
            <w:vAlign w:val="center"/>
            <w:hideMark/>
          </w:tcPr>
          <w:p w14:paraId="48036095"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14</w:t>
            </w:r>
          </w:p>
        </w:tc>
        <w:tc>
          <w:tcPr>
            <w:tcW w:w="0" w:type="auto"/>
            <w:tcBorders>
              <w:top w:val="nil"/>
              <w:left w:val="nil"/>
              <w:bottom w:val="nil"/>
              <w:right w:val="nil"/>
            </w:tcBorders>
            <w:shd w:val="clear" w:color="auto" w:fill="auto"/>
            <w:noWrap/>
            <w:vAlign w:val="center"/>
            <w:hideMark/>
          </w:tcPr>
          <w:p w14:paraId="449D134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-20</w:t>
            </w:r>
          </w:p>
        </w:tc>
        <w:tc>
          <w:tcPr>
            <w:tcW w:w="0" w:type="auto"/>
            <w:tcBorders>
              <w:top w:val="nil"/>
              <w:left w:val="nil"/>
              <w:bottom w:val="nil"/>
              <w:right w:val="nil"/>
            </w:tcBorders>
            <w:shd w:val="clear" w:color="auto" w:fill="auto"/>
            <w:noWrap/>
            <w:vAlign w:val="center"/>
            <w:hideMark/>
          </w:tcPr>
          <w:p w14:paraId="58F9CB95"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72</w:t>
            </w:r>
          </w:p>
        </w:tc>
        <w:tc>
          <w:tcPr>
            <w:tcW w:w="0" w:type="auto"/>
            <w:tcBorders>
              <w:top w:val="nil"/>
              <w:left w:val="nil"/>
              <w:bottom w:val="nil"/>
              <w:right w:val="nil"/>
            </w:tcBorders>
            <w:shd w:val="clear" w:color="auto" w:fill="auto"/>
            <w:noWrap/>
            <w:vAlign w:val="center"/>
            <w:hideMark/>
          </w:tcPr>
          <w:p w14:paraId="0203FAD5"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27</w:t>
            </w:r>
          </w:p>
        </w:tc>
        <w:tc>
          <w:tcPr>
            <w:tcW w:w="0" w:type="auto"/>
            <w:tcBorders>
              <w:top w:val="nil"/>
              <w:left w:val="nil"/>
              <w:bottom w:val="nil"/>
              <w:right w:val="nil"/>
            </w:tcBorders>
            <w:shd w:val="clear" w:color="auto" w:fill="auto"/>
            <w:noWrap/>
            <w:vAlign w:val="center"/>
            <w:hideMark/>
          </w:tcPr>
          <w:p w14:paraId="6DBA7FD6"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73</w:t>
            </w:r>
          </w:p>
        </w:tc>
        <w:tc>
          <w:tcPr>
            <w:tcW w:w="0" w:type="auto"/>
            <w:tcBorders>
              <w:top w:val="nil"/>
              <w:left w:val="nil"/>
              <w:bottom w:val="nil"/>
              <w:right w:val="nil"/>
            </w:tcBorders>
            <w:shd w:val="clear" w:color="auto" w:fill="auto"/>
            <w:noWrap/>
            <w:vAlign w:val="center"/>
            <w:hideMark/>
          </w:tcPr>
          <w:p w14:paraId="26C7395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273</w:t>
            </w:r>
          </w:p>
        </w:tc>
        <w:tc>
          <w:tcPr>
            <w:tcW w:w="0" w:type="auto"/>
            <w:tcBorders>
              <w:top w:val="nil"/>
              <w:left w:val="nil"/>
              <w:bottom w:val="nil"/>
              <w:right w:val="nil"/>
            </w:tcBorders>
            <w:vAlign w:val="center"/>
          </w:tcPr>
          <w:p w14:paraId="43F0A909" w14:textId="77777777" w:rsidR="00091DF8" w:rsidRPr="00756BE2" w:rsidRDefault="00091DF8" w:rsidP="00E24FD5">
            <w:pPr>
              <w:jc w:val="center"/>
              <w:rPr>
                <w:rFonts w:ascii="Arial" w:hAnsi="Arial" w:cs="Arial"/>
                <w:sz w:val="16"/>
                <w:szCs w:val="16"/>
              </w:rPr>
            </w:pPr>
            <w:r w:rsidRPr="00065DC4">
              <w:rPr>
                <w:rFonts w:ascii="Arial" w:hAnsi="Arial" w:cs="Arial"/>
                <w:sz w:val="16"/>
                <w:szCs w:val="16"/>
              </w:rPr>
              <w:t>113</w:t>
            </w:r>
            <w:r>
              <w:rPr>
                <w:rFonts w:ascii="Arial" w:hAnsi="Arial" w:cs="Arial"/>
                <w:sz w:val="16"/>
                <w:szCs w:val="16"/>
              </w:rPr>
              <w:t xml:space="preserve"> (</w:t>
            </w:r>
            <w:r w:rsidRPr="00065DC4">
              <w:rPr>
                <w:rFonts w:ascii="Arial" w:hAnsi="Arial" w:cs="Arial"/>
                <w:sz w:val="16"/>
                <w:szCs w:val="16"/>
              </w:rPr>
              <w:t>89</w:t>
            </w:r>
            <w:r>
              <w:rPr>
                <w:rFonts w:ascii="Arial" w:hAnsi="Arial" w:cs="Arial"/>
                <w:sz w:val="16"/>
                <w:szCs w:val="16"/>
              </w:rPr>
              <w:t xml:space="preserve">, </w:t>
            </w:r>
            <w:r w:rsidRPr="00065DC4">
              <w:rPr>
                <w:rFonts w:ascii="Arial" w:hAnsi="Arial" w:cs="Arial"/>
                <w:sz w:val="16"/>
                <w:szCs w:val="16"/>
              </w:rPr>
              <w:t>143</w:t>
            </w:r>
            <w:r>
              <w:rPr>
                <w:rFonts w:ascii="Arial" w:hAnsi="Arial" w:cs="Arial"/>
                <w:sz w:val="16"/>
                <w:szCs w:val="16"/>
              </w:rPr>
              <w:t>)</w:t>
            </w:r>
          </w:p>
        </w:tc>
      </w:tr>
      <w:tr w:rsidR="00091DF8" w:rsidRPr="00756BE2" w14:paraId="1F0536A9"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2432369E" w14:textId="77777777" w:rsidR="00091DF8" w:rsidRPr="001E7FEC" w:rsidRDefault="00091DF8" w:rsidP="00E24FD5">
            <w:pPr>
              <w:rPr>
                <w:rFonts w:ascii="Arial" w:hAnsi="Arial" w:cs="Arial"/>
                <w:sz w:val="16"/>
                <w:szCs w:val="16"/>
              </w:rPr>
            </w:pPr>
            <w:r w:rsidRPr="001E7FEC">
              <w:rPr>
                <w:rFonts w:ascii="Arial" w:hAnsi="Arial" w:cs="Arial"/>
                <w:sz w:val="16"/>
                <w:szCs w:val="16"/>
              </w:rPr>
              <w:t>Western</w:t>
            </w:r>
          </w:p>
        </w:tc>
        <w:tc>
          <w:tcPr>
            <w:tcW w:w="0" w:type="auto"/>
            <w:tcBorders>
              <w:top w:val="nil"/>
              <w:left w:val="nil"/>
              <w:bottom w:val="nil"/>
              <w:right w:val="nil"/>
            </w:tcBorders>
            <w:shd w:val="clear" w:color="auto" w:fill="auto"/>
            <w:noWrap/>
            <w:vAlign w:val="center"/>
            <w:hideMark/>
          </w:tcPr>
          <w:p w14:paraId="3566077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3661</w:t>
            </w:r>
          </w:p>
        </w:tc>
        <w:tc>
          <w:tcPr>
            <w:tcW w:w="0" w:type="auto"/>
            <w:tcBorders>
              <w:top w:val="nil"/>
              <w:left w:val="nil"/>
              <w:bottom w:val="nil"/>
              <w:right w:val="nil"/>
            </w:tcBorders>
            <w:shd w:val="clear" w:color="auto" w:fill="auto"/>
            <w:noWrap/>
            <w:vAlign w:val="center"/>
            <w:hideMark/>
          </w:tcPr>
          <w:p w14:paraId="263A512E"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2.4</w:t>
            </w:r>
          </w:p>
        </w:tc>
        <w:tc>
          <w:tcPr>
            <w:tcW w:w="0" w:type="auto"/>
            <w:tcBorders>
              <w:top w:val="nil"/>
              <w:left w:val="nil"/>
              <w:bottom w:val="nil"/>
              <w:right w:val="nil"/>
            </w:tcBorders>
            <w:shd w:val="clear" w:color="auto" w:fill="auto"/>
            <w:noWrap/>
            <w:vAlign w:val="center"/>
            <w:hideMark/>
          </w:tcPr>
          <w:p w14:paraId="26491479"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138</w:t>
            </w:r>
          </w:p>
        </w:tc>
        <w:tc>
          <w:tcPr>
            <w:tcW w:w="0" w:type="auto"/>
            <w:tcBorders>
              <w:top w:val="nil"/>
              <w:left w:val="nil"/>
              <w:bottom w:val="nil"/>
              <w:right w:val="nil"/>
            </w:tcBorders>
            <w:shd w:val="clear" w:color="auto" w:fill="auto"/>
            <w:noWrap/>
            <w:vAlign w:val="center"/>
            <w:hideMark/>
          </w:tcPr>
          <w:p w14:paraId="5CA339B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w:t>
            </w:r>
          </w:p>
        </w:tc>
        <w:tc>
          <w:tcPr>
            <w:tcW w:w="0" w:type="auto"/>
            <w:tcBorders>
              <w:top w:val="nil"/>
              <w:left w:val="nil"/>
              <w:bottom w:val="nil"/>
              <w:right w:val="nil"/>
            </w:tcBorders>
            <w:shd w:val="clear" w:color="auto" w:fill="auto"/>
            <w:noWrap/>
            <w:vAlign w:val="center"/>
            <w:hideMark/>
          </w:tcPr>
          <w:p w14:paraId="7CEA7141"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29</w:t>
            </w:r>
          </w:p>
        </w:tc>
        <w:tc>
          <w:tcPr>
            <w:tcW w:w="0" w:type="auto"/>
            <w:tcBorders>
              <w:top w:val="nil"/>
              <w:left w:val="nil"/>
              <w:bottom w:val="nil"/>
              <w:right w:val="nil"/>
            </w:tcBorders>
            <w:shd w:val="clear" w:color="auto" w:fill="auto"/>
            <w:noWrap/>
            <w:vAlign w:val="center"/>
            <w:hideMark/>
          </w:tcPr>
          <w:p w14:paraId="4907BEE7"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13</w:t>
            </w:r>
          </w:p>
        </w:tc>
        <w:tc>
          <w:tcPr>
            <w:tcW w:w="0" w:type="auto"/>
            <w:tcBorders>
              <w:top w:val="nil"/>
              <w:left w:val="nil"/>
              <w:bottom w:val="nil"/>
              <w:right w:val="nil"/>
            </w:tcBorders>
            <w:shd w:val="clear" w:color="auto" w:fill="auto"/>
            <w:noWrap/>
            <w:vAlign w:val="center"/>
            <w:hideMark/>
          </w:tcPr>
          <w:p w14:paraId="49337A29"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87</w:t>
            </w:r>
          </w:p>
        </w:tc>
        <w:tc>
          <w:tcPr>
            <w:tcW w:w="0" w:type="auto"/>
            <w:tcBorders>
              <w:top w:val="nil"/>
              <w:left w:val="nil"/>
              <w:bottom w:val="nil"/>
              <w:right w:val="nil"/>
            </w:tcBorders>
            <w:shd w:val="clear" w:color="auto" w:fill="auto"/>
            <w:noWrap/>
            <w:vAlign w:val="center"/>
            <w:hideMark/>
          </w:tcPr>
          <w:p w14:paraId="56E2535B"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271</w:t>
            </w:r>
          </w:p>
        </w:tc>
        <w:tc>
          <w:tcPr>
            <w:tcW w:w="0" w:type="auto"/>
            <w:tcBorders>
              <w:top w:val="nil"/>
              <w:left w:val="nil"/>
              <w:bottom w:val="nil"/>
              <w:right w:val="nil"/>
            </w:tcBorders>
            <w:vAlign w:val="center"/>
          </w:tcPr>
          <w:p w14:paraId="43A4A971" w14:textId="77777777" w:rsidR="00091DF8" w:rsidRPr="00756BE2" w:rsidRDefault="00091DF8" w:rsidP="00E24FD5">
            <w:pPr>
              <w:jc w:val="center"/>
              <w:rPr>
                <w:rFonts w:ascii="Arial" w:hAnsi="Arial" w:cs="Arial"/>
                <w:sz w:val="16"/>
                <w:szCs w:val="16"/>
              </w:rPr>
            </w:pPr>
            <w:r w:rsidRPr="00065DC4">
              <w:rPr>
                <w:rFonts w:ascii="Arial" w:hAnsi="Arial" w:cs="Arial"/>
                <w:sz w:val="16"/>
                <w:szCs w:val="16"/>
              </w:rPr>
              <w:t>127</w:t>
            </w:r>
            <w:r>
              <w:rPr>
                <w:rFonts w:ascii="Arial" w:hAnsi="Arial" w:cs="Arial"/>
                <w:sz w:val="16"/>
                <w:szCs w:val="16"/>
              </w:rPr>
              <w:t xml:space="preserve"> (</w:t>
            </w:r>
            <w:r w:rsidRPr="00065DC4">
              <w:rPr>
                <w:rFonts w:ascii="Arial" w:hAnsi="Arial" w:cs="Arial"/>
                <w:sz w:val="16"/>
                <w:szCs w:val="16"/>
              </w:rPr>
              <w:t>100</w:t>
            </w:r>
            <w:r>
              <w:rPr>
                <w:rFonts w:ascii="Arial" w:hAnsi="Arial" w:cs="Arial"/>
                <w:sz w:val="16"/>
                <w:szCs w:val="16"/>
              </w:rPr>
              <w:t xml:space="preserve">, </w:t>
            </w:r>
            <w:r w:rsidRPr="00065DC4">
              <w:rPr>
                <w:rFonts w:ascii="Arial" w:hAnsi="Arial" w:cs="Arial"/>
                <w:sz w:val="16"/>
                <w:szCs w:val="16"/>
              </w:rPr>
              <w:t>161</w:t>
            </w:r>
            <w:r>
              <w:rPr>
                <w:rFonts w:ascii="Arial" w:hAnsi="Arial" w:cs="Arial"/>
                <w:sz w:val="16"/>
                <w:szCs w:val="16"/>
              </w:rPr>
              <w:t>)</w:t>
            </w:r>
          </w:p>
        </w:tc>
      </w:tr>
      <w:tr w:rsidR="00091DF8" w:rsidRPr="00756BE2" w14:paraId="0F31C7B4"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260EA65F" w14:textId="77777777" w:rsidR="00091DF8" w:rsidRPr="001E7FEC" w:rsidRDefault="00091DF8" w:rsidP="00E24FD5">
            <w:pPr>
              <w:rPr>
                <w:rFonts w:ascii="Arial" w:hAnsi="Arial" w:cs="Arial"/>
                <w:sz w:val="16"/>
                <w:szCs w:val="16"/>
              </w:rPr>
            </w:pPr>
            <w:r w:rsidRPr="001E7FEC">
              <w:rPr>
                <w:rFonts w:ascii="Arial" w:hAnsi="Arial" w:cs="Arial"/>
                <w:sz w:val="16"/>
                <w:szCs w:val="16"/>
              </w:rPr>
              <w:t>Central</w:t>
            </w:r>
          </w:p>
        </w:tc>
        <w:tc>
          <w:tcPr>
            <w:tcW w:w="0" w:type="auto"/>
            <w:tcBorders>
              <w:top w:val="nil"/>
              <w:left w:val="nil"/>
              <w:bottom w:val="nil"/>
              <w:right w:val="nil"/>
            </w:tcBorders>
            <w:shd w:val="clear" w:color="auto" w:fill="auto"/>
            <w:noWrap/>
            <w:vAlign w:val="center"/>
            <w:hideMark/>
          </w:tcPr>
          <w:p w14:paraId="1B114E1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3376</w:t>
            </w:r>
          </w:p>
        </w:tc>
        <w:tc>
          <w:tcPr>
            <w:tcW w:w="0" w:type="auto"/>
            <w:tcBorders>
              <w:top w:val="nil"/>
              <w:left w:val="nil"/>
              <w:bottom w:val="nil"/>
              <w:right w:val="nil"/>
            </w:tcBorders>
            <w:shd w:val="clear" w:color="auto" w:fill="auto"/>
            <w:noWrap/>
            <w:vAlign w:val="center"/>
            <w:hideMark/>
          </w:tcPr>
          <w:p w14:paraId="01EDE8C8"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2.8</w:t>
            </w:r>
          </w:p>
        </w:tc>
        <w:tc>
          <w:tcPr>
            <w:tcW w:w="0" w:type="auto"/>
            <w:tcBorders>
              <w:top w:val="nil"/>
              <w:left w:val="nil"/>
              <w:bottom w:val="nil"/>
              <w:right w:val="nil"/>
            </w:tcBorders>
            <w:shd w:val="clear" w:color="auto" w:fill="auto"/>
            <w:noWrap/>
            <w:vAlign w:val="center"/>
            <w:hideMark/>
          </w:tcPr>
          <w:p w14:paraId="1F07F003"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239</w:t>
            </w:r>
          </w:p>
        </w:tc>
        <w:tc>
          <w:tcPr>
            <w:tcW w:w="0" w:type="auto"/>
            <w:tcBorders>
              <w:top w:val="nil"/>
              <w:left w:val="nil"/>
              <w:bottom w:val="nil"/>
              <w:right w:val="nil"/>
            </w:tcBorders>
            <w:shd w:val="clear" w:color="auto" w:fill="auto"/>
            <w:noWrap/>
            <w:vAlign w:val="center"/>
            <w:hideMark/>
          </w:tcPr>
          <w:p w14:paraId="0E8F7524"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-106</w:t>
            </w:r>
          </w:p>
        </w:tc>
        <w:tc>
          <w:tcPr>
            <w:tcW w:w="0" w:type="auto"/>
            <w:tcBorders>
              <w:top w:val="nil"/>
              <w:left w:val="nil"/>
              <w:bottom w:val="nil"/>
              <w:right w:val="nil"/>
            </w:tcBorders>
            <w:shd w:val="clear" w:color="auto" w:fill="auto"/>
            <w:noWrap/>
            <w:vAlign w:val="center"/>
            <w:hideMark/>
          </w:tcPr>
          <w:p w14:paraId="308DAC96"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27</w:t>
            </w:r>
          </w:p>
        </w:tc>
        <w:tc>
          <w:tcPr>
            <w:tcW w:w="0" w:type="auto"/>
            <w:tcBorders>
              <w:top w:val="nil"/>
              <w:left w:val="nil"/>
              <w:bottom w:val="nil"/>
              <w:right w:val="nil"/>
            </w:tcBorders>
            <w:shd w:val="clear" w:color="auto" w:fill="auto"/>
            <w:noWrap/>
            <w:vAlign w:val="center"/>
            <w:hideMark/>
          </w:tcPr>
          <w:p w14:paraId="4622CD69"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w:t>
            </w:r>
          </w:p>
        </w:tc>
        <w:tc>
          <w:tcPr>
            <w:tcW w:w="0" w:type="auto"/>
            <w:tcBorders>
              <w:top w:val="nil"/>
              <w:left w:val="nil"/>
              <w:bottom w:val="nil"/>
              <w:right w:val="nil"/>
            </w:tcBorders>
            <w:shd w:val="clear" w:color="auto" w:fill="auto"/>
            <w:noWrap/>
            <w:vAlign w:val="center"/>
            <w:hideMark/>
          </w:tcPr>
          <w:p w14:paraId="402F0398"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90</w:t>
            </w:r>
          </w:p>
        </w:tc>
        <w:tc>
          <w:tcPr>
            <w:tcW w:w="0" w:type="auto"/>
            <w:tcBorders>
              <w:top w:val="nil"/>
              <w:left w:val="nil"/>
              <w:bottom w:val="nil"/>
              <w:right w:val="nil"/>
            </w:tcBorders>
            <w:shd w:val="clear" w:color="auto" w:fill="auto"/>
            <w:noWrap/>
            <w:vAlign w:val="center"/>
            <w:hideMark/>
          </w:tcPr>
          <w:p w14:paraId="66A9BEE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480</w:t>
            </w:r>
          </w:p>
        </w:tc>
        <w:tc>
          <w:tcPr>
            <w:tcW w:w="0" w:type="auto"/>
            <w:tcBorders>
              <w:top w:val="nil"/>
              <w:left w:val="nil"/>
              <w:bottom w:val="nil"/>
              <w:right w:val="nil"/>
            </w:tcBorders>
            <w:vAlign w:val="center"/>
          </w:tcPr>
          <w:p w14:paraId="190C7D5B" w14:textId="77777777" w:rsidR="00091DF8" w:rsidRPr="00756BE2" w:rsidRDefault="00091DF8" w:rsidP="00E24FD5">
            <w:pPr>
              <w:jc w:val="center"/>
              <w:rPr>
                <w:rFonts w:ascii="Arial" w:hAnsi="Arial" w:cs="Arial"/>
                <w:sz w:val="16"/>
                <w:szCs w:val="16"/>
              </w:rPr>
            </w:pPr>
            <w:r w:rsidRPr="00065DC4">
              <w:rPr>
                <w:rFonts w:ascii="Arial" w:hAnsi="Arial" w:cs="Arial"/>
                <w:sz w:val="16"/>
                <w:szCs w:val="16"/>
              </w:rPr>
              <w:t>196</w:t>
            </w:r>
            <w:r>
              <w:rPr>
                <w:rFonts w:ascii="Arial" w:hAnsi="Arial" w:cs="Arial"/>
                <w:sz w:val="16"/>
                <w:szCs w:val="16"/>
              </w:rPr>
              <w:t xml:space="preserve"> (</w:t>
            </w:r>
            <w:r w:rsidRPr="00065DC4">
              <w:rPr>
                <w:rFonts w:ascii="Arial" w:hAnsi="Arial" w:cs="Arial"/>
                <w:sz w:val="16"/>
                <w:szCs w:val="16"/>
              </w:rPr>
              <w:t>155</w:t>
            </w:r>
            <w:r>
              <w:rPr>
                <w:rFonts w:ascii="Arial" w:hAnsi="Arial" w:cs="Arial"/>
                <w:sz w:val="16"/>
                <w:szCs w:val="16"/>
              </w:rPr>
              <w:t xml:space="preserve">, </w:t>
            </w:r>
            <w:r w:rsidRPr="00065DC4">
              <w:rPr>
                <w:rFonts w:ascii="Arial" w:hAnsi="Arial" w:cs="Arial"/>
                <w:sz w:val="16"/>
                <w:szCs w:val="16"/>
              </w:rPr>
              <w:t>249</w:t>
            </w:r>
            <w:r>
              <w:rPr>
                <w:rFonts w:ascii="Arial" w:hAnsi="Arial" w:cs="Arial"/>
                <w:sz w:val="16"/>
                <w:szCs w:val="16"/>
              </w:rPr>
              <w:t>)</w:t>
            </w:r>
          </w:p>
        </w:tc>
      </w:tr>
      <w:tr w:rsidR="00091DF8" w:rsidRPr="00756BE2" w14:paraId="5CE93FA4"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03C70E59" w14:textId="77777777" w:rsidR="00091DF8" w:rsidRPr="001E7FEC" w:rsidRDefault="00091DF8" w:rsidP="00E24FD5">
            <w:pPr>
              <w:rPr>
                <w:rFonts w:ascii="Arial" w:hAnsi="Arial" w:cs="Arial"/>
                <w:sz w:val="16"/>
                <w:szCs w:val="16"/>
              </w:rPr>
            </w:pPr>
            <w:r w:rsidRPr="001E7FEC">
              <w:rPr>
                <w:rFonts w:ascii="Arial" w:hAnsi="Arial" w:cs="Arial"/>
                <w:sz w:val="16"/>
                <w:szCs w:val="16"/>
              </w:rPr>
              <w:t>Eastern</w:t>
            </w:r>
          </w:p>
        </w:tc>
        <w:tc>
          <w:tcPr>
            <w:tcW w:w="0" w:type="auto"/>
            <w:tcBorders>
              <w:top w:val="nil"/>
              <w:left w:val="nil"/>
              <w:bottom w:val="nil"/>
              <w:right w:val="nil"/>
            </w:tcBorders>
            <w:shd w:val="clear" w:color="auto" w:fill="auto"/>
            <w:noWrap/>
            <w:vAlign w:val="center"/>
            <w:hideMark/>
          </w:tcPr>
          <w:p w14:paraId="067E2A87"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3427</w:t>
            </w:r>
          </w:p>
        </w:tc>
        <w:tc>
          <w:tcPr>
            <w:tcW w:w="0" w:type="auto"/>
            <w:tcBorders>
              <w:top w:val="nil"/>
              <w:left w:val="nil"/>
              <w:bottom w:val="nil"/>
              <w:right w:val="nil"/>
            </w:tcBorders>
            <w:shd w:val="clear" w:color="auto" w:fill="auto"/>
            <w:noWrap/>
            <w:vAlign w:val="center"/>
            <w:hideMark/>
          </w:tcPr>
          <w:p w14:paraId="31322761"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3.4</w:t>
            </w:r>
          </w:p>
        </w:tc>
        <w:tc>
          <w:tcPr>
            <w:tcW w:w="0" w:type="auto"/>
            <w:tcBorders>
              <w:top w:val="nil"/>
              <w:left w:val="nil"/>
              <w:bottom w:val="nil"/>
              <w:right w:val="nil"/>
            </w:tcBorders>
            <w:shd w:val="clear" w:color="auto" w:fill="auto"/>
            <w:noWrap/>
            <w:vAlign w:val="center"/>
            <w:hideMark/>
          </w:tcPr>
          <w:p w14:paraId="6C1D7FC3"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92</w:t>
            </w:r>
          </w:p>
        </w:tc>
        <w:tc>
          <w:tcPr>
            <w:tcW w:w="0" w:type="auto"/>
            <w:tcBorders>
              <w:top w:val="nil"/>
              <w:left w:val="nil"/>
              <w:bottom w:val="nil"/>
              <w:right w:val="nil"/>
            </w:tcBorders>
            <w:shd w:val="clear" w:color="auto" w:fill="auto"/>
            <w:noWrap/>
            <w:vAlign w:val="center"/>
            <w:hideMark/>
          </w:tcPr>
          <w:p w14:paraId="42BB5FA4"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-23</w:t>
            </w:r>
          </w:p>
        </w:tc>
        <w:tc>
          <w:tcPr>
            <w:tcW w:w="0" w:type="auto"/>
            <w:tcBorders>
              <w:top w:val="nil"/>
              <w:left w:val="nil"/>
              <w:bottom w:val="nil"/>
              <w:right w:val="nil"/>
            </w:tcBorders>
            <w:shd w:val="clear" w:color="auto" w:fill="auto"/>
            <w:noWrap/>
            <w:vAlign w:val="center"/>
            <w:hideMark/>
          </w:tcPr>
          <w:p w14:paraId="2950DD89"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33</w:t>
            </w:r>
          </w:p>
        </w:tc>
        <w:tc>
          <w:tcPr>
            <w:tcW w:w="0" w:type="auto"/>
            <w:tcBorders>
              <w:top w:val="nil"/>
              <w:left w:val="nil"/>
              <w:bottom w:val="nil"/>
              <w:right w:val="nil"/>
            </w:tcBorders>
            <w:shd w:val="clear" w:color="auto" w:fill="auto"/>
            <w:noWrap/>
            <w:vAlign w:val="center"/>
            <w:hideMark/>
          </w:tcPr>
          <w:p w14:paraId="1E4FAB23"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14</w:t>
            </w:r>
          </w:p>
        </w:tc>
        <w:tc>
          <w:tcPr>
            <w:tcW w:w="0" w:type="auto"/>
            <w:tcBorders>
              <w:top w:val="nil"/>
              <w:left w:val="nil"/>
              <w:bottom w:val="nil"/>
              <w:right w:val="nil"/>
            </w:tcBorders>
            <w:shd w:val="clear" w:color="auto" w:fill="auto"/>
            <w:noWrap/>
            <w:vAlign w:val="center"/>
            <w:hideMark/>
          </w:tcPr>
          <w:p w14:paraId="7165137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86</w:t>
            </w:r>
          </w:p>
        </w:tc>
        <w:tc>
          <w:tcPr>
            <w:tcW w:w="0" w:type="auto"/>
            <w:tcBorders>
              <w:top w:val="nil"/>
              <w:left w:val="nil"/>
              <w:bottom w:val="nil"/>
              <w:right w:val="nil"/>
            </w:tcBorders>
            <w:shd w:val="clear" w:color="auto" w:fill="auto"/>
            <w:noWrap/>
            <w:vAlign w:val="center"/>
            <w:hideMark/>
          </w:tcPr>
          <w:p w14:paraId="4DA79298"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649</w:t>
            </w:r>
          </w:p>
        </w:tc>
        <w:tc>
          <w:tcPr>
            <w:tcW w:w="0" w:type="auto"/>
            <w:tcBorders>
              <w:top w:val="nil"/>
              <w:left w:val="nil"/>
              <w:bottom w:val="nil"/>
              <w:right w:val="nil"/>
            </w:tcBorders>
            <w:vAlign w:val="center"/>
          </w:tcPr>
          <w:p w14:paraId="30AFA211" w14:textId="77777777" w:rsidR="00091DF8" w:rsidRPr="00756BE2" w:rsidRDefault="00091DF8" w:rsidP="00E24FD5">
            <w:pPr>
              <w:jc w:val="center"/>
              <w:rPr>
                <w:rFonts w:ascii="Arial" w:hAnsi="Arial" w:cs="Arial"/>
                <w:sz w:val="16"/>
                <w:szCs w:val="16"/>
              </w:rPr>
            </w:pPr>
            <w:r w:rsidRPr="00065DC4">
              <w:rPr>
                <w:rFonts w:ascii="Arial" w:hAnsi="Arial" w:cs="Arial"/>
                <w:sz w:val="16"/>
                <w:szCs w:val="16"/>
              </w:rPr>
              <w:t>305</w:t>
            </w:r>
            <w:r>
              <w:rPr>
                <w:rFonts w:ascii="Arial" w:hAnsi="Arial" w:cs="Arial"/>
                <w:sz w:val="16"/>
                <w:szCs w:val="16"/>
              </w:rPr>
              <w:t xml:space="preserve"> (</w:t>
            </w:r>
            <w:r w:rsidRPr="00065DC4">
              <w:rPr>
                <w:rFonts w:ascii="Arial" w:hAnsi="Arial" w:cs="Arial"/>
                <w:sz w:val="16"/>
                <w:szCs w:val="16"/>
              </w:rPr>
              <w:t>240</w:t>
            </w:r>
            <w:r>
              <w:rPr>
                <w:rFonts w:ascii="Arial" w:hAnsi="Arial" w:cs="Arial"/>
                <w:sz w:val="16"/>
                <w:szCs w:val="16"/>
              </w:rPr>
              <w:t xml:space="preserve">, </w:t>
            </w:r>
            <w:r w:rsidRPr="00065DC4">
              <w:rPr>
                <w:rFonts w:ascii="Arial" w:hAnsi="Arial" w:cs="Arial"/>
                <w:sz w:val="16"/>
                <w:szCs w:val="16"/>
              </w:rPr>
              <w:t>386</w:t>
            </w:r>
            <w:r>
              <w:rPr>
                <w:rFonts w:ascii="Arial" w:hAnsi="Arial" w:cs="Arial"/>
                <w:sz w:val="16"/>
                <w:szCs w:val="16"/>
              </w:rPr>
              <w:t>)</w:t>
            </w:r>
          </w:p>
        </w:tc>
      </w:tr>
      <w:tr w:rsidR="00091DF8" w:rsidRPr="00756BE2" w14:paraId="73682949" w14:textId="77777777" w:rsidTr="00E24FD5">
        <w:trPr>
          <w:trHeight w:val="300"/>
          <w:jc w:val="center"/>
        </w:trPr>
        <w:tc>
          <w:tcPr>
            <w:tcW w:w="0" w:type="auto"/>
            <w:tcBorders>
              <w:top w:val="nil"/>
              <w:left w:val="nil"/>
              <w:bottom w:val="nil"/>
              <w:right w:val="nil"/>
            </w:tcBorders>
            <w:shd w:val="clear" w:color="auto" w:fill="auto"/>
            <w:noWrap/>
            <w:vAlign w:val="center"/>
          </w:tcPr>
          <w:p w14:paraId="7B3B4BC5" w14:textId="77777777" w:rsidR="00091DF8" w:rsidRPr="001E7FEC" w:rsidRDefault="00091DF8" w:rsidP="00E24FD5">
            <w:pPr>
              <w:rPr>
                <w:rFonts w:ascii="Arial" w:hAnsi="Arial" w:cs="Arial"/>
                <w:sz w:val="16"/>
                <w:szCs w:val="16"/>
              </w:rPr>
            </w:pPr>
            <w:r w:rsidRPr="001E7FEC">
              <w:rPr>
                <w:rFonts w:ascii="Arial" w:hAnsi="Arial" w:cs="Arial"/>
                <w:sz w:val="16"/>
                <w:szCs w:val="16"/>
              </w:rPr>
              <w:t>Canyon</w:t>
            </w:r>
            <w:r w:rsidRPr="001E7FEC">
              <w:rPr>
                <w:rFonts w:ascii="Arial" w:hAnsi="Arial" w:cs="Arial"/>
                <w:sz w:val="16"/>
                <w:szCs w:val="16"/>
              </w:rPr>
              <w:br/>
              <w:t>(all sites)</w:t>
            </w:r>
          </w:p>
        </w:tc>
        <w:tc>
          <w:tcPr>
            <w:tcW w:w="0" w:type="auto"/>
            <w:tcBorders>
              <w:top w:val="nil"/>
              <w:left w:val="nil"/>
              <w:bottom w:val="nil"/>
              <w:right w:val="nil"/>
            </w:tcBorders>
            <w:shd w:val="clear" w:color="auto" w:fill="auto"/>
            <w:noWrap/>
            <w:vAlign w:val="center"/>
          </w:tcPr>
          <w:p w14:paraId="2CD6B29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3425</w:t>
            </w:r>
          </w:p>
        </w:tc>
        <w:tc>
          <w:tcPr>
            <w:tcW w:w="0" w:type="auto"/>
            <w:tcBorders>
              <w:top w:val="nil"/>
              <w:left w:val="nil"/>
              <w:bottom w:val="nil"/>
              <w:right w:val="nil"/>
            </w:tcBorders>
            <w:shd w:val="clear" w:color="auto" w:fill="auto"/>
            <w:noWrap/>
            <w:vAlign w:val="center"/>
          </w:tcPr>
          <w:p w14:paraId="438D0AA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2.8</w:t>
            </w:r>
          </w:p>
        </w:tc>
        <w:tc>
          <w:tcPr>
            <w:tcW w:w="0" w:type="auto"/>
            <w:tcBorders>
              <w:top w:val="nil"/>
              <w:left w:val="nil"/>
              <w:bottom w:val="nil"/>
              <w:right w:val="nil"/>
            </w:tcBorders>
            <w:shd w:val="clear" w:color="auto" w:fill="auto"/>
            <w:noWrap/>
            <w:vAlign w:val="center"/>
          </w:tcPr>
          <w:p w14:paraId="14DEF91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140</w:t>
            </w:r>
          </w:p>
        </w:tc>
        <w:tc>
          <w:tcPr>
            <w:tcW w:w="0" w:type="auto"/>
            <w:tcBorders>
              <w:top w:val="nil"/>
              <w:left w:val="nil"/>
              <w:bottom w:val="nil"/>
              <w:right w:val="nil"/>
            </w:tcBorders>
            <w:shd w:val="clear" w:color="auto" w:fill="auto"/>
            <w:noWrap/>
            <w:vAlign w:val="center"/>
          </w:tcPr>
          <w:p w14:paraId="4907DA2D"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-23</w:t>
            </w:r>
          </w:p>
        </w:tc>
        <w:tc>
          <w:tcPr>
            <w:tcW w:w="0" w:type="auto"/>
            <w:tcBorders>
              <w:top w:val="nil"/>
              <w:left w:val="nil"/>
              <w:bottom w:val="nil"/>
              <w:right w:val="nil"/>
            </w:tcBorders>
            <w:shd w:val="clear" w:color="auto" w:fill="auto"/>
            <w:noWrap/>
            <w:vAlign w:val="center"/>
          </w:tcPr>
          <w:p w14:paraId="4D49C7DD"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29</w:t>
            </w:r>
          </w:p>
        </w:tc>
        <w:tc>
          <w:tcPr>
            <w:tcW w:w="0" w:type="auto"/>
            <w:tcBorders>
              <w:top w:val="nil"/>
              <w:left w:val="nil"/>
              <w:bottom w:val="nil"/>
              <w:right w:val="nil"/>
            </w:tcBorders>
            <w:shd w:val="clear" w:color="auto" w:fill="auto"/>
            <w:noWrap/>
            <w:vAlign w:val="center"/>
          </w:tcPr>
          <w:p w14:paraId="2285491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12</w:t>
            </w:r>
          </w:p>
        </w:tc>
        <w:tc>
          <w:tcPr>
            <w:tcW w:w="0" w:type="auto"/>
            <w:tcBorders>
              <w:top w:val="nil"/>
              <w:left w:val="nil"/>
              <w:bottom w:val="nil"/>
              <w:right w:val="nil"/>
            </w:tcBorders>
            <w:shd w:val="clear" w:color="auto" w:fill="auto"/>
            <w:noWrap/>
            <w:vAlign w:val="center"/>
          </w:tcPr>
          <w:p w14:paraId="6E52E9F3"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88</w:t>
            </w:r>
          </w:p>
        </w:tc>
        <w:tc>
          <w:tcPr>
            <w:tcW w:w="0" w:type="auto"/>
            <w:tcBorders>
              <w:top w:val="nil"/>
              <w:left w:val="nil"/>
              <w:bottom w:val="nil"/>
              <w:right w:val="nil"/>
            </w:tcBorders>
            <w:shd w:val="clear" w:color="auto" w:fill="auto"/>
            <w:noWrap/>
            <w:vAlign w:val="center"/>
          </w:tcPr>
          <w:p w14:paraId="7DE5F84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461</w:t>
            </w:r>
          </w:p>
        </w:tc>
        <w:tc>
          <w:tcPr>
            <w:tcW w:w="0" w:type="auto"/>
            <w:tcBorders>
              <w:top w:val="nil"/>
              <w:left w:val="nil"/>
              <w:bottom w:val="nil"/>
              <w:right w:val="nil"/>
            </w:tcBorders>
            <w:vAlign w:val="center"/>
          </w:tcPr>
          <w:p w14:paraId="7A719B85" w14:textId="77777777" w:rsidR="00091DF8" w:rsidRPr="00756BE2" w:rsidRDefault="00091DF8" w:rsidP="00E24FD5">
            <w:pPr>
              <w:jc w:val="center"/>
              <w:rPr>
                <w:rFonts w:ascii="Arial" w:hAnsi="Arial" w:cs="Arial"/>
                <w:sz w:val="16"/>
                <w:szCs w:val="16"/>
              </w:rPr>
            </w:pPr>
            <w:r w:rsidRPr="00065DC4">
              <w:rPr>
                <w:rFonts w:ascii="Arial" w:hAnsi="Arial" w:cs="Arial"/>
                <w:sz w:val="16"/>
                <w:szCs w:val="16"/>
              </w:rPr>
              <w:t>196</w:t>
            </w:r>
            <w:r>
              <w:rPr>
                <w:rFonts w:ascii="Arial" w:hAnsi="Arial" w:cs="Arial"/>
                <w:sz w:val="16"/>
                <w:szCs w:val="16"/>
              </w:rPr>
              <w:t xml:space="preserve"> (</w:t>
            </w:r>
            <w:r w:rsidRPr="00065DC4">
              <w:rPr>
                <w:rFonts w:ascii="Arial" w:hAnsi="Arial" w:cs="Arial"/>
                <w:sz w:val="16"/>
                <w:szCs w:val="16"/>
              </w:rPr>
              <w:t>154</w:t>
            </w:r>
            <w:r>
              <w:rPr>
                <w:rFonts w:ascii="Arial" w:hAnsi="Arial" w:cs="Arial"/>
                <w:sz w:val="16"/>
                <w:szCs w:val="16"/>
              </w:rPr>
              <w:t xml:space="preserve">, </w:t>
            </w:r>
            <w:r w:rsidRPr="00065DC4">
              <w:rPr>
                <w:rFonts w:ascii="Arial" w:hAnsi="Arial" w:cs="Arial"/>
                <w:sz w:val="16"/>
                <w:szCs w:val="16"/>
              </w:rPr>
              <w:t>251</w:t>
            </w:r>
            <w:r>
              <w:rPr>
                <w:rFonts w:ascii="Arial" w:hAnsi="Arial" w:cs="Arial"/>
                <w:sz w:val="16"/>
                <w:szCs w:val="16"/>
              </w:rPr>
              <w:t>)</w:t>
            </w:r>
          </w:p>
        </w:tc>
      </w:tr>
    </w:tbl>
    <w:p w14:paraId="7E04CBFA" w14:textId="77777777" w:rsidR="00091DF8" w:rsidRPr="001E7FEC" w:rsidRDefault="00091DF8" w:rsidP="00091DF8"/>
    <w:p w14:paraId="19123CC5" w14:textId="77777777" w:rsidR="00091DF8" w:rsidRDefault="00091DF8" w:rsidP="00091DF8">
      <w:pPr>
        <w:rPr>
          <w:b/>
        </w:rPr>
      </w:pPr>
      <w:r>
        <w:rPr>
          <w:b/>
        </w:rPr>
        <w:br w:type="page"/>
      </w:r>
    </w:p>
    <w:p w14:paraId="6BB20A49" w14:textId="7CA0FB73" w:rsidR="00091DF8" w:rsidRDefault="00091DF8" w:rsidP="00091DF8">
      <w:r>
        <w:rPr>
          <w:b/>
        </w:rPr>
        <w:lastRenderedPageBreak/>
        <w:t>Table 3.</w:t>
      </w:r>
      <w:r>
        <w:t xml:space="preserve"> Macrofaunal nematode density, biomass, feeding types, trophic diversity, and maturity index at the Whittard Canyon (Western, Central and Eastern branches) and adjacent slope study sites. (Feeding types 1A, selective deposit feeder; 1B, non-selective deposit feeder; 2A, epigrowth feeder; 2B, predator / scavenger). </w:t>
      </w:r>
      <w:r w:rsidR="00963919">
        <w:t>V</w:t>
      </w:r>
      <w:r>
        <w:t>alues given in parentheses are 95% confidence intervals.</w:t>
      </w:r>
    </w:p>
    <w:p w14:paraId="28417F9E" w14:textId="77777777" w:rsidR="00091DF8" w:rsidRDefault="00091DF8" w:rsidP="00091DF8"/>
    <w:tbl>
      <w:tblPr>
        <w:tblW w:w="0" w:type="auto"/>
        <w:jc w:val="center"/>
        <w:tblLook w:val="04A0" w:firstRow="1" w:lastRow="0" w:firstColumn="1" w:lastColumn="0" w:noHBand="0" w:noVBand="1"/>
      </w:tblPr>
      <w:tblGrid>
        <w:gridCol w:w="883"/>
        <w:gridCol w:w="1391"/>
        <w:gridCol w:w="1408"/>
        <w:gridCol w:w="528"/>
        <w:gridCol w:w="439"/>
        <w:gridCol w:w="528"/>
        <w:gridCol w:w="528"/>
        <w:gridCol w:w="1337"/>
        <w:gridCol w:w="839"/>
      </w:tblGrid>
      <w:tr w:rsidR="00091DF8" w:rsidRPr="00697AFE" w14:paraId="29BCBCEE" w14:textId="77777777" w:rsidTr="00E24FD5">
        <w:trPr>
          <w:trHeight w:val="300"/>
          <w:jc w:val="center"/>
        </w:trPr>
        <w:tc>
          <w:tcPr>
            <w:tcW w:w="0" w:type="auto"/>
            <w:vMerge w:val="restart"/>
            <w:tcBorders>
              <w:top w:val="nil"/>
              <w:left w:val="nil"/>
              <w:right w:val="nil"/>
            </w:tcBorders>
            <w:shd w:val="clear" w:color="auto" w:fill="auto"/>
            <w:noWrap/>
            <w:vAlign w:val="center"/>
            <w:hideMark/>
          </w:tcPr>
          <w:p w14:paraId="73C995DB" w14:textId="77777777" w:rsidR="00091DF8" w:rsidRPr="001E7FEC" w:rsidRDefault="00091DF8" w:rsidP="00E24FD5">
            <w:pPr>
              <w:rPr>
                <w:rFonts w:ascii="Arial" w:hAnsi="Arial" w:cs="Arial"/>
                <w:b/>
                <w:sz w:val="16"/>
                <w:szCs w:val="16"/>
              </w:rPr>
            </w:pPr>
            <w:r w:rsidRPr="001E7FEC">
              <w:rPr>
                <w:rFonts w:ascii="Arial" w:hAnsi="Arial" w:cs="Arial"/>
                <w:b/>
                <w:sz w:val="16"/>
                <w:szCs w:val="16"/>
              </w:rPr>
              <w:t>Location</w:t>
            </w:r>
          </w:p>
        </w:tc>
        <w:tc>
          <w:tcPr>
            <w:tcW w:w="0" w:type="auto"/>
            <w:vMerge w:val="restart"/>
            <w:tcBorders>
              <w:top w:val="nil"/>
              <w:left w:val="nil"/>
              <w:right w:val="nil"/>
            </w:tcBorders>
            <w:vAlign w:val="center"/>
          </w:tcPr>
          <w:p w14:paraId="1786DB03"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 xml:space="preserve">Density </w:t>
            </w:r>
            <w:r w:rsidRPr="001E7FEC">
              <w:rPr>
                <w:rFonts w:ascii="Arial" w:hAnsi="Arial" w:cs="Arial"/>
                <w:b/>
                <w:sz w:val="16"/>
                <w:szCs w:val="16"/>
              </w:rPr>
              <w:br/>
              <w:t>(ind 0.1 m</w:t>
            </w:r>
            <w:r w:rsidRPr="001E7FEC">
              <w:rPr>
                <w:rFonts w:ascii="Arial" w:hAnsi="Arial" w:cs="Arial"/>
                <w:b/>
                <w:sz w:val="16"/>
                <w:szCs w:val="16"/>
                <w:vertAlign w:val="superscript"/>
              </w:rPr>
              <w:t>-2</w:t>
            </w:r>
            <w:r w:rsidRPr="001E7FEC">
              <w:rPr>
                <w:rFonts w:ascii="Arial" w:hAnsi="Arial" w:cs="Arial"/>
                <w:b/>
                <w:sz w:val="16"/>
                <w:szCs w:val="16"/>
              </w:rPr>
              <w:t>)</w:t>
            </w:r>
          </w:p>
        </w:tc>
        <w:tc>
          <w:tcPr>
            <w:tcW w:w="0" w:type="auto"/>
            <w:vMerge w:val="restart"/>
            <w:tcBorders>
              <w:top w:val="nil"/>
              <w:left w:val="nil"/>
              <w:right w:val="nil"/>
            </w:tcBorders>
            <w:vAlign w:val="center"/>
          </w:tcPr>
          <w:p w14:paraId="2B8CBDA9"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Biomass</w:t>
            </w:r>
            <w:r w:rsidRPr="001E7FEC">
              <w:rPr>
                <w:rFonts w:ascii="Arial" w:hAnsi="Arial" w:cs="Arial"/>
                <w:b/>
                <w:sz w:val="16"/>
                <w:szCs w:val="16"/>
              </w:rPr>
              <w:br/>
              <w:t>(ng wwt 0.1 m</w:t>
            </w:r>
            <w:r w:rsidRPr="001E7FEC">
              <w:rPr>
                <w:rFonts w:ascii="Arial" w:hAnsi="Arial" w:cs="Arial"/>
                <w:b/>
                <w:sz w:val="16"/>
                <w:szCs w:val="16"/>
                <w:vertAlign w:val="superscript"/>
              </w:rPr>
              <w:t>-2</w:t>
            </w:r>
            <w:r w:rsidRPr="001E7FEC">
              <w:rPr>
                <w:rFonts w:ascii="Arial" w:hAnsi="Arial" w:cs="Arial"/>
                <w:b/>
                <w:sz w:val="16"/>
                <w:szCs w:val="16"/>
              </w:rPr>
              <w:t>)</w:t>
            </w:r>
          </w:p>
        </w:tc>
        <w:tc>
          <w:tcPr>
            <w:tcW w:w="0" w:type="auto"/>
            <w:gridSpan w:val="4"/>
            <w:tcBorders>
              <w:top w:val="nil"/>
              <w:left w:val="nil"/>
              <w:bottom w:val="nil"/>
              <w:right w:val="nil"/>
            </w:tcBorders>
            <w:shd w:val="clear" w:color="auto" w:fill="auto"/>
            <w:noWrap/>
            <w:vAlign w:val="center"/>
            <w:hideMark/>
          </w:tcPr>
          <w:p w14:paraId="5154BF61"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Feeding type (%)</w:t>
            </w:r>
          </w:p>
        </w:tc>
        <w:tc>
          <w:tcPr>
            <w:tcW w:w="0" w:type="auto"/>
            <w:vMerge w:val="restart"/>
            <w:tcBorders>
              <w:top w:val="nil"/>
              <w:left w:val="nil"/>
              <w:right w:val="nil"/>
            </w:tcBorders>
            <w:shd w:val="clear" w:color="auto" w:fill="auto"/>
            <w:noWrap/>
            <w:vAlign w:val="center"/>
            <w:hideMark/>
          </w:tcPr>
          <w:p w14:paraId="3B3ED4EA"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Trophic</w:t>
            </w:r>
            <w:r w:rsidRPr="001E7FEC">
              <w:rPr>
                <w:rFonts w:ascii="Arial" w:hAnsi="Arial" w:cs="Arial"/>
                <w:b/>
                <w:sz w:val="16"/>
                <w:szCs w:val="16"/>
              </w:rPr>
              <w:br/>
              <w:t>diversity index</w:t>
            </w:r>
          </w:p>
        </w:tc>
        <w:tc>
          <w:tcPr>
            <w:tcW w:w="0" w:type="auto"/>
            <w:vMerge w:val="restart"/>
            <w:tcBorders>
              <w:top w:val="nil"/>
              <w:left w:val="nil"/>
              <w:right w:val="nil"/>
            </w:tcBorders>
            <w:shd w:val="clear" w:color="auto" w:fill="auto"/>
            <w:noWrap/>
            <w:vAlign w:val="center"/>
            <w:hideMark/>
          </w:tcPr>
          <w:p w14:paraId="747AE554"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Maturity</w:t>
            </w:r>
            <w:r w:rsidRPr="001E7FEC">
              <w:rPr>
                <w:rFonts w:ascii="Arial" w:hAnsi="Arial" w:cs="Arial"/>
                <w:b/>
                <w:sz w:val="16"/>
                <w:szCs w:val="16"/>
              </w:rPr>
              <w:br/>
              <w:t>Index</w:t>
            </w:r>
          </w:p>
        </w:tc>
      </w:tr>
      <w:tr w:rsidR="00091DF8" w:rsidRPr="00697AFE" w14:paraId="60DE98E5" w14:textId="77777777" w:rsidTr="00E24FD5">
        <w:trPr>
          <w:trHeight w:val="300"/>
          <w:jc w:val="center"/>
        </w:trPr>
        <w:tc>
          <w:tcPr>
            <w:tcW w:w="0" w:type="auto"/>
            <w:vMerge/>
            <w:tcBorders>
              <w:left w:val="nil"/>
              <w:bottom w:val="nil"/>
              <w:right w:val="nil"/>
            </w:tcBorders>
            <w:shd w:val="clear" w:color="auto" w:fill="auto"/>
            <w:noWrap/>
            <w:vAlign w:val="center"/>
            <w:hideMark/>
          </w:tcPr>
          <w:p w14:paraId="48A8C237" w14:textId="77777777" w:rsidR="00091DF8" w:rsidRPr="001E7FEC" w:rsidRDefault="00091DF8" w:rsidP="00E24FD5">
            <w:pPr>
              <w:contextualSpacing/>
              <w:rPr>
                <w:rFonts w:ascii="Arial" w:hAnsi="Arial" w:cs="Arial"/>
                <w:sz w:val="16"/>
                <w:szCs w:val="16"/>
              </w:rPr>
            </w:pPr>
          </w:p>
        </w:tc>
        <w:tc>
          <w:tcPr>
            <w:tcW w:w="0" w:type="auto"/>
            <w:vMerge/>
            <w:tcBorders>
              <w:left w:val="nil"/>
              <w:bottom w:val="nil"/>
              <w:right w:val="nil"/>
            </w:tcBorders>
            <w:vAlign w:val="center"/>
          </w:tcPr>
          <w:p w14:paraId="0D2F83F6" w14:textId="77777777" w:rsidR="00091DF8" w:rsidRPr="001E7FEC" w:rsidRDefault="00091DF8" w:rsidP="00E24FD5">
            <w:pPr>
              <w:jc w:val="center"/>
              <w:rPr>
                <w:rFonts w:ascii="Arial" w:hAnsi="Arial" w:cs="Arial"/>
                <w:b/>
                <w:sz w:val="16"/>
                <w:szCs w:val="16"/>
              </w:rPr>
            </w:pPr>
          </w:p>
        </w:tc>
        <w:tc>
          <w:tcPr>
            <w:tcW w:w="0" w:type="auto"/>
            <w:vMerge/>
            <w:tcBorders>
              <w:left w:val="nil"/>
              <w:bottom w:val="nil"/>
              <w:right w:val="nil"/>
            </w:tcBorders>
            <w:vAlign w:val="center"/>
          </w:tcPr>
          <w:p w14:paraId="72E62EE2" w14:textId="77777777" w:rsidR="00091DF8" w:rsidRPr="001E7FEC" w:rsidRDefault="00091DF8" w:rsidP="00E24FD5">
            <w:pPr>
              <w:jc w:val="center"/>
              <w:rPr>
                <w:rFonts w:ascii="Arial" w:hAnsi="Arial" w:cs="Arial"/>
                <w:b/>
                <w:sz w:val="16"/>
                <w:szCs w:val="16"/>
              </w:rPr>
            </w:pPr>
          </w:p>
        </w:tc>
        <w:tc>
          <w:tcPr>
            <w:tcW w:w="0" w:type="auto"/>
            <w:tcBorders>
              <w:top w:val="nil"/>
              <w:left w:val="nil"/>
              <w:bottom w:val="nil"/>
              <w:right w:val="nil"/>
            </w:tcBorders>
            <w:shd w:val="clear" w:color="auto" w:fill="auto"/>
            <w:noWrap/>
            <w:vAlign w:val="center"/>
            <w:hideMark/>
          </w:tcPr>
          <w:p w14:paraId="03A18EFD"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1A</w:t>
            </w:r>
          </w:p>
        </w:tc>
        <w:tc>
          <w:tcPr>
            <w:tcW w:w="0" w:type="auto"/>
            <w:tcBorders>
              <w:top w:val="nil"/>
              <w:left w:val="nil"/>
              <w:bottom w:val="nil"/>
              <w:right w:val="nil"/>
            </w:tcBorders>
            <w:shd w:val="clear" w:color="auto" w:fill="auto"/>
            <w:noWrap/>
            <w:vAlign w:val="center"/>
            <w:hideMark/>
          </w:tcPr>
          <w:p w14:paraId="67F72F30"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1B</w:t>
            </w:r>
          </w:p>
        </w:tc>
        <w:tc>
          <w:tcPr>
            <w:tcW w:w="0" w:type="auto"/>
            <w:tcBorders>
              <w:top w:val="nil"/>
              <w:left w:val="nil"/>
              <w:bottom w:val="nil"/>
              <w:right w:val="nil"/>
            </w:tcBorders>
            <w:shd w:val="clear" w:color="auto" w:fill="auto"/>
            <w:noWrap/>
            <w:vAlign w:val="center"/>
            <w:hideMark/>
          </w:tcPr>
          <w:p w14:paraId="10DA35E2"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2A</w:t>
            </w:r>
          </w:p>
        </w:tc>
        <w:tc>
          <w:tcPr>
            <w:tcW w:w="0" w:type="auto"/>
            <w:tcBorders>
              <w:top w:val="nil"/>
              <w:left w:val="nil"/>
              <w:bottom w:val="nil"/>
              <w:right w:val="nil"/>
            </w:tcBorders>
            <w:shd w:val="clear" w:color="auto" w:fill="auto"/>
            <w:noWrap/>
            <w:vAlign w:val="center"/>
            <w:hideMark/>
          </w:tcPr>
          <w:p w14:paraId="1E51D2BB"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2B</w:t>
            </w:r>
          </w:p>
        </w:tc>
        <w:tc>
          <w:tcPr>
            <w:tcW w:w="0" w:type="auto"/>
            <w:vMerge/>
            <w:tcBorders>
              <w:left w:val="nil"/>
              <w:bottom w:val="nil"/>
              <w:right w:val="nil"/>
            </w:tcBorders>
            <w:shd w:val="clear" w:color="auto" w:fill="auto"/>
            <w:noWrap/>
            <w:vAlign w:val="center"/>
            <w:hideMark/>
          </w:tcPr>
          <w:p w14:paraId="440E092E" w14:textId="77777777" w:rsidR="00091DF8" w:rsidRPr="001E7FEC" w:rsidRDefault="00091DF8" w:rsidP="00E24FD5">
            <w:pPr>
              <w:jc w:val="center"/>
              <w:rPr>
                <w:rFonts w:ascii="Arial" w:hAnsi="Arial" w:cs="Arial"/>
                <w:sz w:val="16"/>
                <w:szCs w:val="16"/>
              </w:rPr>
            </w:pPr>
          </w:p>
        </w:tc>
        <w:tc>
          <w:tcPr>
            <w:tcW w:w="0" w:type="auto"/>
            <w:vMerge/>
            <w:tcBorders>
              <w:left w:val="nil"/>
              <w:bottom w:val="nil"/>
              <w:right w:val="nil"/>
            </w:tcBorders>
            <w:shd w:val="clear" w:color="auto" w:fill="auto"/>
            <w:noWrap/>
            <w:vAlign w:val="center"/>
            <w:hideMark/>
          </w:tcPr>
          <w:p w14:paraId="6982FADB" w14:textId="77777777" w:rsidR="00091DF8" w:rsidRPr="001E7FEC" w:rsidRDefault="00091DF8" w:rsidP="00E24FD5">
            <w:pPr>
              <w:jc w:val="center"/>
              <w:rPr>
                <w:rFonts w:ascii="Arial" w:hAnsi="Arial" w:cs="Arial"/>
                <w:sz w:val="16"/>
                <w:szCs w:val="16"/>
              </w:rPr>
            </w:pPr>
          </w:p>
        </w:tc>
      </w:tr>
      <w:tr w:rsidR="00091DF8" w:rsidRPr="00697AFE" w14:paraId="5A192500"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569C7443" w14:textId="77777777" w:rsidR="00091DF8" w:rsidRPr="001E7FEC" w:rsidRDefault="00091DF8" w:rsidP="00E24FD5">
            <w:pPr>
              <w:rPr>
                <w:rFonts w:ascii="Arial" w:hAnsi="Arial" w:cs="Arial"/>
                <w:sz w:val="16"/>
                <w:szCs w:val="16"/>
              </w:rPr>
            </w:pPr>
            <w:r w:rsidRPr="001E7FEC">
              <w:rPr>
                <w:rFonts w:ascii="Arial" w:hAnsi="Arial" w:cs="Arial"/>
                <w:sz w:val="16"/>
                <w:szCs w:val="16"/>
              </w:rPr>
              <w:t>Slope</w:t>
            </w:r>
          </w:p>
        </w:tc>
        <w:tc>
          <w:tcPr>
            <w:tcW w:w="0" w:type="auto"/>
            <w:tcBorders>
              <w:top w:val="nil"/>
              <w:left w:val="nil"/>
              <w:bottom w:val="nil"/>
              <w:right w:val="nil"/>
            </w:tcBorders>
            <w:vAlign w:val="center"/>
          </w:tcPr>
          <w:p w14:paraId="4B251DD5"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16.1 (10.7, 24.4)</w:t>
            </w:r>
          </w:p>
        </w:tc>
        <w:tc>
          <w:tcPr>
            <w:tcW w:w="0" w:type="auto"/>
            <w:tcBorders>
              <w:top w:val="nil"/>
              <w:left w:val="nil"/>
              <w:bottom w:val="nil"/>
              <w:right w:val="nil"/>
            </w:tcBorders>
            <w:vAlign w:val="center"/>
          </w:tcPr>
          <w:p w14:paraId="69F65901"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0.70 (0.44, 1.13)</w:t>
            </w:r>
          </w:p>
        </w:tc>
        <w:tc>
          <w:tcPr>
            <w:tcW w:w="0" w:type="auto"/>
            <w:tcBorders>
              <w:top w:val="nil"/>
              <w:left w:val="nil"/>
              <w:bottom w:val="nil"/>
              <w:right w:val="nil"/>
            </w:tcBorders>
            <w:shd w:val="clear" w:color="auto" w:fill="auto"/>
            <w:noWrap/>
            <w:vAlign w:val="center"/>
            <w:hideMark/>
          </w:tcPr>
          <w:p w14:paraId="2AC17965"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39.8</w:t>
            </w:r>
          </w:p>
        </w:tc>
        <w:tc>
          <w:tcPr>
            <w:tcW w:w="0" w:type="auto"/>
            <w:tcBorders>
              <w:top w:val="nil"/>
              <w:left w:val="nil"/>
              <w:bottom w:val="nil"/>
              <w:right w:val="nil"/>
            </w:tcBorders>
            <w:shd w:val="clear" w:color="auto" w:fill="auto"/>
            <w:noWrap/>
            <w:vAlign w:val="center"/>
            <w:hideMark/>
          </w:tcPr>
          <w:p w14:paraId="5B5ADF19"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4.9</w:t>
            </w:r>
          </w:p>
        </w:tc>
        <w:tc>
          <w:tcPr>
            <w:tcW w:w="0" w:type="auto"/>
            <w:tcBorders>
              <w:top w:val="nil"/>
              <w:left w:val="nil"/>
              <w:bottom w:val="nil"/>
              <w:right w:val="nil"/>
            </w:tcBorders>
            <w:shd w:val="clear" w:color="auto" w:fill="auto"/>
            <w:noWrap/>
            <w:vAlign w:val="center"/>
            <w:hideMark/>
          </w:tcPr>
          <w:p w14:paraId="482D9FE4"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20.0</w:t>
            </w:r>
          </w:p>
        </w:tc>
        <w:tc>
          <w:tcPr>
            <w:tcW w:w="0" w:type="auto"/>
            <w:tcBorders>
              <w:top w:val="nil"/>
              <w:left w:val="nil"/>
              <w:bottom w:val="nil"/>
              <w:right w:val="nil"/>
            </w:tcBorders>
            <w:shd w:val="clear" w:color="auto" w:fill="auto"/>
            <w:noWrap/>
            <w:vAlign w:val="center"/>
            <w:hideMark/>
          </w:tcPr>
          <w:p w14:paraId="195BD78E"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35.3</w:t>
            </w:r>
          </w:p>
        </w:tc>
        <w:tc>
          <w:tcPr>
            <w:tcW w:w="0" w:type="auto"/>
            <w:tcBorders>
              <w:top w:val="nil"/>
              <w:left w:val="nil"/>
              <w:bottom w:val="nil"/>
              <w:right w:val="nil"/>
            </w:tcBorders>
            <w:shd w:val="clear" w:color="auto" w:fill="auto"/>
            <w:noWrap/>
            <w:vAlign w:val="center"/>
            <w:hideMark/>
          </w:tcPr>
          <w:p w14:paraId="7369215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0.42</w:t>
            </w:r>
          </w:p>
        </w:tc>
        <w:tc>
          <w:tcPr>
            <w:tcW w:w="0" w:type="auto"/>
            <w:tcBorders>
              <w:top w:val="nil"/>
              <w:left w:val="nil"/>
              <w:bottom w:val="nil"/>
              <w:right w:val="nil"/>
            </w:tcBorders>
            <w:shd w:val="clear" w:color="auto" w:fill="auto"/>
            <w:noWrap/>
            <w:vAlign w:val="center"/>
            <w:hideMark/>
          </w:tcPr>
          <w:p w14:paraId="233241F5"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3.36</w:t>
            </w:r>
          </w:p>
        </w:tc>
      </w:tr>
      <w:tr w:rsidR="00091DF8" w:rsidRPr="00697AFE" w14:paraId="4612F994"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11AD5867" w14:textId="77777777" w:rsidR="00091DF8" w:rsidRPr="001E7FEC" w:rsidRDefault="00091DF8" w:rsidP="00E24FD5">
            <w:pPr>
              <w:rPr>
                <w:rFonts w:ascii="Arial" w:hAnsi="Arial" w:cs="Arial"/>
                <w:sz w:val="16"/>
                <w:szCs w:val="16"/>
              </w:rPr>
            </w:pPr>
            <w:r w:rsidRPr="001E7FEC">
              <w:rPr>
                <w:rFonts w:ascii="Arial" w:hAnsi="Arial" w:cs="Arial"/>
                <w:sz w:val="16"/>
                <w:szCs w:val="16"/>
              </w:rPr>
              <w:t>Western</w:t>
            </w:r>
          </w:p>
        </w:tc>
        <w:tc>
          <w:tcPr>
            <w:tcW w:w="0" w:type="auto"/>
            <w:tcBorders>
              <w:top w:val="nil"/>
              <w:left w:val="nil"/>
              <w:bottom w:val="nil"/>
              <w:right w:val="nil"/>
            </w:tcBorders>
            <w:vAlign w:val="center"/>
          </w:tcPr>
          <w:p w14:paraId="4225345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37.6 (24.8, 56.8)</w:t>
            </w:r>
          </w:p>
        </w:tc>
        <w:tc>
          <w:tcPr>
            <w:tcW w:w="0" w:type="auto"/>
            <w:tcBorders>
              <w:top w:val="nil"/>
              <w:left w:val="nil"/>
              <w:bottom w:val="nil"/>
              <w:right w:val="nil"/>
            </w:tcBorders>
            <w:vAlign w:val="center"/>
          </w:tcPr>
          <w:p w14:paraId="2856E8E5"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3.90 (2.49, 6.08)</w:t>
            </w:r>
          </w:p>
        </w:tc>
        <w:tc>
          <w:tcPr>
            <w:tcW w:w="0" w:type="auto"/>
            <w:tcBorders>
              <w:top w:val="nil"/>
              <w:left w:val="nil"/>
              <w:bottom w:val="nil"/>
              <w:right w:val="nil"/>
            </w:tcBorders>
            <w:shd w:val="clear" w:color="auto" w:fill="auto"/>
            <w:noWrap/>
            <w:vAlign w:val="center"/>
            <w:hideMark/>
          </w:tcPr>
          <w:p w14:paraId="29315E8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13.2</w:t>
            </w:r>
          </w:p>
        </w:tc>
        <w:tc>
          <w:tcPr>
            <w:tcW w:w="0" w:type="auto"/>
            <w:tcBorders>
              <w:top w:val="nil"/>
              <w:left w:val="nil"/>
              <w:bottom w:val="nil"/>
              <w:right w:val="nil"/>
            </w:tcBorders>
            <w:shd w:val="clear" w:color="auto" w:fill="auto"/>
            <w:noWrap/>
            <w:vAlign w:val="center"/>
            <w:hideMark/>
          </w:tcPr>
          <w:p w14:paraId="66032F03"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6.6</w:t>
            </w:r>
          </w:p>
        </w:tc>
        <w:tc>
          <w:tcPr>
            <w:tcW w:w="0" w:type="auto"/>
            <w:tcBorders>
              <w:top w:val="nil"/>
              <w:left w:val="nil"/>
              <w:bottom w:val="nil"/>
              <w:right w:val="nil"/>
            </w:tcBorders>
            <w:shd w:val="clear" w:color="auto" w:fill="auto"/>
            <w:noWrap/>
            <w:vAlign w:val="center"/>
            <w:hideMark/>
          </w:tcPr>
          <w:p w14:paraId="232F701E"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45.1</w:t>
            </w:r>
          </w:p>
        </w:tc>
        <w:tc>
          <w:tcPr>
            <w:tcW w:w="0" w:type="auto"/>
            <w:tcBorders>
              <w:top w:val="nil"/>
              <w:left w:val="nil"/>
              <w:bottom w:val="nil"/>
              <w:right w:val="nil"/>
            </w:tcBorders>
            <w:shd w:val="clear" w:color="auto" w:fill="auto"/>
            <w:noWrap/>
            <w:vAlign w:val="center"/>
            <w:hideMark/>
          </w:tcPr>
          <w:p w14:paraId="6DECE332"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35.2</w:t>
            </w:r>
          </w:p>
        </w:tc>
        <w:tc>
          <w:tcPr>
            <w:tcW w:w="0" w:type="auto"/>
            <w:tcBorders>
              <w:top w:val="nil"/>
              <w:left w:val="nil"/>
              <w:bottom w:val="nil"/>
              <w:right w:val="nil"/>
            </w:tcBorders>
            <w:shd w:val="clear" w:color="auto" w:fill="auto"/>
            <w:noWrap/>
            <w:vAlign w:val="center"/>
            <w:hideMark/>
          </w:tcPr>
          <w:p w14:paraId="33D4ED2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0.40</w:t>
            </w:r>
          </w:p>
        </w:tc>
        <w:tc>
          <w:tcPr>
            <w:tcW w:w="0" w:type="auto"/>
            <w:tcBorders>
              <w:top w:val="nil"/>
              <w:left w:val="nil"/>
              <w:bottom w:val="nil"/>
              <w:right w:val="nil"/>
            </w:tcBorders>
            <w:shd w:val="clear" w:color="auto" w:fill="auto"/>
            <w:noWrap/>
            <w:vAlign w:val="center"/>
            <w:hideMark/>
          </w:tcPr>
          <w:p w14:paraId="0A99B72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3.27</w:t>
            </w:r>
          </w:p>
        </w:tc>
      </w:tr>
      <w:tr w:rsidR="00091DF8" w:rsidRPr="00697AFE" w14:paraId="1BEFDE9D"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60FD6A05" w14:textId="77777777" w:rsidR="00091DF8" w:rsidRPr="001E7FEC" w:rsidRDefault="00091DF8" w:rsidP="00E24FD5">
            <w:pPr>
              <w:rPr>
                <w:rFonts w:ascii="Arial" w:hAnsi="Arial" w:cs="Arial"/>
                <w:sz w:val="16"/>
                <w:szCs w:val="16"/>
              </w:rPr>
            </w:pPr>
            <w:r w:rsidRPr="001E7FEC">
              <w:rPr>
                <w:rFonts w:ascii="Arial" w:hAnsi="Arial" w:cs="Arial"/>
                <w:sz w:val="16"/>
                <w:szCs w:val="16"/>
              </w:rPr>
              <w:t>Central</w:t>
            </w:r>
          </w:p>
        </w:tc>
        <w:tc>
          <w:tcPr>
            <w:tcW w:w="0" w:type="auto"/>
            <w:tcBorders>
              <w:top w:val="nil"/>
              <w:left w:val="nil"/>
              <w:bottom w:val="nil"/>
              <w:right w:val="nil"/>
            </w:tcBorders>
            <w:vAlign w:val="center"/>
          </w:tcPr>
          <w:p w14:paraId="74D9380D"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42.0 (27.8, 63.5)</w:t>
            </w:r>
          </w:p>
        </w:tc>
        <w:tc>
          <w:tcPr>
            <w:tcW w:w="0" w:type="auto"/>
            <w:tcBorders>
              <w:top w:val="nil"/>
              <w:left w:val="nil"/>
              <w:bottom w:val="nil"/>
              <w:right w:val="nil"/>
            </w:tcBorders>
            <w:vAlign w:val="center"/>
          </w:tcPr>
          <w:p w14:paraId="4C483CB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9.58 (6.17, 14.9)</w:t>
            </w:r>
          </w:p>
        </w:tc>
        <w:tc>
          <w:tcPr>
            <w:tcW w:w="0" w:type="auto"/>
            <w:tcBorders>
              <w:top w:val="nil"/>
              <w:left w:val="nil"/>
              <w:bottom w:val="nil"/>
              <w:right w:val="nil"/>
            </w:tcBorders>
            <w:shd w:val="clear" w:color="auto" w:fill="auto"/>
            <w:noWrap/>
            <w:vAlign w:val="center"/>
            <w:hideMark/>
          </w:tcPr>
          <w:p w14:paraId="0A4D106C"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14.8</w:t>
            </w:r>
          </w:p>
        </w:tc>
        <w:tc>
          <w:tcPr>
            <w:tcW w:w="0" w:type="auto"/>
            <w:tcBorders>
              <w:top w:val="nil"/>
              <w:left w:val="nil"/>
              <w:bottom w:val="nil"/>
              <w:right w:val="nil"/>
            </w:tcBorders>
            <w:shd w:val="clear" w:color="auto" w:fill="auto"/>
            <w:noWrap/>
            <w:vAlign w:val="center"/>
            <w:hideMark/>
          </w:tcPr>
          <w:p w14:paraId="497BA29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8.8</w:t>
            </w:r>
          </w:p>
        </w:tc>
        <w:tc>
          <w:tcPr>
            <w:tcW w:w="0" w:type="auto"/>
            <w:tcBorders>
              <w:top w:val="nil"/>
              <w:left w:val="nil"/>
              <w:bottom w:val="nil"/>
              <w:right w:val="nil"/>
            </w:tcBorders>
            <w:shd w:val="clear" w:color="auto" w:fill="auto"/>
            <w:noWrap/>
            <w:vAlign w:val="center"/>
            <w:hideMark/>
          </w:tcPr>
          <w:p w14:paraId="2719BD99"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34.1</w:t>
            </w:r>
          </w:p>
        </w:tc>
        <w:tc>
          <w:tcPr>
            <w:tcW w:w="0" w:type="auto"/>
            <w:tcBorders>
              <w:top w:val="nil"/>
              <w:left w:val="nil"/>
              <w:bottom w:val="nil"/>
              <w:right w:val="nil"/>
            </w:tcBorders>
            <w:shd w:val="clear" w:color="auto" w:fill="auto"/>
            <w:noWrap/>
            <w:vAlign w:val="center"/>
            <w:hideMark/>
          </w:tcPr>
          <w:p w14:paraId="218B4D48"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42.4</w:t>
            </w:r>
          </w:p>
        </w:tc>
        <w:tc>
          <w:tcPr>
            <w:tcW w:w="0" w:type="auto"/>
            <w:tcBorders>
              <w:top w:val="nil"/>
              <w:left w:val="nil"/>
              <w:bottom w:val="nil"/>
              <w:right w:val="nil"/>
            </w:tcBorders>
            <w:shd w:val="clear" w:color="auto" w:fill="auto"/>
            <w:noWrap/>
            <w:vAlign w:val="center"/>
            <w:hideMark/>
          </w:tcPr>
          <w:p w14:paraId="78208D8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0.34</w:t>
            </w:r>
          </w:p>
        </w:tc>
        <w:tc>
          <w:tcPr>
            <w:tcW w:w="0" w:type="auto"/>
            <w:tcBorders>
              <w:top w:val="nil"/>
              <w:left w:val="nil"/>
              <w:bottom w:val="nil"/>
              <w:right w:val="nil"/>
            </w:tcBorders>
            <w:shd w:val="clear" w:color="auto" w:fill="auto"/>
            <w:noWrap/>
            <w:vAlign w:val="center"/>
            <w:hideMark/>
          </w:tcPr>
          <w:p w14:paraId="13E38EF4"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3.03</w:t>
            </w:r>
          </w:p>
        </w:tc>
      </w:tr>
      <w:tr w:rsidR="00091DF8" w:rsidRPr="00697AFE" w14:paraId="21E71783"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5C3BFACF" w14:textId="77777777" w:rsidR="00091DF8" w:rsidRPr="001E7FEC" w:rsidRDefault="00091DF8" w:rsidP="00E24FD5">
            <w:pPr>
              <w:rPr>
                <w:rFonts w:ascii="Arial" w:hAnsi="Arial" w:cs="Arial"/>
                <w:sz w:val="16"/>
                <w:szCs w:val="16"/>
              </w:rPr>
            </w:pPr>
            <w:r w:rsidRPr="001E7FEC">
              <w:rPr>
                <w:rFonts w:ascii="Arial" w:hAnsi="Arial" w:cs="Arial"/>
                <w:sz w:val="16"/>
                <w:szCs w:val="16"/>
              </w:rPr>
              <w:t>Eastern</w:t>
            </w:r>
          </w:p>
        </w:tc>
        <w:tc>
          <w:tcPr>
            <w:tcW w:w="0" w:type="auto"/>
            <w:tcBorders>
              <w:top w:val="nil"/>
              <w:left w:val="nil"/>
              <w:bottom w:val="nil"/>
              <w:right w:val="nil"/>
            </w:tcBorders>
            <w:vAlign w:val="center"/>
          </w:tcPr>
          <w:p w14:paraId="0411C5D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47.0 (31.1, 71.0)</w:t>
            </w:r>
          </w:p>
        </w:tc>
        <w:tc>
          <w:tcPr>
            <w:tcW w:w="0" w:type="auto"/>
            <w:tcBorders>
              <w:top w:val="nil"/>
              <w:left w:val="nil"/>
              <w:bottom w:val="nil"/>
              <w:right w:val="nil"/>
            </w:tcBorders>
            <w:vAlign w:val="center"/>
          </w:tcPr>
          <w:p w14:paraId="38E0BA5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5.39 (3.45, 8.41)</w:t>
            </w:r>
          </w:p>
        </w:tc>
        <w:tc>
          <w:tcPr>
            <w:tcW w:w="0" w:type="auto"/>
            <w:tcBorders>
              <w:top w:val="nil"/>
              <w:left w:val="nil"/>
              <w:bottom w:val="nil"/>
              <w:right w:val="nil"/>
            </w:tcBorders>
            <w:shd w:val="clear" w:color="auto" w:fill="auto"/>
            <w:noWrap/>
            <w:vAlign w:val="center"/>
            <w:hideMark/>
          </w:tcPr>
          <w:p w14:paraId="2059ED55"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7.7</w:t>
            </w:r>
          </w:p>
        </w:tc>
        <w:tc>
          <w:tcPr>
            <w:tcW w:w="0" w:type="auto"/>
            <w:tcBorders>
              <w:top w:val="nil"/>
              <w:left w:val="nil"/>
              <w:bottom w:val="nil"/>
              <w:right w:val="nil"/>
            </w:tcBorders>
            <w:shd w:val="clear" w:color="auto" w:fill="auto"/>
            <w:noWrap/>
            <w:vAlign w:val="center"/>
            <w:hideMark/>
          </w:tcPr>
          <w:p w14:paraId="34F2992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4.6</w:t>
            </w:r>
          </w:p>
        </w:tc>
        <w:tc>
          <w:tcPr>
            <w:tcW w:w="0" w:type="auto"/>
            <w:tcBorders>
              <w:top w:val="nil"/>
              <w:left w:val="nil"/>
              <w:bottom w:val="nil"/>
              <w:right w:val="nil"/>
            </w:tcBorders>
            <w:shd w:val="clear" w:color="auto" w:fill="auto"/>
            <w:noWrap/>
            <w:vAlign w:val="center"/>
            <w:hideMark/>
          </w:tcPr>
          <w:p w14:paraId="59EABE71"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34.3</w:t>
            </w:r>
          </w:p>
        </w:tc>
        <w:tc>
          <w:tcPr>
            <w:tcW w:w="0" w:type="auto"/>
            <w:tcBorders>
              <w:top w:val="nil"/>
              <w:left w:val="nil"/>
              <w:bottom w:val="nil"/>
              <w:right w:val="nil"/>
            </w:tcBorders>
            <w:shd w:val="clear" w:color="auto" w:fill="auto"/>
            <w:noWrap/>
            <w:vAlign w:val="center"/>
            <w:hideMark/>
          </w:tcPr>
          <w:p w14:paraId="1D98DB41"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53.4</w:t>
            </w:r>
          </w:p>
        </w:tc>
        <w:tc>
          <w:tcPr>
            <w:tcW w:w="0" w:type="auto"/>
            <w:tcBorders>
              <w:top w:val="nil"/>
              <w:left w:val="nil"/>
              <w:bottom w:val="nil"/>
              <w:right w:val="nil"/>
            </w:tcBorders>
            <w:shd w:val="clear" w:color="auto" w:fill="auto"/>
            <w:noWrap/>
            <w:vAlign w:val="center"/>
            <w:hideMark/>
          </w:tcPr>
          <w:p w14:paraId="0C201D2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0.44</w:t>
            </w:r>
          </w:p>
        </w:tc>
        <w:tc>
          <w:tcPr>
            <w:tcW w:w="0" w:type="auto"/>
            <w:tcBorders>
              <w:top w:val="nil"/>
              <w:left w:val="nil"/>
              <w:bottom w:val="nil"/>
              <w:right w:val="nil"/>
            </w:tcBorders>
            <w:shd w:val="clear" w:color="auto" w:fill="auto"/>
            <w:noWrap/>
            <w:vAlign w:val="center"/>
            <w:hideMark/>
          </w:tcPr>
          <w:p w14:paraId="470B91D9"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3.23</w:t>
            </w:r>
          </w:p>
        </w:tc>
      </w:tr>
    </w:tbl>
    <w:p w14:paraId="397DC2B9" w14:textId="77777777" w:rsidR="00091DF8" w:rsidRDefault="00091DF8" w:rsidP="00091DF8"/>
    <w:p w14:paraId="28A40DA6" w14:textId="77777777" w:rsidR="00091DF8" w:rsidRDefault="00091DF8" w:rsidP="00091DF8">
      <w:pPr>
        <w:rPr>
          <w:b/>
        </w:rPr>
      </w:pPr>
      <w:r>
        <w:rPr>
          <w:b/>
        </w:rPr>
        <w:br w:type="page"/>
      </w:r>
    </w:p>
    <w:p w14:paraId="38AC55FF" w14:textId="77777777" w:rsidR="00091DF8" w:rsidRPr="001E7FEC" w:rsidRDefault="00091DF8" w:rsidP="00091DF8">
      <w:r>
        <w:rPr>
          <w:b/>
        </w:rPr>
        <w:lastRenderedPageBreak/>
        <w:t>Table 4.</w:t>
      </w:r>
      <w:r w:rsidRPr="001E7FEC">
        <w:t xml:space="preserve"> </w:t>
      </w:r>
      <w:r>
        <w:t>Variations in apparent faunal composition assessed by analysis of similarities (ANOSIM), global and pairwise statistics are reported, for macrofaunal nematodes, polychaetes, combined nematodes and polychaetes, and combined common (present in ≥5 samples) nematodes and polychaetes, among study sites (SL, Slope; WE, Western; CE, Central; EA, Eastern; ns, not significant; * p&lt;0.05; ** p&lt;0.01).</w:t>
      </w:r>
    </w:p>
    <w:p w14:paraId="466BF66C" w14:textId="77777777" w:rsidR="00091DF8" w:rsidRDefault="00091DF8" w:rsidP="00091DF8"/>
    <w:tbl>
      <w:tblPr>
        <w:tblW w:w="0" w:type="auto"/>
        <w:jc w:val="center"/>
        <w:tblLook w:val="04A0" w:firstRow="1" w:lastRow="0" w:firstColumn="1" w:lastColumn="0" w:noHBand="0" w:noVBand="1"/>
      </w:tblPr>
      <w:tblGrid>
        <w:gridCol w:w="1702"/>
        <w:gridCol w:w="1351"/>
        <w:gridCol w:w="741"/>
        <w:gridCol w:w="741"/>
        <w:gridCol w:w="741"/>
        <w:gridCol w:w="750"/>
        <w:gridCol w:w="750"/>
        <w:gridCol w:w="741"/>
      </w:tblGrid>
      <w:tr w:rsidR="00091DF8" w:rsidRPr="00697AFE" w14:paraId="1E540FA8" w14:textId="77777777" w:rsidTr="00E24FD5">
        <w:trPr>
          <w:trHeight w:val="300"/>
          <w:jc w:val="center"/>
        </w:trPr>
        <w:tc>
          <w:tcPr>
            <w:tcW w:w="0" w:type="auto"/>
            <w:vMerge w:val="restart"/>
            <w:tcBorders>
              <w:top w:val="nil"/>
              <w:left w:val="nil"/>
              <w:right w:val="nil"/>
            </w:tcBorders>
            <w:shd w:val="clear" w:color="auto" w:fill="auto"/>
            <w:noWrap/>
            <w:vAlign w:val="center"/>
            <w:hideMark/>
          </w:tcPr>
          <w:p w14:paraId="36D95E75" w14:textId="77777777" w:rsidR="00091DF8" w:rsidRPr="001E7FEC" w:rsidRDefault="00091DF8" w:rsidP="00E24FD5">
            <w:pPr>
              <w:rPr>
                <w:rFonts w:ascii="Arial" w:hAnsi="Arial" w:cs="Arial"/>
                <w:b/>
                <w:sz w:val="16"/>
                <w:szCs w:val="16"/>
              </w:rPr>
            </w:pPr>
            <w:r w:rsidRPr="001E7FEC">
              <w:rPr>
                <w:rFonts w:ascii="Arial" w:hAnsi="Arial" w:cs="Arial"/>
                <w:b/>
                <w:sz w:val="16"/>
                <w:szCs w:val="16"/>
              </w:rPr>
              <w:t>Taxa</w:t>
            </w:r>
          </w:p>
        </w:tc>
        <w:tc>
          <w:tcPr>
            <w:tcW w:w="0" w:type="auto"/>
            <w:vMerge w:val="restart"/>
            <w:tcBorders>
              <w:top w:val="nil"/>
              <w:left w:val="nil"/>
              <w:right w:val="nil"/>
            </w:tcBorders>
            <w:shd w:val="clear" w:color="auto" w:fill="auto"/>
            <w:noWrap/>
            <w:vAlign w:val="center"/>
            <w:hideMark/>
          </w:tcPr>
          <w:p w14:paraId="4C098472"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Global R</w:t>
            </w:r>
          </w:p>
        </w:tc>
        <w:tc>
          <w:tcPr>
            <w:tcW w:w="0" w:type="auto"/>
            <w:gridSpan w:val="6"/>
            <w:tcBorders>
              <w:top w:val="nil"/>
              <w:left w:val="nil"/>
              <w:bottom w:val="nil"/>
              <w:right w:val="nil"/>
            </w:tcBorders>
            <w:shd w:val="clear" w:color="auto" w:fill="auto"/>
            <w:noWrap/>
            <w:vAlign w:val="center"/>
            <w:hideMark/>
          </w:tcPr>
          <w:p w14:paraId="242AF05E"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Pairwise R</w:t>
            </w:r>
          </w:p>
        </w:tc>
      </w:tr>
      <w:tr w:rsidR="00091DF8" w:rsidRPr="00697AFE" w14:paraId="19A30B93" w14:textId="77777777" w:rsidTr="00E24FD5">
        <w:trPr>
          <w:trHeight w:val="300"/>
          <w:jc w:val="center"/>
        </w:trPr>
        <w:tc>
          <w:tcPr>
            <w:tcW w:w="0" w:type="auto"/>
            <w:vMerge/>
            <w:tcBorders>
              <w:left w:val="nil"/>
              <w:bottom w:val="nil"/>
              <w:right w:val="nil"/>
            </w:tcBorders>
            <w:shd w:val="clear" w:color="auto" w:fill="auto"/>
            <w:noWrap/>
            <w:vAlign w:val="center"/>
            <w:hideMark/>
          </w:tcPr>
          <w:p w14:paraId="19E95AC7" w14:textId="77777777" w:rsidR="00091DF8" w:rsidRPr="001E7FEC" w:rsidRDefault="00091DF8" w:rsidP="00E24FD5">
            <w:pPr>
              <w:contextualSpacing/>
              <w:rPr>
                <w:rFonts w:ascii="Arial" w:hAnsi="Arial" w:cs="Arial"/>
                <w:b/>
                <w:sz w:val="16"/>
                <w:szCs w:val="16"/>
              </w:rPr>
            </w:pPr>
          </w:p>
        </w:tc>
        <w:tc>
          <w:tcPr>
            <w:tcW w:w="0" w:type="auto"/>
            <w:vMerge/>
            <w:tcBorders>
              <w:left w:val="nil"/>
              <w:bottom w:val="nil"/>
              <w:right w:val="nil"/>
            </w:tcBorders>
            <w:shd w:val="clear" w:color="auto" w:fill="auto"/>
            <w:noWrap/>
            <w:vAlign w:val="center"/>
            <w:hideMark/>
          </w:tcPr>
          <w:p w14:paraId="284C475B" w14:textId="77777777" w:rsidR="00091DF8" w:rsidRPr="001E7FEC" w:rsidRDefault="00091DF8" w:rsidP="00E24FD5">
            <w:pPr>
              <w:jc w:val="center"/>
              <w:rPr>
                <w:rFonts w:ascii="Arial" w:hAnsi="Arial" w:cs="Arial"/>
                <w:b/>
                <w:sz w:val="16"/>
                <w:szCs w:val="16"/>
              </w:rPr>
            </w:pPr>
          </w:p>
        </w:tc>
        <w:tc>
          <w:tcPr>
            <w:tcW w:w="0" w:type="auto"/>
            <w:tcBorders>
              <w:top w:val="nil"/>
              <w:left w:val="nil"/>
              <w:bottom w:val="nil"/>
              <w:right w:val="nil"/>
            </w:tcBorders>
            <w:shd w:val="clear" w:color="auto" w:fill="auto"/>
            <w:noWrap/>
            <w:vAlign w:val="center"/>
            <w:hideMark/>
          </w:tcPr>
          <w:p w14:paraId="115A3757"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SL-WE</w:t>
            </w:r>
          </w:p>
        </w:tc>
        <w:tc>
          <w:tcPr>
            <w:tcW w:w="0" w:type="auto"/>
            <w:tcBorders>
              <w:top w:val="nil"/>
              <w:left w:val="nil"/>
              <w:bottom w:val="nil"/>
              <w:right w:val="nil"/>
            </w:tcBorders>
            <w:shd w:val="clear" w:color="auto" w:fill="auto"/>
            <w:noWrap/>
            <w:vAlign w:val="center"/>
            <w:hideMark/>
          </w:tcPr>
          <w:p w14:paraId="4D09D0CF"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SL-CE</w:t>
            </w:r>
          </w:p>
        </w:tc>
        <w:tc>
          <w:tcPr>
            <w:tcW w:w="0" w:type="auto"/>
            <w:tcBorders>
              <w:top w:val="nil"/>
              <w:left w:val="nil"/>
              <w:bottom w:val="nil"/>
              <w:right w:val="nil"/>
            </w:tcBorders>
            <w:shd w:val="clear" w:color="auto" w:fill="auto"/>
            <w:noWrap/>
            <w:vAlign w:val="center"/>
            <w:hideMark/>
          </w:tcPr>
          <w:p w14:paraId="0C9C64A0"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SL-EA</w:t>
            </w:r>
          </w:p>
        </w:tc>
        <w:tc>
          <w:tcPr>
            <w:tcW w:w="0" w:type="auto"/>
            <w:tcBorders>
              <w:top w:val="nil"/>
              <w:left w:val="nil"/>
              <w:bottom w:val="nil"/>
              <w:right w:val="nil"/>
            </w:tcBorders>
            <w:shd w:val="clear" w:color="auto" w:fill="auto"/>
            <w:noWrap/>
            <w:vAlign w:val="center"/>
            <w:hideMark/>
          </w:tcPr>
          <w:p w14:paraId="66CD1647"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WE-CE</w:t>
            </w:r>
          </w:p>
        </w:tc>
        <w:tc>
          <w:tcPr>
            <w:tcW w:w="0" w:type="auto"/>
            <w:tcBorders>
              <w:top w:val="nil"/>
              <w:left w:val="nil"/>
              <w:bottom w:val="nil"/>
              <w:right w:val="nil"/>
            </w:tcBorders>
            <w:shd w:val="clear" w:color="auto" w:fill="auto"/>
            <w:noWrap/>
            <w:vAlign w:val="center"/>
            <w:hideMark/>
          </w:tcPr>
          <w:p w14:paraId="64DC9EEC"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WE-EA</w:t>
            </w:r>
          </w:p>
        </w:tc>
        <w:tc>
          <w:tcPr>
            <w:tcW w:w="0" w:type="auto"/>
            <w:tcBorders>
              <w:top w:val="nil"/>
              <w:left w:val="nil"/>
              <w:bottom w:val="nil"/>
              <w:right w:val="nil"/>
            </w:tcBorders>
            <w:shd w:val="clear" w:color="auto" w:fill="auto"/>
            <w:noWrap/>
            <w:vAlign w:val="center"/>
            <w:hideMark/>
          </w:tcPr>
          <w:p w14:paraId="7EC9AA9B"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CE-EA</w:t>
            </w:r>
          </w:p>
        </w:tc>
      </w:tr>
      <w:tr w:rsidR="00091DF8" w:rsidRPr="00697AFE" w14:paraId="0A62447B"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1EFFC545" w14:textId="77777777" w:rsidR="00091DF8" w:rsidRPr="001E7FEC" w:rsidRDefault="00091DF8" w:rsidP="00E24FD5">
            <w:pPr>
              <w:rPr>
                <w:rFonts w:ascii="Arial" w:hAnsi="Arial" w:cs="Arial"/>
                <w:sz w:val="16"/>
                <w:szCs w:val="16"/>
              </w:rPr>
            </w:pPr>
            <w:r w:rsidRPr="001E7FEC">
              <w:rPr>
                <w:rFonts w:ascii="Arial" w:hAnsi="Arial" w:cs="Arial"/>
                <w:sz w:val="16"/>
                <w:szCs w:val="16"/>
              </w:rPr>
              <w:t>Common nematodes</w:t>
            </w:r>
            <w:r w:rsidRPr="001E7FEC">
              <w:rPr>
                <w:rFonts w:ascii="Arial" w:hAnsi="Arial" w:cs="Arial"/>
                <w:sz w:val="16"/>
                <w:szCs w:val="16"/>
              </w:rPr>
              <w:br/>
              <w:t>and polychaetes</w:t>
            </w:r>
          </w:p>
        </w:tc>
        <w:tc>
          <w:tcPr>
            <w:tcW w:w="0" w:type="auto"/>
            <w:tcBorders>
              <w:top w:val="nil"/>
              <w:left w:val="nil"/>
              <w:bottom w:val="nil"/>
              <w:right w:val="nil"/>
            </w:tcBorders>
            <w:shd w:val="clear" w:color="auto" w:fill="auto"/>
            <w:noWrap/>
            <w:vAlign w:val="center"/>
            <w:hideMark/>
          </w:tcPr>
          <w:p w14:paraId="553FAAC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0.728 (p&lt;0.001)</w:t>
            </w:r>
          </w:p>
        </w:tc>
        <w:tc>
          <w:tcPr>
            <w:tcW w:w="0" w:type="auto"/>
            <w:tcBorders>
              <w:top w:val="nil"/>
              <w:left w:val="nil"/>
              <w:bottom w:val="nil"/>
              <w:right w:val="nil"/>
            </w:tcBorders>
            <w:shd w:val="clear" w:color="auto" w:fill="auto"/>
            <w:noWrap/>
            <w:vAlign w:val="center"/>
            <w:hideMark/>
          </w:tcPr>
          <w:p w14:paraId="06867AEB"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0.740**</w:t>
            </w:r>
          </w:p>
        </w:tc>
        <w:tc>
          <w:tcPr>
            <w:tcW w:w="0" w:type="auto"/>
            <w:tcBorders>
              <w:top w:val="nil"/>
              <w:left w:val="nil"/>
              <w:bottom w:val="nil"/>
              <w:right w:val="nil"/>
            </w:tcBorders>
            <w:shd w:val="clear" w:color="auto" w:fill="auto"/>
            <w:noWrap/>
            <w:vAlign w:val="center"/>
            <w:hideMark/>
          </w:tcPr>
          <w:p w14:paraId="702643D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0.968**</w:t>
            </w:r>
          </w:p>
        </w:tc>
        <w:tc>
          <w:tcPr>
            <w:tcW w:w="0" w:type="auto"/>
            <w:tcBorders>
              <w:top w:val="nil"/>
              <w:left w:val="nil"/>
              <w:bottom w:val="nil"/>
              <w:right w:val="nil"/>
            </w:tcBorders>
            <w:shd w:val="clear" w:color="auto" w:fill="auto"/>
            <w:noWrap/>
            <w:vAlign w:val="center"/>
            <w:hideMark/>
          </w:tcPr>
          <w:p w14:paraId="0704767B"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0.984**</w:t>
            </w:r>
          </w:p>
        </w:tc>
        <w:tc>
          <w:tcPr>
            <w:tcW w:w="0" w:type="auto"/>
            <w:tcBorders>
              <w:top w:val="nil"/>
              <w:left w:val="nil"/>
              <w:bottom w:val="nil"/>
              <w:right w:val="nil"/>
            </w:tcBorders>
            <w:shd w:val="clear" w:color="auto" w:fill="auto"/>
            <w:noWrap/>
            <w:vAlign w:val="center"/>
            <w:hideMark/>
          </w:tcPr>
          <w:p w14:paraId="51420029"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0.608**</w:t>
            </w:r>
          </w:p>
        </w:tc>
        <w:tc>
          <w:tcPr>
            <w:tcW w:w="0" w:type="auto"/>
            <w:tcBorders>
              <w:top w:val="nil"/>
              <w:left w:val="nil"/>
              <w:bottom w:val="nil"/>
              <w:right w:val="nil"/>
            </w:tcBorders>
            <w:shd w:val="clear" w:color="auto" w:fill="auto"/>
            <w:noWrap/>
            <w:vAlign w:val="center"/>
            <w:hideMark/>
          </w:tcPr>
          <w:p w14:paraId="6C0CF69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0.796**</w:t>
            </w:r>
          </w:p>
        </w:tc>
        <w:tc>
          <w:tcPr>
            <w:tcW w:w="0" w:type="auto"/>
            <w:tcBorders>
              <w:top w:val="nil"/>
              <w:left w:val="nil"/>
              <w:bottom w:val="nil"/>
              <w:right w:val="nil"/>
            </w:tcBorders>
            <w:shd w:val="clear" w:color="auto" w:fill="auto"/>
            <w:noWrap/>
            <w:vAlign w:val="center"/>
            <w:hideMark/>
          </w:tcPr>
          <w:p w14:paraId="485BF211"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0.424**</w:t>
            </w:r>
          </w:p>
        </w:tc>
      </w:tr>
      <w:tr w:rsidR="00091DF8" w:rsidRPr="00697AFE" w14:paraId="592CA338"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76E9CF0A" w14:textId="77777777" w:rsidR="00091DF8" w:rsidRPr="001E7FEC" w:rsidRDefault="00091DF8" w:rsidP="00E24FD5">
            <w:pPr>
              <w:rPr>
                <w:rFonts w:ascii="Arial" w:hAnsi="Arial" w:cs="Arial"/>
                <w:sz w:val="16"/>
                <w:szCs w:val="16"/>
              </w:rPr>
            </w:pPr>
            <w:r w:rsidRPr="001E7FEC">
              <w:rPr>
                <w:rFonts w:ascii="Arial" w:hAnsi="Arial" w:cs="Arial"/>
                <w:sz w:val="16"/>
                <w:szCs w:val="16"/>
              </w:rPr>
              <w:t>All nematodes</w:t>
            </w:r>
            <w:r w:rsidRPr="001E7FEC">
              <w:rPr>
                <w:rFonts w:ascii="Arial" w:hAnsi="Arial" w:cs="Arial"/>
                <w:sz w:val="16"/>
                <w:szCs w:val="16"/>
              </w:rPr>
              <w:br/>
              <w:t>and polychaetes</w:t>
            </w:r>
          </w:p>
        </w:tc>
        <w:tc>
          <w:tcPr>
            <w:tcW w:w="0" w:type="auto"/>
            <w:tcBorders>
              <w:top w:val="nil"/>
              <w:left w:val="nil"/>
              <w:bottom w:val="nil"/>
              <w:right w:val="nil"/>
            </w:tcBorders>
            <w:shd w:val="clear" w:color="auto" w:fill="auto"/>
            <w:noWrap/>
            <w:vAlign w:val="center"/>
            <w:hideMark/>
          </w:tcPr>
          <w:p w14:paraId="02B8A0DB"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0.671 (p&lt;0.001)</w:t>
            </w:r>
          </w:p>
        </w:tc>
        <w:tc>
          <w:tcPr>
            <w:tcW w:w="0" w:type="auto"/>
            <w:tcBorders>
              <w:top w:val="nil"/>
              <w:left w:val="nil"/>
              <w:bottom w:val="nil"/>
              <w:right w:val="nil"/>
            </w:tcBorders>
            <w:shd w:val="clear" w:color="auto" w:fill="auto"/>
            <w:noWrap/>
            <w:vAlign w:val="center"/>
            <w:hideMark/>
          </w:tcPr>
          <w:p w14:paraId="7FFFAC86"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0.768**</w:t>
            </w:r>
          </w:p>
        </w:tc>
        <w:tc>
          <w:tcPr>
            <w:tcW w:w="0" w:type="auto"/>
            <w:tcBorders>
              <w:top w:val="nil"/>
              <w:left w:val="nil"/>
              <w:bottom w:val="nil"/>
              <w:right w:val="nil"/>
            </w:tcBorders>
            <w:shd w:val="clear" w:color="auto" w:fill="auto"/>
            <w:noWrap/>
            <w:vAlign w:val="center"/>
            <w:hideMark/>
          </w:tcPr>
          <w:p w14:paraId="0E8A8F04"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0.944**</w:t>
            </w:r>
          </w:p>
        </w:tc>
        <w:tc>
          <w:tcPr>
            <w:tcW w:w="0" w:type="auto"/>
            <w:tcBorders>
              <w:top w:val="nil"/>
              <w:left w:val="nil"/>
              <w:bottom w:val="nil"/>
              <w:right w:val="nil"/>
            </w:tcBorders>
            <w:shd w:val="clear" w:color="auto" w:fill="auto"/>
            <w:noWrap/>
            <w:vAlign w:val="center"/>
            <w:hideMark/>
          </w:tcPr>
          <w:p w14:paraId="749D3A15"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0.984**</w:t>
            </w:r>
          </w:p>
        </w:tc>
        <w:tc>
          <w:tcPr>
            <w:tcW w:w="0" w:type="auto"/>
            <w:tcBorders>
              <w:top w:val="nil"/>
              <w:left w:val="nil"/>
              <w:bottom w:val="nil"/>
              <w:right w:val="nil"/>
            </w:tcBorders>
            <w:shd w:val="clear" w:color="auto" w:fill="auto"/>
            <w:noWrap/>
            <w:vAlign w:val="center"/>
            <w:hideMark/>
          </w:tcPr>
          <w:p w14:paraId="4ECA2938"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0.492*</w:t>
            </w:r>
          </w:p>
        </w:tc>
        <w:tc>
          <w:tcPr>
            <w:tcW w:w="0" w:type="auto"/>
            <w:tcBorders>
              <w:top w:val="nil"/>
              <w:left w:val="nil"/>
              <w:bottom w:val="nil"/>
              <w:right w:val="nil"/>
            </w:tcBorders>
            <w:shd w:val="clear" w:color="auto" w:fill="auto"/>
            <w:noWrap/>
            <w:vAlign w:val="center"/>
            <w:hideMark/>
          </w:tcPr>
          <w:p w14:paraId="3C9C3145"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0.704**</w:t>
            </w:r>
          </w:p>
        </w:tc>
        <w:tc>
          <w:tcPr>
            <w:tcW w:w="0" w:type="auto"/>
            <w:tcBorders>
              <w:top w:val="nil"/>
              <w:left w:val="nil"/>
              <w:bottom w:val="nil"/>
              <w:right w:val="nil"/>
            </w:tcBorders>
            <w:shd w:val="clear" w:color="auto" w:fill="auto"/>
            <w:noWrap/>
            <w:vAlign w:val="center"/>
            <w:hideMark/>
          </w:tcPr>
          <w:p w14:paraId="4F1AFB6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0.428**</w:t>
            </w:r>
          </w:p>
        </w:tc>
      </w:tr>
      <w:tr w:rsidR="00091DF8" w:rsidRPr="00697AFE" w14:paraId="79DA2DC9"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207E89A4" w14:textId="77777777" w:rsidR="00091DF8" w:rsidRPr="001E7FEC" w:rsidRDefault="00091DF8" w:rsidP="00E24FD5">
            <w:pPr>
              <w:rPr>
                <w:rFonts w:ascii="Arial" w:hAnsi="Arial" w:cs="Arial"/>
                <w:sz w:val="16"/>
                <w:szCs w:val="16"/>
              </w:rPr>
            </w:pPr>
            <w:r w:rsidRPr="001E7FEC">
              <w:rPr>
                <w:rFonts w:ascii="Arial" w:hAnsi="Arial" w:cs="Arial"/>
                <w:sz w:val="16"/>
                <w:szCs w:val="16"/>
              </w:rPr>
              <w:t>Polychaetes</w:t>
            </w:r>
          </w:p>
        </w:tc>
        <w:tc>
          <w:tcPr>
            <w:tcW w:w="0" w:type="auto"/>
            <w:tcBorders>
              <w:top w:val="nil"/>
              <w:left w:val="nil"/>
              <w:bottom w:val="nil"/>
              <w:right w:val="nil"/>
            </w:tcBorders>
            <w:shd w:val="clear" w:color="auto" w:fill="auto"/>
            <w:noWrap/>
            <w:vAlign w:val="center"/>
            <w:hideMark/>
          </w:tcPr>
          <w:p w14:paraId="31731A71"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0.660 (p&lt;0.001)</w:t>
            </w:r>
          </w:p>
        </w:tc>
        <w:tc>
          <w:tcPr>
            <w:tcW w:w="0" w:type="auto"/>
            <w:tcBorders>
              <w:top w:val="nil"/>
              <w:left w:val="nil"/>
              <w:bottom w:val="nil"/>
              <w:right w:val="nil"/>
            </w:tcBorders>
            <w:shd w:val="clear" w:color="auto" w:fill="auto"/>
            <w:noWrap/>
            <w:vAlign w:val="center"/>
            <w:hideMark/>
          </w:tcPr>
          <w:p w14:paraId="27CA2DEE"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0.572**</w:t>
            </w:r>
          </w:p>
        </w:tc>
        <w:tc>
          <w:tcPr>
            <w:tcW w:w="0" w:type="auto"/>
            <w:tcBorders>
              <w:top w:val="nil"/>
              <w:left w:val="nil"/>
              <w:bottom w:val="nil"/>
              <w:right w:val="nil"/>
            </w:tcBorders>
            <w:shd w:val="clear" w:color="auto" w:fill="auto"/>
            <w:noWrap/>
            <w:vAlign w:val="center"/>
            <w:hideMark/>
          </w:tcPr>
          <w:p w14:paraId="1250C4E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0.860**</w:t>
            </w:r>
          </w:p>
        </w:tc>
        <w:tc>
          <w:tcPr>
            <w:tcW w:w="0" w:type="auto"/>
            <w:tcBorders>
              <w:top w:val="nil"/>
              <w:left w:val="nil"/>
              <w:bottom w:val="nil"/>
              <w:right w:val="nil"/>
            </w:tcBorders>
            <w:shd w:val="clear" w:color="auto" w:fill="auto"/>
            <w:noWrap/>
            <w:vAlign w:val="center"/>
            <w:hideMark/>
          </w:tcPr>
          <w:p w14:paraId="3F9D8ECE"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0.964**</w:t>
            </w:r>
          </w:p>
        </w:tc>
        <w:tc>
          <w:tcPr>
            <w:tcW w:w="0" w:type="auto"/>
            <w:tcBorders>
              <w:top w:val="nil"/>
              <w:left w:val="nil"/>
              <w:bottom w:val="nil"/>
              <w:right w:val="nil"/>
            </w:tcBorders>
            <w:shd w:val="clear" w:color="auto" w:fill="auto"/>
            <w:noWrap/>
            <w:vAlign w:val="center"/>
            <w:hideMark/>
          </w:tcPr>
          <w:p w14:paraId="1A7C4EF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0.600*</w:t>
            </w:r>
          </w:p>
        </w:tc>
        <w:tc>
          <w:tcPr>
            <w:tcW w:w="0" w:type="auto"/>
            <w:tcBorders>
              <w:top w:val="nil"/>
              <w:left w:val="nil"/>
              <w:bottom w:val="nil"/>
              <w:right w:val="nil"/>
            </w:tcBorders>
            <w:shd w:val="clear" w:color="auto" w:fill="auto"/>
            <w:noWrap/>
            <w:vAlign w:val="center"/>
            <w:hideMark/>
          </w:tcPr>
          <w:p w14:paraId="2DEE9401"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0.772**</w:t>
            </w:r>
          </w:p>
        </w:tc>
        <w:tc>
          <w:tcPr>
            <w:tcW w:w="0" w:type="auto"/>
            <w:tcBorders>
              <w:top w:val="nil"/>
              <w:left w:val="nil"/>
              <w:bottom w:val="nil"/>
              <w:right w:val="nil"/>
            </w:tcBorders>
            <w:shd w:val="clear" w:color="auto" w:fill="auto"/>
            <w:noWrap/>
            <w:vAlign w:val="center"/>
            <w:hideMark/>
          </w:tcPr>
          <w:p w14:paraId="34B0B345"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0.432*</w:t>
            </w:r>
          </w:p>
        </w:tc>
      </w:tr>
      <w:tr w:rsidR="00091DF8" w:rsidRPr="00697AFE" w14:paraId="1DFC39C7"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421B826A" w14:textId="77777777" w:rsidR="00091DF8" w:rsidRPr="001E7FEC" w:rsidRDefault="00091DF8" w:rsidP="00E24FD5">
            <w:pPr>
              <w:rPr>
                <w:rFonts w:ascii="Arial" w:hAnsi="Arial" w:cs="Arial"/>
                <w:sz w:val="16"/>
                <w:szCs w:val="16"/>
              </w:rPr>
            </w:pPr>
            <w:r w:rsidRPr="001E7FEC">
              <w:rPr>
                <w:rFonts w:ascii="Arial" w:hAnsi="Arial" w:cs="Arial"/>
                <w:sz w:val="16"/>
                <w:szCs w:val="16"/>
              </w:rPr>
              <w:t>Nematodes</w:t>
            </w:r>
          </w:p>
        </w:tc>
        <w:tc>
          <w:tcPr>
            <w:tcW w:w="0" w:type="auto"/>
            <w:tcBorders>
              <w:top w:val="nil"/>
              <w:left w:val="nil"/>
              <w:bottom w:val="nil"/>
              <w:right w:val="nil"/>
            </w:tcBorders>
            <w:shd w:val="clear" w:color="auto" w:fill="auto"/>
            <w:noWrap/>
            <w:vAlign w:val="center"/>
            <w:hideMark/>
          </w:tcPr>
          <w:p w14:paraId="3466E2DE"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0.299 (p&lt;0.001)</w:t>
            </w:r>
          </w:p>
        </w:tc>
        <w:tc>
          <w:tcPr>
            <w:tcW w:w="0" w:type="auto"/>
            <w:tcBorders>
              <w:top w:val="nil"/>
              <w:left w:val="nil"/>
              <w:bottom w:val="nil"/>
              <w:right w:val="nil"/>
            </w:tcBorders>
            <w:shd w:val="clear" w:color="auto" w:fill="auto"/>
            <w:noWrap/>
            <w:vAlign w:val="center"/>
            <w:hideMark/>
          </w:tcPr>
          <w:p w14:paraId="6A1A27A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0.540**</w:t>
            </w:r>
          </w:p>
        </w:tc>
        <w:tc>
          <w:tcPr>
            <w:tcW w:w="0" w:type="auto"/>
            <w:tcBorders>
              <w:top w:val="nil"/>
              <w:left w:val="nil"/>
              <w:bottom w:val="nil"/>
              <w:right w:val="nil"/>
            </w:tcBorders>
            <w:shd w:val="clear" w:color="auto" w:fill="auto"/>
            <w:noWrap/>
            <w:vAlign w:val="center"/>
            <w:hideMark/>
          </w:tcPr>
          <w:p w14:paraId="086F222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0.644**</w:t>
            </w:r>
          </w:p>
        </w:tc>
        <w:tc>
          <w:tcPr>
            <w:tcW w:w="0" w:type="auto"/>
            <w:tcBorders>
              <w:top w:val="nil"/>
              <w:left w:val="nil"/>
              <w:bottom w:val="nil"/>
              <w:right w:val="nil"/>
            </w:tcBorders>
            <w:shd w:val="clear" w:color="auto" w:fill="auto"/>
            <w:noWrap/>
            <w:vAlign w:val="center"/>
            <w:hideMark/>
          </w:tcPr>
          <w:p w14:paraId="2A7F1E9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0.404*</w:t>
            </w:r>
          </w:p>
        </w:tc>
        <w:tc>
          <w:tcPr>
            <w:tcW w:w="0" w:type="auto"/>
            <w:tcBorders>
              <w:top w:val="nil"/>
              <w:left w:val="nil"/>
              <w:bottom w:val="nil"/>
              <w:right w:val="nil"/>
            </w:tcBorders>
            <w:shd w:val="clear" w:color="auto" w:fill="auto"/>
            <w:noWrap/>
            <w:vAlign w:val="center"/>
            <w:hideMark/>
          </w:tcPr>
          <w:p w14:paraId="69C6806B"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ns</w:t>
            </w:r>
          </w:p>
        </w:tc>
        <w:tc>
          <w:tcPr>
            <w:tcW w:w="0" w:type="auto"/>
            <w:tcBorders>
              <w:top w:val="nil"/>
              <w:left w:val="nil"/>
              <w:bottom w:val="nil"/>
              <w:right w:val="nil"/>
            </w:tcBorders>
            <w:shd w:val="clear" w:color="auto" w:fill="auto"/>
            <w:noWrap/>
            <w:vAlign w:val="center"/>
            <w:hideMark/>
          </w:tcPr>
          <w:p w14:paraId="7F396DB9"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ns</w:t>
            </w:r>
          </w:p>
        </w:tc>
        <w:tc>
          <w:tcPr>
            <w:tcW w:w="0" w:type="auto"/>
            <w:tcBorders>
              <w:top w:val="nil"/>
              <w:left w:val="nil"/>
              <w:bottom w:val="nil"/>
              <w:right w:val="nil"/>
            </w:tcBorders>
            <w:shd w:val="clear" w:color="auto" w:fill="auto"/>
            <w:noWrap/>
            <w:vAlign w:val="center"/>
            <w:hideMark/>
          </w:tcPr>
          <w:p w14:paraId="59333EC7"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ns</w:t>
            </w:r>
          </w:p>
        </w:tc>
      </w:tr>
    </w:tbl>
    <w:p w14:paraId="704146D4" w14:textId="77777777" w:rsidR="00091DF8" w:rsidRDefault="00091DF8" w:rsidP="00091DF8"/>
    <w:p w14:paraId="1347346B" w14:textId="77777777" w:rsidR="00091DF8" w:rsidRDefault="00091DF8" w:rsidP="00091DF8">
      <w:r>
        <w:br w:type="page"/>
      </w:r>
    </w:p>
    <w:p w14:paraId="2DB2BB06" w14:textId="77777777" w:rsidR="00091DF8" w:rsidRDefault="00091DF8" w:rsidP="00091DF8">
      <w:r>
        <w:rPr>
          <w:b/>
        </w:rPr>
        <w:lastRenderedPageBreak/>
        <w:t xml:space="preserve">Table 5. </w:t>
      </w:r>
      <w:r>
        <w:t>Macrofaunal nematode and polychaete genus diversity measures at the Whittard Canyon (Western, Central and Eastern branches) and adjacent slope study sites. (G, number of genera; N, number of individuals; EG, rarefied number of genera for n individuals; F, Fisher’s alpha index; H', standard and exponential form of Shannon diversity [log</w:t>
      </w:r>
      <w:r w:rsidRPr="001E7FEC">
        <w:rPr>
          <w:vertAlign w:val="subscript"/>
        </w:rPr>
        <w:t>2</w:t>
      </w:r>
      <w:r>
        <w:t>]; 1/D, inverse form of Simpson’s index).</w:t>
      </w:r>
    </w:p>
    <w:p w14:paraId="3CBD99F7" w14:textId="77777777" w:rsidR="00091DF8" w:rsidRDefault="00091DF8" w:rsidP="00091DF8"/>
    <w:tbl>
      <w:tblPr>
        <w:tblW w:w="0" w:type="auto"/>
        <w:jc w:val="center"/>
        <w:tblLook w:val="04A0" w:firstRow="1" w:lastRow="0" w:firstColumn="1" w:lastColumn="0" w:noHBand="0" w:noVBand="1"/>
      </w:tblPr>
      <w:tblGrid>
        <w:gridCol w:w="1150"/>
        <w:gridCol w:w="394"/>
        <w:gridCol w:w="483"/>
        <w:gridCol w:w="861"/>
        <w:gridCol w:w="528"/>
        <w:gridCol w:w="528"/>
        <w:gridCol w:w="752"/>
        <w:gridCol w:w="528"/>
      </w:tblGrid>
      <w:tr w:rsidR="00091DF8" w:rsidRPr="004B37EF" w14:paraId="005B5088" w14:textId="77777777" w:rsidTr="00E24FD5">
        <w:trPr>
          <w:trHeight w:val="300"/>
          <w:jc w:val="center"/>
        </w:trPr>
        <w:tc>
          <w:tcPr>
            <w:tcW w:w="0" w:type="auto"/>
            <w:tcBorders>
              <w:top w:val="nil"/>
              <w:left w:val="nil"/>
              <w:bottom w:val="nil"/>
              <w:right w:val="nil"/>
            </w:tcBorders>
            <w:shd w:val="clear" w:color="auto" w:fill="auto"/>
            <w:noWrap/>
            <w:vAlign w:val="bottom"/>
            <w:hideMark/>
          </w:tcPr>
          <w:p w14:paraId="50C868D4" w14:textId="77777777" w:rsidR="00091DF8" w:rsidRPr="001E7FEC" w:rsidRDefault="00091DF8" w:rsidP="00E24FD5">
            <w:pPr>
              <w:contextualSpacing/>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14:paraId="336A6D86"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G</w:t>
            </w:r>
          </w:p>
        </w:tc>
        <w:tc>
          <w:tcPr>
            <w:tcW w:w="0" w:type="auto"/>
            <w:tcBorders>
              <w:top w:val="nil"/>
              <w:left w:val="nil"/>
              <w:bottom w:val="nil"/>
              <w:right w:val="nil"/>
            </w:tcBorders>
            <w:shd w:val="clear" w:color="auto" w:fill="auto"/>
            <w:noWrap/>
            <w:vAlign w:val="center"/>
            <w:hideMark/>
          </w:tcPr>
          <w:p w14:paraId="14F885B9"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N</w:t>
            </w:r>
          </w:p>
        </w:tc>
        <w:tc>
          <w:tcPr>
            <w:tcW w:w="0" w:type="auto"/>
            <w:tcBorders>
              <w:top w:val="nil"/>
              <w:left w:val="nil"/>
              <w:bottom w:val="nil"/>
              <w:right w:val="nil"/>
            </w:tcBorders>
            <w:shd w:val="clear" w:color="auto" w:fill="auto"/>
            <w:noWrap/>
            <w:vAlign w:val="center"/>
            <w:hideMark/>
          </w:tcPr>
          <w:p w14:paraId="1D2ECE18"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EG</w:t>
            </w:r>
          </w:p>
        </w:tc>
        <w:tc>
          <w:tcPr>
            <w:tcW w:w="0" w:type="auto"/>
            <w:tcBorders>
              <w:top w:val="nil"/>
              <w:left w:val="nil"/>
              <w:bottom w:val="nil"/>
              <w:right w:val="nil"/>
            </w:tcBorders>
            <w:shd w:val="clear" w:color="auto" w:fill="auto"/>
            <w:noWrap/>
            <w:vAlign w:val="center"/>
            <w:hideMark/>
          </w:tcPr>
          <w:p w14:paraId="27A537ED"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F</w:t>
            </w:r>
          </w:p>
        </w:tc>
        <w:tc>
          <w:tcPr>
            <w:tcW w:w="0" w:type="auto"/>
            <w:tcBorders>
              <w:top w:val="nil"/>
              <w:left w:val="nil"/>
              <w:bottom w:val="nil"/>
              <w:right w:val="nil"/>
            </w:tcBorders>
            <w:shd w:val="clear" w:color="auto" w:fill="auto"/>
            <w:noWrap/>
            <w:vAlign w:val="center"/>
            <w:hideMark/>
          </w:tcPr>
          <w:p w14:paraId="085F4456"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H'</w:t>
            </w:r>
          </w:p>
        </w:tc>
        <w:tc>
          <w:tcPr>
            <w:tcW w:w="0" w:type="auto"/>
            <w:tcBorders>
              <w:top w:val="nil"/>
              <w:left w:val="nil"/>
              <w:bottom w:val="nil"/>
              <w:right w:val="nil"/>
            </w:tcBorders>
            <w:shd w:val="clear" w:color="auto" w:fill="auto"/>
            <w:noWrap/>
            <w:vAlign w:val="center"/>
            <w:hideMark/>
          </w:tcPr>
          <w:p w14:paraId="49CD446C"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exp(H')</w:t>
            </w:r>
          </w:p>
        </w:tc>
        <w:tc>
          <w:tcPr>
            <w:tcW w:w="0" w:type="auto"/>
            <w:tcBorders>
              <w:top w:val="nil"/>
              <w:left w:val="nil"/>
              <w:bottom w:val="nil"/>
              <w:right w:val="nil"/>
            </w:tcBorders>
            <w:shd w:val="clear" w:color="auto" w:fill="auto"/>
            <w:noWrap/>
            <w:vAlign w:val="center"/>
            <w:hideMark/>
          </w:tcPr>
          <w:p w14:paraId="62C6D161" w14:textId="77777777" w:rsidR="00091DF8" w:rsidRPr="001E7FEC" w:rsidRDefault="00091DF8" w:rsidP="00E24FD5">
            <w:pPr>
              <w:jc w:val="center"/>
              <w:rPr>
                <w:rFonts w:ascii="Arial" w:hAnsi="Arial" w:cs="Arial"/>
                <w:b/>
                <w:sz w:val="16"/>
                <w:szCs w:val="16"/>
              </w:rPr>
            </w:pPr>
            <w:r w:rsidRPr="001E7FEC">
              <w:rPr>
                <w:rFonts w:ascii="Arial" w:hAnsi="Arial" w:cs="Arial"/>
                <w:b/>
                <w:sz w:val="16"/>
                <w:szCs w:val="16"/>
              </w:rPr>
              <w:t>1/D</w:t>
            </w:r>
          </w:p>
        </w:tc>
      </w:tr>
      <w:tr w:rsidR="00091DF8" w:rsidRPr="004B37EF" w14:paraId="2CD336F3"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4A2D2029" w14:textId="77777777" w:rsidR="00091DF8" w:rsidRPr="001E7FEC" w:rsidRDefault="00091DF8" w:rsidP="00E24FD5">
            <w:pPr>
              <w:rPr>
                <w:rFonts w:ascii="Arial" w:hAnsi="Arial" w:cs="Arial"/>
                <w:b/>
                <w:sz w:val="16"/>
                <w:szCs w:val="16"/>
              </w:rPr>
            </w:pPr>
            <w:r w:rsidRPr="001E7FEC">
              <w:rPr>
                <w:rFonts w:ascii="Arial" w:hAnsi="Arial" w:cs="Arial"/>
                <w:b/>
                <w:sz w:val="16"/>
                <w:szCs w:val="16"/>
              </w:rPr>
              <w:t>Nematodes</w:t>
            </w:r>
          </w:p>
        </w:tc>
        <w:tc>
          <w:tcPr>
            <w:tcW w:w="0" w:type="auto"/>
            <w:tcBorders>
              <w:top w:val="nil"/>
              <w:left w:val="nil"/>
              <w:bottom w:val="nil"/>
              <w:right w:val="nil"/>
            </w:tcBorders>
            <w:shd w:val="clear" w:color="auto" w:fill="auto"/>
            <w:noWrap/>
            <w:vAlign w:val="center"/>
            <w:hideMark/>
          </w:tcPr>
          <w:p w14:paraId="4037ABEC" w14:textId="77777777" w:rsidR="00091DF8" w:rsidRPr="001E7FEC" w:rsidRDefault="00091DF8" w:rsidP="00E24FD5">
            <w:pPr>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14:paraId="32CB5B98" w14:textId="77777777" w:rsidR="00091DF8" w:rsidRPr="001E7FEC" w:rsidRDefault="00091DF8" w:rsidP="00E24FD5">
            <w:pPr>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14:paraId="3E85AE69"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(n = 46)</w:t>
            </w:r>
          </w:p>
        </w:tc>
        <w:tc>
          <w:tcPr>
            <w:tcW w:w="0" w:type="auto"/>
            <w:tcBorders>
              <w:top w:val="nil"/>
              <w:left w:val="nil"/>
              <w:bottom w:val="nil"/>
              <w:right w:val="nil"/>
            </w:tcBorders>
            <w:shd w:val="clear" w:color="auto" w:fill="auto"/>
            <w:noWrap/>
            <w:vAlign w:val="center"/>
            <w:hideMark/>
          </w:tcPr>
          <w:p w14:paraId="2980C3F8" w14:textId="77777777" w:rsidR="00091DF8" w:rsidRPr="001E7FEC" w:rsidRDefault="00091DF8" w:rsidP="00E24FD5">
            <w:pPr>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14:paraId="4BEAC20E" w14:textId="77777777" w:rsidR="00091DF8" w:rsidRPr="001E7FEC" w:rsidRDefault="00091DF8" w:rsidP="00E24FD5">
            <w:pPr>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14:paraId="08237F70" w14:textId="77777777" w:rsidR="00091DF8" w:rsidRPr="001E7FEC" w:rsidRDefault="00091DF8" w:rsidP="00E24FD5">
            <w:pPr>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14:paraId="54DC91D3" w14:textId="77777777" w:rsidR="00091DF8" w:rsidRPr="001E7FEC" w:rsidRDefault="00091DF8" w:rsidP="00E24FD5">
            <w:pPr>
              <w:jc w:val="center"/>
              <w:rPr>
                <w:rFonts w:ascii="Arial" w:hAnsi="Arial" w:cs="Arial"/>
                <w:sz w:val="16"/>
                <w:szCs w:val="16"/>
              </w:rPr>
            </w:pPr>
          </w:p>
        </w:tc>
      </w:tr>
      <w:tr w:rsidR="00091DF8" w:rsidRPr="004B37EF" w14:paraId="5EBDF52D"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3DEFE650" w14:textId="77777777" w:rsidR="00091DF8" w:rsidRPr="001E7FEC" w:rsidRDefault="00091DF8" w:rsidP="00E24FD5">
            <w:pPr>
              <w:rPr>
                <w:rFonts w:ascii="Arial" w:hAnsi="Arial" w:cs="Arial"/>
                <w:sz w:val="16"/>
                <w:szCs w:val="16"/>
              </w:rPr>
            </w:pPr>
            <w:r w:rsidRPr="001E7FEC">
              <w:rPr>
                <w:rFonts w:ascii="Arial" w:hAnsi="Arial" w:cs="Arial"/>
                <w:sz w:val="16"/>
                <w:szCs w:val="16"/>
              </w:rPr>
              <w:t>Slope</w:t>
            </w:r>
          </w:p>
        </w:tc>
        <w:tc>
          <w:tcPr>
            <w:tcW w:w="0" w:type="auto"/>
            <w:tcBorders>
              <w:top w:val="nil"/>
              <w:left w:val="nil"/>
              <w:bottom w:val="nil"/>
              <w:right w:val="nil"/>
            </w:tcBorders>
            <w:shd w:val="clear" w:color="auto" w:fill="auto"/>
            <w:noWrap/>
            <w:vAlign w:val="center"/>
            <w:hideMark/>
          </w:tcPr>
          <w:p w14:paraId="37636354"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19</w:t>
            </w:r>
          </w:p>
        </w:tc>
        <w:tc>
          <w:tcPr>
            <w:tcW w:w="0" w:type="auto"/>
            <w:tcBorders>
              <w:top w:val="nil"/>
              <w:left w:val="nil"/>
              <w:bottom w:val="nil"/>
              <w:right w:val="nil"/>
            </w:tcBorders>
            <w:shd w:val="clear" w:color="auto" w:fill="auto"/>
            <w:noWrap/>
            <w:vAlign w:val="center"/>
            <w:hideMark/>
          </w:tcPr>
          <w:p w14:paraId="7AE6664D"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46</w:t>
            </w:r>
          </w:p>
        </w:tc>
        <w:tc>
          <w:tcPr>
            <w:tcW w:w="0" w:type="auto"/>
            <w:tcBorders>
              <w:top w:val="nil"/>
              <w:left w:val="nil"/>
              <w:bottom w:val="nil"/>
              <w:right w:val="nil"/>
            </w:tcBorders>
            <w:shd w:val="clear" w:color="auto" w:fill="auto"/>
            <w:noWrap/>
            <w:vAlign w:val="center"/>
            <w:hideMark/>
          </w:tcPr>
          <w:p w14:paraId="73EFA18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19.0</w:t>
            </w:r>
          </w:p>
        </w:tc>
        <w:tc>
          <w:tcPr>
            <w:tcW w:w="0" w:type="auto"/>
            <w:tcBorders>
              <w:top w:val="nil"/>
              <w:left w:val="nil"/>
              <w:bottom w:val="nil"/>
              <w:right w:val="nil"/>
            </w:tcBorders>
            <w:shd w:val="clear" w:color="auto" w:fill="auto"/>
            <w:noWrap/>
            <w:vAlign w:val="center"/>
            <w:hideMark/>
          </w:tcPr>
          <w:p w14:paraId="4B1517D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12.1</w:t>
            </w:r>
          </w:p>
        </w:tc>
        <w:tc>
          <w:tcPr>
            <w:tcW w:w="0" w:type="auto"/>
            <w:tcBorders>
              <w:top w:val="nil"/>
              <w:left w:val="nil"/>
              <w:bottom w:val="nil"/>
              <w:right w:val="nil"/>
            </w:tcBorders>
            <w:shd w:val="clear" w:color="auto" w:fill="auto"/>
            <w:noWrap/>
            <w:vAlign w:val="center"/>
            <w:hideMark/>
          </w:tcPr>
          <w:p w14:paraId="0340F59E"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2.59</w:t>
            </w:r>
          </w:p>
        </w:tc>
        <w:tc>
          <w:tcPr>
            <w:tcW w:w="0" w:type="auto"/>
            <w:tcBorders>
              <w:top w:val="nil"/>
              <w:left w:val="nil"/>
              <w:bottom w:val="nil"/>
              <w:right w:val="nil"/>
            </w:tcBorders>
            <w:shd w:val="clear" w:color="auto" w:fill="auto"/>
            <w:noWrap/>
            <w:vAlign w:val="center"/>
            <w:hideMark/>
          </w:tcPr>
          <w:p w14:paraId="6E1B65B1"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13.4</w:t>
            </w:r>
          </w:p>
        </w:tc>
        <w:tc>
          <w:tcPr>
            <w:tcW w:w="0" w:type="auto"/>
            <w:tcBorders>
              <w:top w:val="nil"/>
              <w:left w:val="nil"/>
              <w:bottom w:val="nil"/>
              <w:right w:val="nil"/>
            </w:tcBorders>
            <w:shd w:val="clear" w:color="auto" w:fill="auto"/>
            <w:noWrap/>
            <w:vAlign w:val="center"/>
            <w:hideMark/>
          </w:tcPr>
          <w:p w14:paraId="2C193975"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10.1</w:t>
            </w:r>
          </w:p>
        </w:tc>
      </w:tr>
      <w:tr w:rsidR="00091DF8" w:rsidRPr="004B37EF" w14:paraId="7EEECC26"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3873979D" w14:textId="77777777" w:rsidR="00091DF8" w:rsidRPr="001E7FEC" w:rsidRDefault="00091DF8" w:rsidP="00E24FD5">
            <w:pPr>
              <w:rPr>
                <w:rFonts w:ascii="Arial" w:hAnsi="Arial" w:cs="Arial"/>
                <w:sz w:val="16"/>
                <w:szCs w:val="16"/>
              </w:rPr>
            </w:pPr>
            <w:r w:rsidRPr="001E7FEC">
              <w:rPr>
                <w:rFonts w:ascii="Arial" w:hAnsi="Arial" w:cs="Arial"/>
                <w:sz w:val="16"/>
                <w:szCs w:val="16"/>
              </w:rPr>
              <w:t>Western</w:t>
            </w:r>
          </w:p>
        </w:tc>
        <w:tc>
          <w:tcPr>
            <w:tcW w:w="0" w:type="auto"/>
            <w:tcBorders>
              <w:top w:val="nil"/>
              <w:left w:val="nil"/>
              <w:bottom w:val="nil"/>
              <w:right w:val="nil"/>
            </w:tcBorders>
            <w:shd w:val="clear" w:color="auto" w:fill="auto"/>
            <w:noWrap/>
            <w:vAlign w:val="center"/>
            <w:hideMark/>
          </w:tcPr>
          <w:p w14:paraId="458C3AD3"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27</w:t>
            </w:r>
          </w:p>
        </w:tc>
        <w:tc>
          <w:tcPr>
            <w:tcW w:w="0" w:type="auto"/>
            <w:tcBorders>
              <w:top w:val="nil"/>
              <w:left w:val="nil"/>
              <w:bottom w:val="nil"/>
              <w:right w:val="nil"/>
            </w:tcBorders>
            <w:shd w:val="clear" w:color="auto" w:fill="auto"/>
            <w:noWrap/>
            <w:vAlign w:val="center"/>
            <w:hideMark/>
          </w:tcPr>
          <w:p w14:paraId="2FB993DC"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100</w:t>
            </w:r>
          </w:p>
        </w:tc>
        <w:tc>
          <w:tcPr>
            <w:tcW w:w="0" w:type="auto"/>
            <w:tcBorders>
              <w:top w:val="nil"/>
              <w:left w:val="nil"/>
              <w:bottom w:val="nil"/>
              <w:right w:val="nil"/>
            </w:tcBorders>
            <w:shd w:val="clear" w:color="auto" w:fill="auto"/>
            <w:noWrap/>
            <w:vAlign w:val="center"/>
            <w:hideMark/>
          </w:tcPr>
          <w:p w14:paraId="7D6A2547"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17.2</w:t>
            </w:r>
          </w:p>
        </w:tc>
        <w:tc>
          <w:tcPr>
            <w:tcW w:w="0" w:type="auto"/>
            <w:tcBorders>
              <w:top w:val="nil"/>
              <w:left w:val="nil"/>
              <w:bottom w:val="nil"/>
              <w:right w:val="nil"/>
            </w:tcBorders>
            <w:shd w:val="clear" w:color="auto" w:fill="auto"/>
            <w:noWrap/>
            <w:vAlign w:val="center"/>
            <w:hideMark/>
          </w:tcPr>
          <w:p w14:paraId="6C250422"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10.2</w:t>
            </w:r>
          </w:p>
        </w:tc>
        <w:tc>
          <w:tcPr>
            <w:tcW w:w="0" w:type="auto"/>
            <w:tcBorders>
              <w:top w:val="nil"/>
              <w:left w:val="nil"/>
              <w:bottom w:val="nil"/>
              <w:right w:val="nil"/>
            </w:tcBorders>
            <w:shd w:val="clear" w:color="auto" w:fill="auto"/>
            <w:noWrap/>
            <w:vAlign w:val="center"/>
            <w:hideMark/>
          </w:tcPr>
          <w:p w14:paraId="631C898E"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2.34</w:t>
            </w:r>
          </w:p>
        </w:tc>
        <w:tc>
          <w:tcPr>
            <w:tcW w:w="0" w:type="auto"/>
            <w:tcBorders>
              <w:top w:val="nil"/>
              <w:left w:val="nil"/>
              <w:bottom w:val="nil"/>
              <w:right w:val="nil"/>
            </w:tcBorders>
            <w:shd w:val="clear" w:color="auto" w:fill="auto"/>
            <w:noWrap/>
            <w:vAlign w:val="center"/>
            <w:hideMark/>
          </w:tcPr>
          <w:p w14:paraId="58D5FA81"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10.5</w:t>
            </w:r>
          </w:p>
        </w:tc>
        <w:tc>
          <w:tcPr>
            <w:tcW w:w="0" w:type="auto"/>
            <w:tcBorders>
              <w:top w:val="nil"/>
              <w:left w:val="nil"/>
              <w:bottom w:val="nil"/>
              <w:right w:val="nil"/>
            </w:tcBorders>
            <w:shd w:val="clear" w:color="auto" w:fill="auto"/>
            <w:noWrap/>
            <w:vAlign w:val="center"/>
            <w:hideMark/>
          </w:tcPr>
          <w:p w14:paraId="23F8129D"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7.0</w:t>
            </w:r>
          </w:p>
        </w:tc>
      </w:tr>
      <w:tr w:rsidR="00091DF8" w:rsidRPr="004B37EF" w14:paraId="35D68922"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2A1ADA12" w14:textId="77777777" w:rsidR="00091DF8" w:rsidRPr="001E7FEC" w:rsidRDefault="00091DF8" w:rsidP="00E24FD5">
            <w:pPr>
              <w:rPr>
                <w:rFonts w:ascii="Arial" w:hAnsi="Arial" w:cs="Arial"/>
                <w:sz w:val="16"/>
                <w:szCs w:val="16"/>
              </w:rPr>
            </w:pPr>
            <w:r w:rsidRPr="001E7FEC">
              <w:rPr>
                <w:rFonts w:ascii="Arial" w:hAnsi="Arial" w:cs="Arial"/>
                <w:sz w:val="16"/>
                <w:szCs w:val="16"/>
              </w:rPr>
              <w:t>Central</w:t>
            </w:r>
          </w:p>
        </w:tc>
        <w:tc>
          <w:tcPr>
            <w:tcW w:w="0" w:type="auto"/>
            <w:tcBorders>
              <w:top w:val="nil"/>
              <w:left w:val="nil"/>
              <w:bottom w:val="nil"/>
              <w:right w:val="nil"/>
            </w:tcBorders>
            <w:shd w:val="clear" w:color="auto" w:fill="auto"/>
            <w:noWrap/>
            <w:vAlign w:val="center"/>
            <w:hideMark/>
          </w:tcPr>
          <w:p w14:paraId="632CBF93"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28</w:t>
            </w:r>
          </w:p>
        </w:tc>
        <w:tc>
          <w:tcPr>
            <w:tcW w:w="0" w:type="auto"/>
            <w:tcBorders>
              <w:top w:val="nil"/>
              <w:left w:val="nil"/>
              <w:bottom w:val="nil"/>
              <w:right w:val="nil"/>
            </w:tcBorders>
            <w:shd w:val="clear" w:color="auto" w:fill="auto"/>
            <w:noWrap/>
            <w:vAlign w:val="center"/>
            <w:hideMark/>
          </w:tcPr>
          <w:p w14:paraId="46BE5ED7"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124</w:t>
            </w:r>
          </w:p>
        </w:tc>
        <w:tc>
          <w:tcPr>
            <w:tcW w:w="0" w:type="auto"/>
            <w:tcBorders>
              <w:top w:val="nil"/>
              <w:left w:val="nil"/>
              <w:bottom w:val="nil"/>
              <w:right w:val="nil"/>
            </w:tcBorders>
            <w:shd w:val="clear" w:color="auto" w:fill="auto"/>
            <w:noWrap/>
            <w:vAlign w:val="center"/>
            <w:hideMark/>
          </w:tcPr>
          <w:p w14:paraId="1049424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16.4</w:t>
            </w:r>
          </w:p>
        </w:tc>
        <w:tc>
          <w:tcPr>
            <w:tcW w:w="0" w:type="auto"/>
            <w:tcBorders>
              <w:top w:val="nil"/>
              <w:left w:val="nil"/>
              <w:bottom w:val="nil"/>
              <w:right w:val="nil"/>
            </w:tcBorders>
            <w:shd w:val="clear" w:color="auto" w:fill="auto"/>
            <w:noWrap/>
            <w:vAlign w:val="center"/>
            <w:hideMark/>
          </w:tcPr>
          <w:p w14:paraId="6580BEBD"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9.1</w:t>
            </w:r>
          </w:p>
        </w:tc>
        <w:tc>
          <w:tcPr>
            <w:tcW w:w="0" w:type="auto"/>
            <w:tcBorders>
              <w:top w:val="nil"/>
              <w:left w:val="nil"/>
              <w:bottom w:val="nil"/>
              <w:right w:val="nil"/>
            </w:tcBorders>
            <w:shd w:val="clear" w:color="auto" w:fill="auto"/>
            <w:noWrap/>
            <w:vAlign w:val="center"/>
            <w:hideMark/>
          </w:tcPr>
          <w:p w14:paraId="172238CC"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2.21</w:t>
            </w:r>
          </w:p>
        </w:tc>
        <w:tc>
          <w:tcPr>
            <w:tcW w:w="0" w:type="auto"/>
            <w:tcBorders>
              <w:top w:val="nil"/>
              <w:left w:val="nil"/>
              <w:bottom w:val="nil"/>
              <w:right w:val="nil"/>
            </w:tcBorders>
            <w:shd w:val="clear" w:color="auto" w:fill="auto"/>
            <w:noWrap/>
            <w:vAlign w:val="center"/>
            <w:hideMark/>
          </w:tcPr>
          <w:p w14:paraId="16E99F5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9.3</w:t>
            </w:r>
          </w:p>
        </w:tc>
        <w:tc>
          <w:tcPr>
            <w:tcW w:w="0" w:type="auto"/>
            <w:tcBorders>
              <w:top w:val="nil"/>
              <w:left w:val="nil"/>
              <w:bottom w:val="nil"/>
              <w:right w:val="nil"/>
            </w:tcBorders>
            <w:shd w:val="clear" w:color="auto" w:fill="auto"/>
            <w:noWrap/>
            <w:vAlign w:val="center"/>
            <w:hideMark/>
          </w:tcPr>
          <w:p w14:paraId="1B917231"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6.0</w:t>
            </w:r>
          </w:p>
        </w:tc>
      </w:tr>
      <w:tr w:rsidR="00091DF8" w:rsidRPr="004B37EF" w14:paraId="0CEDA69C"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0257B433" w14:textId="77777777" w:rsidR="00091DF8" w:rsidRPr="001E7FEC" w:rsidRDefault="00091DF8" w:rsidP="00E24FD5">
            <w:pPr>
              <w:rPr>
                <w:rFonts w:ascii="Arial" w:hAnsi="Arial" w:cs="Arial"/>
                <w:sz w:val="16"/>
                <w:szCs w:val="16"/>
              </w:rPr>
            </w:pPr>
            <w:r w:rsidRPr="001E7FEC">
              <w:rPr>
                <w:rFonts w:ascii="Arial" w:hAnsi="Arial" w:cs="Arial"/>
                <w:sz w:val="16"/>
                <w:szCs w:val="16"/>
              </w:rPr>
              <w:t>Eastern</w:t>
            </w:r>
          </w:p>
        </w:tc>
        <w:tc>
          <w:tcPr>
            <w:tcW w:w="0" w:type="auto"/>
            <w:tcBorders>
              <w:top w:val="nil"/>
              <w:left w:val="nil"/>
              <w:bottom w:val="nil"/>
              <w:right w:val="nil"/>
            </w:tcBorders>
            <w:shd w:val="clear" w:color="auto" w:fill="auto"/>
            <w:noWrap/>
            <w:vAlign w:val="center"/>
            <w:hideMark/>
          </w:tcPr>
          <w:p w14:paraId="79A8A9A4"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25</w:t>
            </w:r>
          </w:p>
        </w:tc>
        <w:tc>
          <w:tcPr>
            <w:tcW w:w="0" w:type="auto"/>
            <w:tcBorders>
              <w:top w:val="nil"/>
              <w:left w:val="nil"/>
              <w:bottom w:val="nil"/>
              <w:right w:val="nil"/>
            </w:tcBorders>
            <w:shd w:val="clear" w:color="auto" w:fill="auto"/>
            <w:noWrap/>
            <w:vAlign w:val="center"/>
            <w:hideMark/>
          </w:tcPr>
          <w:p w14:paraId="568103B9"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140</w:t>
            </w:r>
          </w:p>
        </w:tc>
        <w:tc>
          <w:tcPr>
            <w:tcW w:w="0" w:type="auto"/>
            <w:tcBorders>
              <w:top w:val="nil"/>
              <w:left w:val="nil"/>
              <w:bottom w:val="nil"/>
              <w:right w:val="nil"/>
            </w:tcBorders>
            <w:shd w:val="clear" w:color="auto" w:fill="auto"/>
            <w:noWrap/>
            <w:vAlign w:val="center"/>
            <w:hideMark/>
          </w:tcPr>
          <w:p w14:paraId="2E78A673"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15.4</w:t>
            </w:r>
          </w:p>
        </w:tc>
        <w:tc>
          <w:tcPr>
            <w:tcW w:w="0" w:type="auto"/>
            <w:tcBorders>
              <w:top w:val="nil"/>
              <w:left w:val="nil"/>
              <w:bottom w:val="nil"/>
              <w:right w:val="nil"/>
            </w:tcBorders>
            <w:shd w:val="clear" w:color="auto" w:fill="auto"/>
            <w:noWrap/>
            <w:vAlign w:val="center"/>
            <w:hideMark/>
          </w:tcPr>
          <w:p w14:paraId="6596663D"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8.4</w:t>
            </w:r>
          </w:p>
        </w:tc>
        <w:tc>
          <w:tcPr>
            <w:tcW w:w="0" w:type="auto"/>
            <w:tcBorders>
              <w:top w:val="nil"/>
              <w:left w:val="nil"/>
              <w:bottom w:val="nil"/>
              <w:right w:val="nil"/>
            </w:tcBorders>
            <w:shd w:val="clear" w:color="auto" w:fill="auto"/>
            <w:noWrap/>
            <w:vAlign w:val="center"/>
            <w:hideMark/>
          </w:tcPr>
          <w:p w14:paraId="55DD118B"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2.32</w:t>
            </w:r>
          </w:p>
        </w:tc>
        <w:tc>
          <w:tcPr>
            <w:tcW w:w="0" w:type="auto"/>
            <w:tcBorders>
              <w:top w:val="nil"/>
              <w:left w:val="nil"/>
              <w:bottom w:val="nil"/>
              <w:right w:val="nil"/>
            </w:tcBorders>
            <w:shd w:val="clear" w:color="auto" w:fill="auto"/>
            <w:noWrap/>
            <w:vAlign w:val="center"/>
            <w:hideMark/>
          </w:tcPr>
          <w:p w14:paraId="1CF6E41B"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10.3</w:t>
            </w:r>
          </w:p>
        </w:tc>
        <w:tc>
          <w:tcPr>
            <w:tcW w:w="0" w:type="auto"/>
            <w:tcBorders>
              <w:top w:val="nil"/>
              <w:left w:val="nil"/>
              <w:bottom w:val="nil"/>
              <w:right w:val="nil"/>
            </w:tcBorders>
            <w:shd w:val="clear" w:color="auto" w:fill="auto"/>
            <w:noWrap/>
            <w:vAlign w:val="center"/>
            <w:hideMark/>
          </w:tcPr>
          <w:p w14:paraId="469994C8"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7.6</w:t>
            </w:r>
          </w:p>
        </w:tc>
      </w:tr>
      <w:tr w:rsidR="00091DF8" w:rsidRPr="004B37EF" w14:paraId="580BA1A3"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141D5C02" w14:textId="77777777" w:rsidR="00091DF8" w:rsidRPr="001E7FEC" w:rsidRDefault="00091DF8" w:rsidP="00E24FD5">
            <w:pPr>
              <w:rPr>
                <w:rFonts w:ascii="Arial" w:hAnsi="Arial" w:cs="Arial"/>
                <w:b/>
                <w:sz w:val="16"/>
                <w:szCs w:val="16"/>
              </w:rPr>
            </w:pPr>
            <w:r w:rsidRPr="001E7FEC">
              <w:rPr>
                <w:rFonts w:ascii="Arial" w:hAnsi="Arial" w:cs="Arial"/>
                <w:b/>
                <w:sz w:val="16"/>
                <w:szCs w:val="16"/>
              </w:rPr>
              <w:t>Polychaetes</w:t>
            </w:r>
          </w:p>
        </w:tc>
        <w:tc>
          <w:tcPr>
            <w:tcW w:w="0" w:type="auto"/>
            <w:tcBorders>
              <w:top w:val="nil"/>
              <w:left w:val="nil"/>
              <w:bottom w:val="nil"/>
              <w:right w:val="nil"/>
            </w:tcBorders>
            <w:shd w:val="clear" w:color="auto" w:fill="auto"/>
            <w:noWrap/>
            <w:vAlign w:val="center"/>
            <w:hideMark/>
          </w:tcPr>
          <w:p w14:paraId="455F6815" w14:textId="77777777" w:rsidR="00091DF8" w:rsidRPr="001E7FEC" w:rsidRDefault="00091DF8" w:rsidP="00E24FD5">
            <w:pPr>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14:paraId="7828BFAC" w14:textId="77777777" w:rsidR="00091DF8" w:rsidRPr="001E7FEC" w:rsidRDefault="00091DF8" w:rsidP="00E24FD5">
            <w:pPr>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14:paraId="4E4E25B7"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(n = 318)</w:t>
            </w:r>
          </w:p>
        </w:tc>
        <w:tc>
          <w:tcPr>
            <w:tcW w:w="0" w:type="auto"/>
            <w:tcBorders>
              <w:top w:val="nil"/>
              <w:left w:val="nil"/>
              <w:bottom w:val="nil"/>
              <w:right w:val="nil"/>
            </w:tcBorders>
            <w:shd w:val="clear" w:color="auto" w:fill="auto"/>
            <w:noWrap/>
            <w:vAlign w:val="center"/>
            <w:hideMark/>
          </w:tcPr>
          <w:p w14:paraId="2709BD9E" w14:textId="77777777" w:rsidR="00091DF8" w:rsidRPr="001E7FEC" w:rsidRDefault="00091DF8" w:rsidP="00E24FD5">
            <w:pPr>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14:paraId="3BBC0B99" w14:textId="77777777" w:rsidR="00091DF8" w:rsidRPr="001E7FEC" w:rsidRDefault="00091DF8" w:rsidP="00E24FD5">
            <w:pPr>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14:paraId="3815C513" w14:textId="77777777" w:rsidR="00091DF8" w:rsidRPr="001E7FEC" w:rsidRDefault="00091DF8" w:rsidP="00E24FD5">
            <w:pPr>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14:paraId="3636313C" w14:textId="77777777" w:rsidR="00091DF8" w:rsidRPr="001E7FEC" w:rsidRDefault="00091DF8" w:rsidP="00E24FD5">
            <w:pPr>
              <w:jc w:val="center"/>
              <w:rPr>
                <w:rFonts w:ascii="Arial" w:hAnsi="Arial" w:cs="Arial"/>
                <w:sz w:val="16"/>
                <w:szCs w:val="16"/>
              </w:rPr>
            </w:pPr>
          </w:p>
        </w:tc>
      </w:tr>
      <w:tr w:rsidR="00091DF8" w:rsidRPr="004B37EF" w14:paraId="5A1B447D"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5144D80F" w14:textId="77777777" w:rsidR="00091DF8" w:rsidRPr="001E7FEC" w:rsidRDefault="00091DF8" w:rsidP="00E24FD5">
            <w:pPr>
              <w:rPr>
                <w:rFonts w:ascii="Arial" w:hAnsi="Arial" w:cs="Arial"/>
                <w:sz w:val="16"/>
                <w:szCs w:val="16"/>
              </w:rPr>
            </w:pPr>
            <w:r w:rsidRPr="001E7FEC">
              <w:rPr>
                <w:rFonts w:ascii="Arial" w:hAnsi="Arial" w:cs="Arial"/>
                <w:sz w:val="16"/>
                <w:szCs w:val="16"/>
              </w:rPr>
              <w:t>Slope</w:t>
            </w:r>
          </w:p>
        </w:tc>
        <w:tc>
          <w:tcPr>
            <w:tcW w:w="0" w:type="auto"/>
            <w:tcBorders>
              <w:top w:val="nil"/>
              <w:left w:val="nil"/>
              <w:bottom w:val="nil"/>
              <w:right w:val="nil"/>
            </w:tcBorders>
            <w:shd w:val="clear" w:color="auto" w:fill="auto"/>
            <w:noWrap/>
            <w:vAlign w:val="center"/>
            <w:hideMark/>
          </w:tcPr>
          <w:p w14:paraId="59219C3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45</w:t>
            </w:r>
          </w:p>
        </w:tc>
        <w:tc>
          <w:tcPr>
            <w:tcW w:w="0" w:type="auto"/>
            <w:tcBorders>
              <w:top w:val="nil"/>
              <w:left w:val="nil"/>
              <w:bottom w:val="nil"/>
              <w:right w:val="nil"/>
            </w:tcBorders>
            <w:shd w:val="clear" w:color="auto" w:fill="auto"/>
            <w:noWrap/>
            <w:vAlign w:val="center"/>
            <w:hideMark/>
          </w:tcPr>
          <w:p w14:paraId="797342AB"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322</w:t>
            </w:r>
          </w:p>
        </w:tc>
        <w:tc>
          <w:tcPr>
            <w:tcW w:w="0" w:type="auto"/>
            <w:tcBorders>
              <w:top w:val="nil"/>
              <w:left w:val="nil"/>
              <w:bottom w:val="nil"/>
              <w:right w:val="nil"/>
            </w:tcBorders>
            <w:shd w:val="clear" w:color="auto" w:fill="auto"/>
            <w:noWrap/>
            <w:vAlign w:val="center"/>
            <w:hideMark/>
          </w:tcPr>
          <w:p w14:paraId="55D1A603"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44.7</w:t>
            </w:r>
          </w:p>
        </w:tc>
        <w:tc>
          <w:tcPr>
            <w:tcW w:w="0" w:type="auto"/>
            <w:tcBorders>
              <w:top w:val="nil"/>
              <w:left w:val="nil"/>
              <w:bottom w:val="nil"/>
              <w:right w:val="nil"/>
            </w:tcBorders>
            <w:shd w:val="clear" w:color="auto" w:fill="auto"/>
            <w:noWrap/>
            <w:vAlign w:val="center"/>
            <w:hideMark/>
          </w:tcPr>
          <w:p w14:paraId="66DA9FB9"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14.2</w:t>
            </w:r>
          </w:p>
        </w:tc>
        <w:tc>
          <w:tcPr>
            <w:tcW w:w="0" w:type="auto"/>
            <w:tcBorders>
              <w:top w:val="nil"/>
              <w:left w:val="nil"/>
              <w:bottom w:val="nil"/>
              <w:right w:val="nil"/>
            </w:tcBorders>
            <w:shd w:val="clear" w:color="auto" w:fill="auto"/>
            <w:noWrap/>
            <w:vAlign w:val="center"/>
            <w:hideMark/>
          </w:tcPr>
          <w:p w14:paraId="6C2E65DB"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2.89</w:t>
            </w:r>
          </w:p>
        </w:tc>
        <w:tc>
          <w:tcPr>
            <w:tcW w:w="0" w:type="auto"/>
            <w:tcBorders>
              <w:top w:val="nil"/>
              <w:left w:val="nil"/>
              <w:bottom w:val="nil"/>
              <w:right w:val="nil"/>
            </w:tcBorders>
            <w:shd w:val="clear" w:color="auto" w:fill="auto"/>
            <w:noWrap/>
            <w:vAlign w:val="center"/>
            <w:hideMark/>
          </w:tcPr>
          <w:p w14:paraId="4B0660BE"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18.0</w:t>
            </w:r>
          </w:p>
        </w:tc>
        <w:tc>
          <w:tcPr>
            <w:tcW w:w="0" w:type="auto"/>
            <w:tcBorders>
              <w:top w:val="nil"/>
              <w:left w:val="nil"/>
              <w:bottom w:val="nil"/>
              <w:right w:val="nil"/>
            </w:tcBorders>
            <w:shd w:val="clear" w:color="auto" w:fill="auto"/>
            <w:noWrap/>
            <w:vAlign w:val="center"/>
            <w:hideMark/>
          </w:tcPr>
          <w:p w14:paraId="4EBA3F4D"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11.0</w:t>
            </w:r>
          </w:p>
        </w:tc>
      </w:tr>
      <w:tr w:rsidR="00091DF8" w:rsidRPr="004B37EF" w14:paraId="5B5A7948"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631F4F3E" w14:textId="77777777" w:rsidR="00091DF8" w:rsidRPr="001E7FEC" w:rsidRDefault="00091DF8" w:rsidP="00E24FD5">
            <w:pPr>
              <w:rPr>
                <w:rFonts w:ascii="Arial" w:hAnsi="Arial" w:cs="Arial"/>
                <w:sz w:val="16"/>
                <w:szCs w:val="16"/>
              </w:rPr>
            </w:pPr>
            <w:r w:rsidRPr="001E7FEC">
              <w:rPr>
                <w:rFonts w:ascii="Arial" w:hAnsi="Arial" w:cs="Arial"/>
                <w:sz w:val="16"/>
                <w:szCs w:val="16"/>
              </w:rPr>
              <w:t>Western</w:t>
            </w:r>
          </w:p>
        </w:tc>
        <w:tc>
          <w:tcPr>
            <w:tcW w:w="0" w:type="auto"/>
            <w:tcBorders>
              <w:top w:val="nil"/>
              <w:left w:val="nil"/>
              <w:bottom w:val="nil"/>
              <w:right w:val="nil"/>
            </w:tcBorders>
            <w:shd w:val="clear" w:color="auto" w:fill="auto"/>
            <w:noWrap/>
            <w:vAlign w:val="center"/>
            <w:hideMark/>
          </w:tcPr>
          <w:p w14:paraId="432FE393"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35</w:t>
            </w:r>
          </w:p>
        </w:tc>
        <w:tc>
          <w:tcPr>
            <w:tcW w:w="0" w:type="auto"/>
            <w:tcBorders>
              <w:top w:val="nil"/>
              <w:left w:val="nil"/>
              <w:bottom w:val="nil"/>
              <w:right w:val="nil"/>
            </w:tcBorders>
            <w:shd w:val="clear" w:color="auto" w:fill="auto"/>
            <w:noWrap/>
            <w:vAlign w:val="center"/>
            <w:hideMark/>
          </w:tcPr>
          <w:p w14:paraId="1F3A6761"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318</w:t>
            </w:r>
          </w:p>
        </w:tc>
        <w:tc>
          <w:tcPr>
            <w:tcW w:w="0" w:type="auto"/>
            <w:tcBorders>
              <w:top w:val="nil"/>
              <w:left w:val="nil"/>
              <w:bottom w:val="nil"/>
              <w:right w:val="nil"/>
            </w:tcBorders>
            <w:shd w:val="clear" w:color="auto" w:fill="auto"/>
            <w:noWrap/>
            <w:vAlign w:val="center"/>
            <w:hideMark/>
          </w:tcPr>
          <w:p w14:paraId="1E9CBA13"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35</w:t>
            </w:r>
          </w:p>
        </w:tc>
        <w:tc>
          <w:tcPr>
            <w:tcW w:w="0" w:type="auto"/>
            <w:tcBorders>
              <w:top w:val="nil"/>
              <w:left w:val="nil"/>
              <w:bottom w:val="nil"/>
              <w:right w:val="nil"/>
            </w:tcBorders>
            <w:shd w:val="clear" w:color="auto" w:fill="auto"/>
            <w:noWrap/>
            <w:vAlign w:val="center"/>
            <w:hideMark/>
          </w:tcPr>
          <w:p w14:paraId="7D9B2977"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10.0</w:t>
            </w:r>
          </w:p>
        </w:tc>
        <w:tc>
          <w:tcPr>
            <w:tcW w:w="0" w:type="auto"/>
            <w:tcBorders>
              <w:top w:val="nil"/>
              <w:left w:val="nil"/>
              <w:bottom w:val="nil"/>
              <w:right w:val="nil"/>
            </w:tcBorders>
            <w:shd w:val="clear" w:color="auto" w:fill="auto"/>
            <w:noWrap/>
            <w:vAlign w:val="center"/>
            <w:hideMark/>
          </w:tcPr>
          <w:p w14:paraId="4492ADC5"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2.67</w:t>
            </w:r>
          </w:p>
        </w:tc>
        <w:tc>
          <w:tcPr>
            <w:tcW w:w="0" w:type="auto"/>
            <w:tcBorders>
              <w:top w:val="nil"/>
              <w:left w:val="nil"/>
              <w:bottom w:val="nil"/>
              <w:right w:val="nil"/>
            </w:tcBorders>
            <w:shd w:val="clear" w:color="auto" w:fill="auto"/>
            <w:noWrap/>
            <w:vAlign w:val="center"/>
            <w:hideMark/>
          </w:tcPr>
          <w:p w14:paraId="4A213C0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14.5</w:t>
            </w:r>
          </w:p>
        </w:tc>
        <w:tc>
          <w:tcPr>
            <w:tcW w:w="0" w:type="auto"/>
            <w:tcBorders>
              <w:top w:val="nil"/>
              <w:left w:val="nil"/>
              <w:bottom w:val="nil"/>
              <w:right w:val="nil"/>
            </w:tcBorders>
            <w:shd w:val="clear" w:color="auto" w:fill="auto"/>
            <w:noWrap/>
            <w:vAlign w:val="center"/>
            <w:hideMark/>
          </w:tcPr>
          <w:p w14:paraId="7807B93E"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9.6</w:t>
            </w:r>
          </w:p>
        </w:tc>
      </w:tr>
      <w:tr w:rsidR="00091DF8" w:rsidRPr="004B37EF" w14:paraId="44295769"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38EB9F71" w14:textId="77777777" w:rsidR="00091DF8" w:rsidRPr="001E7FEC" w:rsidRDefault="00091DF8" w:rsidP="00E24FD5">
            <w:pPr>
              <w:rPr>
                <w:rFonts w:ascii="Arial" w:hAnsi="Arial" w:cs="Arial"/>
                <w:sz w:val="16"/>
                <w:szCs w:val="16"/>
              </w:rPr>
            </w:pPr>
            <w:r w:rsidRPr="001E7FEC">
              <w:rPr>
                <w:rFonts w:ascii="Arial" w:hAnsi="Arial" w:cs="Arial"/>
                <w:sz w:val="16"/>
                <w:szCs w:val="16"/>
              </w:rPr>
              <w:t>Central</w:t>
            </w:r>
          </w:p>
        </w:tc>
        <w:tc>
          <w:tcPr>
            <w:tcW w:w="0" w:type="auto"/>
            <w:tcBorders>
              <w:top w:val="nil"/>
              <w:left w:val="nil"/>
              <w:bottom w:val="nil"/>
              <w:right w:val="nil"/>
            </w:tcBorders>
            <w:shd w:val="clear" w:color="auto" w:fill="auto"/>
            <w:noWrap/>
            <w:vAlign w:val="center"/>
            <w:hideMark/>
          </w:tcPr>
          <w:p w14:paraId="4250753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41</w:t>
            </w:r>
          </w:p>
        </w:tc>
        <w:tc>
          <w:tcPr>
            <w:tcW w:w="0" w:type="auto"/>
            <w:tcBorders>
              <w:top w:val="nil"/>
              <w:left w:val="nil"/>
              <w:bottom w:val="nil"/>
              <w:right w:val="nil"/>
            </w:tcBorders>
            <w:shd w:val="clear" w:color="auto" w:fill="auto"/>
            <w:noWrap/>
            <w:vAlign w:val="center"/>
            <w:hideMark/>
          </w:tcPr>
          <w:p w14:paraId="23AC82B0"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568</w:t>
            </w:r>
          </w:p>
        </w:tc>
        <w:tc>
          <w:tcPr>
            <w:tcW w:w="0" w:type="auto"/>
            <w:tcBorders>
              <w:top w:val="nil"/>
              <w:left w:val="nil"/>
              <w:bottom w:val="nil"/>
              <w:right w:val="nil"/>
            </w:tcBorders>
            <w:shd w:val="clear" w:color="auto" w:fill="auto"/>
            <w:noWrap/>
            <w:vAlign w:val="center"/>
            <w:hideMark/>
          </w:tcPr>
          <w:p w14:paraId="2C1E6205"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33.3</w:t>
            </w:r>
          </w:p>
        </w:tc>
        <w:tc>
          <w:tcPr>
            <w:tcW w:w="0" w:type="auto"/>
            <w:tcBorders>
              <w:top w:val="nil"/>
              <w:left w:val="nil"/>
              <w:bottom w:val="nil"/>
              <w:right w:val="nil"/>
            </w:tcBorders>
            <w:shd w:val="clear" w:color="auto" w:fill="auto"/>
            <w:noWrap/>
            <w:vAlign w:val="center"/>
            <w:hideMark/>
          </w:tcPr>
          <w:p w14:paraId="24A3299E"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9.4</w:t>
            </w:r>
          </w:p>
        </w:tc>
        <w:tc>
          <w:tcPr>
            <w:tcW w:w="0" w:type="auto"/>
            <w:tcBorders>
              <w:top w:val="nil"/>
              <w:left w:val="nil"/>
              <w:bottom w:val="nil"/>
              <w:right w:val="nil"/>
            </w:tcBorders>
            <w:shd w:val="clear" w:color="auto" w:fill="auto"/>
            <w:noWrap/>
            <w:vAlign w:val="center"/>
            <w:hideMark/>
          </w:tcPr>
          <w:p w14:paraId="22805709"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2.47</w:t>
            </w:r>
          </w:p>
        </w:tc>
        <w:tc>
          <w:tcPr>
            <w:tcW w:w="0" w:type="auto"/>
            <w:tcBorders>
              <w:top w:val="nil"/>
              <w:left w:val="nil"/>
              <w:bottom w:val="nil"/>
              <w:right w:val="nil"/>
            </w:tcBorders>
            <w:shd w:val="clear" w:color="auto" w:fill="auto"/>
            <w:noWrap/>
            <w:vAlign w:val="center"/>
            <w:hideMark/>
          </w:tcPr>
          <w:p w14:paraId="3097B66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11.8</w:t>
            </w:r>
          </w:p>
        </w:tc>
        <w:tc>
          <w:tcPr>
            <w:tcW w:w="0" w:type="auto"/>
            <w:tcBorders>
              <w:top w:val="nil"/>
              <w:left w:val="nil"/>
              <w:bottom w:val="nil"/>
              <w:right w:val="nil"/>
            </w:tcBorders>
            <w:shd w:val="clear" w:color="auto" w:fill="auto"/>
            <w:noWrap/>
            <w:vAlign w:val="center"/>
            <w:hideMark/>
          </w:tcPr>
          <w:p w14:paraId="473E82B6"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6.6</w:t>
            </w:r>
          </w:p>
        </w:tc>
      </w:tr>
      <w:tr w:rsidR="00091DF8" w:rsidRPr="004B37EF" w14:paraId="4A79872D" w14:textId="77777777" w:rsidTr="00E24FD5">
        <w:trPr>
          <w:trHeight w:val="300"/>
          <w:jc w:val="center"/>
        </w:trPr>
        <w:tc>
          <w:tcPr>
            <w:tcW w:w="0" w:type="auto"/>
            <w:tcBorders>
              <w:top w:val="nil"/>
              <w:left w:val="nil"/>
              <w:bottom w:val="nil"/>
              <w:right w:val="nil"/>
            </w:tcBorders>
            <w:shd w:val="clear" w:color="auto" w:fill="auto"/>
            <w:noWrap/>
            <w:vAlign w:val="center"/>
            <w:hideMark/>
          </w:tcPr>
          <w:p w14:paraId="010B2214" w14:textId="77777777" w:rsidR="00091DF8" w:rsidRPr="001E7FEC" w:rsidRDefault="00091DF8" w:rsidP="00E24FD5">
            <w:pPr>
              <w:rPr>
                <w:rFonts w:ascii="Arial" w:hAnsi="Arial" w:cs="Arial"/>
                <w:sz w:val="16"/>
                <w:szCs w:val="16"/>
              </w:rPr>
            </w:pPr>
            <w:r w:rsidRPr="001E7FEC">
              <w:rPr>
                <w:rFonts w:ascii="Arial" w:hAnsi="Arial" w:cs="Arial"/>
                <w:sz w:val="16"/>
                <w:szCs w:val="16"/>
              </w:rPr>
              <w:t>Eastern</w:t>
            </w:r>
          </w:p>
        </w:tc>
        <w:tc>
          <w:tcPr>
            <w:tcW w:w="0" w:type="auto"/>
            <w:tcBorders>
              <w:top w:val="nil"/>
              <w:left w:val="nil"/>
              <w:bottom w:val="nil"/>
              <w:right w:val="nil"/>
            </w:tcBorders>
            <w:shd w:val="clear" w:color="auto" w:fill="auto"/>
            <w:noWrap/>
            <w:vAlign w:val="center"/>
            <w:hideMark/>
          </w:tcPr>
          <w:p w14:paraId="2326FEF5"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40</w:t>
            </w:r>
          </w:p>
        </w:tc>
        <w:tc>
          <w:tcPr>
            <w:tcW w:w="0" w:type="auto"/>
            <w:tcBorders>
              <w:top w:val="nil"/>
              <w:left w:val="nil"/>
              <w:bottom w:val="nil"/>
              <w:right w:val="nil"/>
            </w:tcBorders>
            <w:shd w:val="clear" w:color="auto" w:fill="auto"/>
            <w:noWrap/>
            <w:vAlign w:val="center"/>
            <w:hideMark/>
          </w:tcPr>
          <w:p w14:paraId="2A0FBE7E"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751</w:t>
            </w:r>
          </w:p>
        </w:tc>
        <w:tc>
          <w:tcPr>
            <w:tcW w:w="0" w:type="auto"/>
            <w:tcBorders>
              <w:top w:val="nil"/>
              <w:left w:val="nil"/>
              <w:bottom w:val="nil"/>
              <w:right w:val="nil"/>
            </w:tcBorders>
            <w:shd w:val="clear" w:color="auto" w:fill="auto"/>
            <w:noWrap/>
            <w:vAlign w:val="center"/>
            <w:hideMark/>
          </w:tcPr>
          <w:p w14:paraId="390BC3AC"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30.4</w:t>
            </w:r>
          </w:p>
        </w:tc>
        <w:tc>
          <w:tcPr>
            <w:tcW w:w="0" w:type="auto"/>
            <w:tcBorders>
              <w:top w:val="nil"/>
              <w:left w:val="nil"/>
              <w:bottom w:val="nil"/>
              <w:right w:val="nil"/>
            </w:tcBorders>
            <w:shd w:val="clear" w:color="auto" w:fill="auto"/>
            <w:noWrap/>
            <w:vAlign w:val="center"/>
            <w:hideMark/>
          </w:tcPr>
          <w:p w14:paraId="135E8227"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8.2</w:t>
            </w:r>
          </w:p>
        </w:tc>
        <w:tc>
          <w:tcPr>
            <w:tcW w:w="0" w:type="auto"/>
            <w:tcBorders>
              <w:top w:val="nil"/>
              <w:left w:val="nil"/>
              <w:bottom w:val="nil"/>
              <w:right w:val="nil"/>
            </w:tcBorders>
            <w:shd w:val="clear" w:color="auto" w:fill="auto"/>
            <w:noWrap/>
            <w:vAlign w:val="center"/>
            <w:hideMark/>
          </w:tcPr>
          <w:p w14:paraId="2BB3DA1A"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2.30</w:t>
            </w:r>
          </w:p>
        </w:tc>
        <w:tc>
          <w:tcPr>
            <w:tcW w:w="0" w:type="auto"/>
            <w:tcBorders>
              <w:top w:val="nil"/>
              <w:left w:val="nil"/>
              <w:bottom w:val="nil"/>
              <w:right w:val="nil"/>
            </w:tcBorders>
            <w:shd w:val="clear" w:color="auto" w:fill="auto"/>
            <w:noWrap/>
            <w:vAlign w:val="center"/>
            <w:hideMark/>
          </w:tcPr>
          <w:p w14:paraId="2DC2D94F"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10.0</w:t>
            </w:r>
          </w:p>
        </w:tc>
        <w:tc>
          <w:tcPr>
            <w:tcW w:w="0" w:type="auto"/>
            <w:tcBorders>
              <w:top w:val="nil"/>
              <w:left w:val="nil"/>
              <w:bottom w:val="nil"/>
              <w:right w:val="nil"/>
            </w:tcBorders>
            <w:shd w:val="clear" w:color="auto" w:fill="auto"/>
            <w:noWrap/>
            <w:vAlign w:val="center"/>
            <w:hideMark/>
          </w:tcPr>
          <w:p w14:paraId="27177894" w14:textId="77777777" w:rsidR="00091DF8" w:rsidRPr="001E7FEC" w:rsidRDefault="00091DF8" w:rsidP="00E24FD5">
            <w:pPr>
              <w:jc w:val="center"/>
              <w:rPr>
                <w:rFonts w:ascii="Arial" w:hAnsi="Arial" w:cs="Arial"/>
                <w:sz w:val="16"/>
                <w:szCs w:val="16"/>
              </w:rPr>
            </w:pPr>
            <w:r w:rsidRPr="001E7FEC">
              <w:rPr>
                <w:rFonts w:ascii="Arial" w:hAnsi="Arial" w:cs="Arial"/>
                <w:sz w:val="16"/>
                <w:szCs w:val="16"/>
              </w:rPr>
              <w:t>5.2</w:t>
            </w:r>
          </w:p>
        </w:tc>
      </w:tr>
    </w:tbl>
    <w:p w14:paraId="3343B924" w14:textId="77777777" w:rsidR="00091DF8" w:rsidRDefault="00091DF8" w:rsidP="00091DF8"/>
    <w:p w14:paraId="48227437" w14:textId="77777777" w:rsidR="00091DF8" w:rsidRDefault="00091DF8" w:rsidP="00091DF8">
      <w:pPr>
        <w:sectPr w:rsidR="00091DF8" w:rsidSect="00091DF8">
          <w:type w:val="continuous"/>
          <w:pgSz w:w="16840" w:h="11900" w:orient="landscape"/>
          <w:pgMar w:top="1797" w:right="1440" w:bottom="1797" w:left="1440" w:header="720" w:footer="720" w:gutter="0"/>
          <w:lnNumType w:countBy="1" w:restart="continuous"/>
          <w:pgNumType w:start="1"/>
          <w:cols w:space="720"/>
          <w:docGrid w:linePitch="326"/>
        </w:sectPr>
      </w:pPr>
    </w:p>
    <w:p w14:paraId="34E4B6F3" w14:textId="7604FF8B" w:rsidR="00091DF8" w:rsidRPr="00CF5E54" w:rsidRDefault="00091DF8" w:rsidP="00CF5E54">
      <w:pPr>
        <w:spacing w:before="480" w:line="360" w:lineRule="auto"/>
        <w:rPr>
          <w:rFonts w:asciiTheme="minorHAnsi" w:hAnsiTheme="minorHAnsi"/>
        </w:rPr>
      </w:pPr>
      <w:r w:rsidRPr="001E7FEC">
        <w:rPr>
          <w:rFonts w:asciiTheme="minorHAnsi" w:hAnsiTheme="minorHAnsi"/>
          <w:b/>
          <w:sz w:val="32"/>
          <w:szCs w:val="32"/>
        </w:rPr>
        <w:lastRenderedPageBreak/>
        <w:t>Figure captions</w:t>
      </w:r>
    </w:p>
    <w:p w14:paraId="454B5813" w14:textId="77777777" w:rsidR="00091DF8" w:rsidRDefault="00091DF8" w:rsidP="00CF5E54">
      <w:pPr>
        <w:pStyle w:val="NoSpacing"/>
        <w:spacing w:line="360" w:lineRule="auto"/>
      </w:pPr>
      <w:r>
        <w:t xml:space="preserve">Fig. 1. Study area. (A) General location of the Whittard Canyon system (contours illustrated: 200, 1000, 2000, 3000, 4000 m, adapted from the General Bathymetric Chart of the Oceans; PAP, Porcupine Abyssal Plain; PSB, Porcupine Seabight; UK, United Kingdom). (B) Detailed bathymetry of, and location of sampling sites within, the canyon system (SL, Slope; WE, Western; CE, Central; EA, Eastern; contours illustrated are 200-4500 m in 100 m intervals). Both maps are presented in the projected coordinate system: </w:t>
      </w:r>
      <w:r w:rsidRPr="00897628">
        <w:t>WGS1984</w:t>
      </w:r>
      <w:r>
        <w:t xml:space="preserve"> </w:t>
      </w:r>
      <w:r w:rsidRPr="00897628">
        <w:t>UTM</w:t>
      </w:r>
      <w:r>
        <w:t xml:space="preserve"> z</w:t>
      </w:r>
      <w:r w:rsidRPr="00897628">
        <w:t>one</w:t>
      </w:r>
      <w:r>
        <w:t xml:space="preserve"> </w:t>
      </w:r>
      <w:r w:rsidRPr="00897628">
        <w:t>29N</w:t>
      </w:r>
      <w:r>
        <w:t>.</w:t>
      </w:r>
    </w:p>
    <w:p w14:paraId="767EBBE6" w14:textId="77777777" w:rsidR="00091DF8" w:rsidRDefault="00091DF8" w:rsidP="00CF5E54">
      <w:pPr>
        <w:pStyle w:val="NoSpacing"/>
        <w:spacing w:line="360" w:lineRule="auto"/>
      </w:pPr>
    </w:p>
    <w:p w14:paraId="76FB4F14" w14:textId="77777777" w:rsidR="00091DF8" w:rsidRDefault="00091DF8" w:rsidP="00CF5E54">
      <w:pPr>
        <w:pStyle w:val="NoSpacing"/>
        <w:spacing w:line="360" w:lineRule="auto"/>
      </w:pPr>
      <w:r>
        <w:t>Fig 2. Macrofaunal nematode standing stocks at Slope (SL), Western (WE), Central (CE), and Eastern (EA) study sites. (A) Density (geometric mean and 95% confidence interval) and life stage proportions (juve., juvenile; indet., indeterminate). (B) Corresponding estimates of biomass (see text for detail; wwt, wet weight).</w:t>
      </w:r>
    </w:p>
    <w:p w14:paraId="22159B18" w14:textId="77777777" w:rsidR="00091DF8" w:rsidRDefault="00091DF8" w:rsidP="00CF5E54">
      <w:pPr>
        <w:spacing w:line="360" w:lineRule="auto"/>
      </w:pPr>
    </w:p>
    <w:p w14:paraId="31EB9FB1" w14:textId="77777777" w:rsidR="00091DF8" w:rsidRDefault="00091DF8" w:rsidP="00CF5E54">
      <w:pPr>
        <w:pStyle w:val="NoSpacing"/>
        <w:spacing w:line="360" w:lineRule="auto"/>
      </w:pPr>
      <w:r>
        <w:t>Fig. 3. Non-metric multidimensional scaling ordinations of macrofaunal assemblage variation: (A) common (present in ≥5 samples) nematodes and polychaetes, (B) all nematodes and polychaetes, (C) all polychaetes, and (D) all nematodes. In all cases based on √x-transformation of faunal density and Bray-Curtis dissimilarity. (SL, Slope; WE, Western; CE, Central; EA, Eastern).</w:t>
      </w:r>
    </w:p>
    <w:p w14:paraId="375A1714" w14:textId="77777777" w:rsidR="00091DF8" w:rsidRDefault="00091DF8" w:rsidP="00CF5E54">
      <w:pPr>
        <w:spacing w:line="360" w:lineRule="auto"/>
      </w:pPr>
    </w:p>
    <w:p w14:paraId="16342293" w14:textId="19E3BC2B" w:rsidR="00091DF8" w:rsidRDefault="00091DF8" w:rsidP="00CF5E54">
      <w:pPr>
        <w:pStyle w:val="NoSpacing"/>
        <w:spacing w:line="360" w:lineRule="auto"/>
      </w:pPr>
      <w:r>
        <w:t>Fig. 4. Macrofaunal functional group composition. (A) Nematode feeding groups (SD, selective deposit; ND, non-selective deposit; EP, epi</w:t>
      </w:r>
      <w:r w:rsidR="00C6263A">
        <w:t>growth</w:t>
      </w:r>
      <w:r>
        <w:t xml:space="preserve">; OP, omnivore / predator). (B) Polychaete feeding groups (MI, microphage; MA, macrophage; OM, omnivore). (C) Nematode tail shape (RO, rounded; CO, conical; CC, </w:t>
      </w:r>
      <w:r w:rsidRPr="009F6D72">
        <w:t>clavate-conicocylindrical</w:t>
      </w:r>
      <w:r>
        <w:t>; LO, long). (D) Polychaete motility (MO, motile; DM, discretely motile; SE, sessile). (SL, Slope; WE, Western; CE, Central; EA, Eastern).</w:t>
      </w:r>
    </w:p>
    <w:p w14:paraId="691F1FBE" w14:textId="77777777" w:rsidR="00091DF8" w:rsidRDefault="00091DF8" w:rsidP="00CF5E54">
      <w:pPr>
        <w:spacing w:line="360" w:lineRule="auto"/>
      </w:pPr>
    </w:p>
    <w:p w14:paraId="6A119AA8" w14:textId="77777777" w:rsidR="00091DF8" w:rsidRDefault="00091DF8" w:rsidP="00CF5E54">
      <w:pPr>
        <w:pStyle w:val="NoSpacing"/>
        <w:spacing w:line="360" w:lineRule="auto"/>
      </w:pPr>
      <w:r>
        <w:t>Fig. 5. Genus rank abundance distributions of macrofaunal (A) nematodes and (B) polychaetes (selected key taxa are indicated by letter coding). (SL, Slope; WE, Western; CE, Central; EA, Eastern).</w:t>
      </w:r>
    </w:p>
    <w:p w14:paraId="406708AE" w14:textId="77777777" w:rsidR="00091DF8" w:rsidRDefault="00091DF8" w:rsidP="00CF5E54">
      <w:pPr>
        <w:pStyle w:val="NoSpacing"/>
        <w:spacing w:line="360" w:lineRule="auto"/>
        <w:ind w:firstLine="0"/>
      </w:pPr>
    </w:p>
    <w:p w14:paraId="4BC4D965" w14:textId="10DABCE4" w:rsidR="00E97A8D" w:rsidRDefault="00091DF8">
      <w:pPr>
        <w:pStyle w:val="NoSpacing"/>
        <w:spacing w:line="360" w:lineRule="auto"/>
      </w:pPr>
      <w:r>
        <w:lastRenderedPageBreak/>
        <w:t>Fig. 6. Ecological summary interpretation of macrofaunal nematode and polychaete data from the Whittard Canyon system study area (SL, Slope; WE, Western; CE, Central; EA, Eastern).</w:t>
      </w:r>
    </w:p>
    <w:p w14:paraId="328D2F1A" w14:textId="77777777" w:rsidR="00E97A8D" w:rsidRDefault="00E97A8D">
      <w:r>
        <w:br w:type="page"/>
      </w:r>
    </w:p>
    <w:p w14:paraId="6698FF46" w14:textId="77777777" w:rsidR="00E97A8D" w:rsidRDefault="00E97A8D" w:rsidP="00E97A8D"/>
    <w:p w14:paraId="1685FC4B" w14:textId="77777777" w:rsidR="00E97A8D" w:rsidRDefault="00E97A8D" w:rsidP="00E97A8D">
      <w:pPr>
        <w:pStyle w:val="NoSpacing"/>
        <w:jc w:val="center"/>
      </w:pPr>
      <w:r>
        <w:rPr>
          <w:noProof/>
          <w:lang w:val="en-US" w:eastAsia="en-US"/>
        </w:rPr>
        <w:drawing>
          <wp:inline distT="0" distB="0" distL="0" distR="0" wp14:anchorId="3E66A85D" wp14:editId="0355D453">
            <wp:extent cx="3236400" cy="64800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tif"/>
                    <pic:cNvPicPr/>
                  </pic:nvPicPr>
                  <pic:blipFill>
                    <a:blip r:embed="rId10">
                      <a:extLst>
                        <a:ext uri="{28A0092B-C50C-407E-A947-70E740481C1C}">
                          <a14:useLocalDpi xmlns:a14="http://schemas.microsoft.com/office/drawing/2010/main" val="0"/>
                        </a:ext>
                      </a:extLst>
                    </a:blip>
                    <a:stretch>
                      <a:fillRect/>
                    </a:stretch>
                  </pic:blipFill>
                  <pic:spPr>
                    <a:xfrm>
                      <a:off x="0" y="0"/>
                      <a:ext cx="3236400" cy="6480000"/>
                    </a:xfrm>
                    <a:prstGeom prst="rect">
                      <a:avLst/>
                    </a:prstGeom>
                  </pic:spPr>
                </pic:pic>
              </a:graphicData>
            </a:graphic>
          </wp:inline>
        </w:drawing>
      </w:r>
    </w:p>
    <w:p w14:paraId="2D2C973F" w14:textId="77777777" w:rsidR="00E97A8D" w:rsidRDefault="00E97A8D" w:rsidP="00E97A8D">
      <w:pPr>
        <w:pStyle w:val="NoSpacing"/>
      </w:pPr>
    </w:p>
    <w:p w14:paraId="22B3291A" w14:textId="77777777" w:rsidR="00E97A8D" w:rsidRDefault="00E97A8D" w:rsidP="00E97A8D">
      <w:pPr>
        <w:pStyle w:val="NoSpacing"/>
      </w:pPr>
      <w:r>
        <w:t xml:space="preserve">Fig. 1. Study area. (A) General location of the Whittard Canyon system (contours illustrated: 200, 1000, 2000, 3000, 4000 m, adapted from the General Bathymetric Chart of the Oceans; PAP, Porcupine Abyssal Plain; PSB, Porcupine Seabight; UK, United Kingdom). (B) Detailed bathymetry of, and location of sampling sites within, the canyon system (SL, Slope; WE, Western; CE, Central; EA, </w:t>
      </w:r>
      <w:r>
        <w:lastRenderedPageBreak/>
        <w:t xml:space="preserve">Eastern; contours illustrated are 200-4500 m in 100 m intervals). Both maps are presented in the projected coordinate system: </w:t>
      </w:r>
      <w:r w:rsidRPr="00897628">
        <w:t>WGS1984</w:t>
      </w:r>
      <w:r>
        <w:t xml:space="preserve"> </w:t>
      </w:r>
      <w:r w:rsidRPr="00897628">
        <w:t>UTM</w:t>
      </w:r>
      <w:r>
        <w:t xml:space="preserve"> z</w:t>
      </w:r>
      <w:r w:rsidRPr="00897628">
        <w:t>one</w:t>
      </w:r>
      <w:r>
        <w:t xml:space="preserve"> </w:t>
      </w:r>
      <w:r w:rsidRPr="00897628">
        <w:t>29N</w:t>
      </w:r>
      <w:r>
        <w:t>.</w:t>
      </w:r>
    </w:p>
    <w:p w14:paraId="4E3C7C6C" w14:textId="77777777" w:rsidR="00E97A8D" w:rsidRDefault="00E97A8D" w:rsidP="00E97A8D">
      <w:pPr>
        <w:pStyle w:val="NoSpacing"/>
      </w:pPr>
      <w:r>
        <w:br w:type="page"/>
      </w:r>
    </w:p>
    <w:p w14:paraId="017E1AFF" w14:textId="77777777" w:rsidR="00E97A8D" w:rsidRDefault="00E97A8D" w:rsidP="00E97A8D">
      <w:pPr>
        <w:pStyle w:val="NoSpacing"/>
        <w:jc w:val="center"/>
      </w:pPr>
      <w:r>
        <w:rPr>
          <w:noProof/>
          <w:lang w:val="en-US" w:eastAsia="en-US"/>
        </w:rPr>
        <w:lastRenderedPageBreak/>
        <w:drawing>
          <wp:inline distT="0" distB="0" distL="0" distR="0" wp14:anchorId="0EBF3425" wp14:editId="58402790">
            <wp:extent cx="2858643" cy="506691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_fig_2.tif"/>
                    <pic:cNvPicPr/>
                  </pic:nvPicPr>
                  <pic:blipFill>
                    <a:blip r:embed="rId11">
                      <a:extLst>
                        <a:ext uri="{28A0092B-C50C-407E-A947-70E740481C1C}">
                          <a14:useLocalDpi xmlns:a14="http://schemas.microsoft.com/office/drawing/2010/main" val="0"/>
                        </a:ext>
                      </a:extLst>
                    </a:blip>
                    <a:stretch>
                      <a:fillRect/>
                    </a:stretch>
                  </pic:blipFill>
                  <pic:spPr>
                    <a:xfrm>
                      <a:off x="0" y="0"/>
                      <a:ext cx="2858643" cy="5066919"/>
                    </a:xfrm>
                    <a:prstGeom prst="rect">
                      <a:avLst/>
                    </a:prstGeom>
                  </pic:spPr>
                </pic:pic>
              </a:graphicData>
            </a:graphic>
          </wp:inline>
        </w:drawing>
      </w:r>
    </w:p>
    <w:p w14:paraId="5DDE615B" w14:textId="77777777" w:rsidR="00E97A8D" w:rsidRDefault="00E97A8D" w:rsidP="00E97A8D">
      <w:pPr>
        <w:pStyle w:val="NoSpacing"/>
      </w:pPr>
    </w:p>
    <w:p w14:paraId="3749CD28" w14:textId="77777777" w:rsidR="00E97A8D" w:rsidRDefault="00E97A8D" w:rsidP="00E97A8D">
      <w:pPr>
        <w:pStyle w:val="NoSpacing"/>
      </w:pPr>
      <w:r>
        <w:t>Fig 2. Macrofaunal nematode standing stocks at Slope (SL), Western (WE), Central (CE), and Eastern (EA) study sites. (A) Density (geometric mean and 95% confidence interval) and life stage proportions (juve., juvenile; indet., indeterminate). (B) Corresponding estimates of biomass (see text for detail; wwt, wet weight).</w:t>
      </w:r>
    </w:p>
    <w:p w14:paraId="25504875" w14:textId="77777777" w:rsidR="00E97A8D" w:rsidRDefault="00E97A8D" w:rsidP="00E97A8D">
      <w:pPr>
        <w:pStyle w:val="NoSpacing"/>
      </w:pPr>
      <w:r>
        <w:br w:type="page"/>
      </w:r>
    </w:p>
    <w:p w14:paraId="13F86A94" w14:textId="77777777" w:rsidR="00E97A8D" w:rsidRDefault="00E97A8D" w:rsidP="00E97A8D">
      <w:pPr>
        <w:pStyle w:val="NoSpacing"/>
        <w:jc w:val="center"/>
      </w:pPr>
      <w:r>
        <w:rPr>
          <w:noProof/>
          <w:lang w:val="en-US" w:eastAsia="en-US"/>
        </w:rPr>
        <w:lastRenderedPageBreak/>
        <w:drawing>
          <wp:inline distT="0" distB="0" distL="0" distR="0" wp14:anchorId="303A9B07" wp14:editId="535A1B9B">
            <wp:extent cx="4121658" cy="38484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graphic_v2.tif"/>
                    <pic:cNvPicPr/>
                  </pic:nvPicPr>
                  <pic:blipFill>
                    <a:blip r:embed="rId12">
                      <a:extLst>
                        <a:ext uri="{28A0092B-C50C-407E-A947-70E740481C1C}">
                          <a14:useLocalDpi xmlns:a14="http://schemas.microsoft.com/office/drawing/2010/main" val="0"/>
                        </a:ext>
                      </a:extLst>
                    </a:blip>
                    <a:stretch>
                      <a:fillRect/>
                    </a:stretch>
                  </pic:blipFill>
                  <pic:spPr>
                    <a:xfrm>
                      <a:off x="0" y="0"/>
                      <a:ext cx="4121658" cy="3848481"/>
                    </a:xfrm>
                    <a:prstGeom prst="rect">
                      <a:avLst/>
                    </a:prstGeom>
                  </pic:spPr>
                </pic:pic>
              </a:graphicData>
            </a:graphic>
          </wp:inline>
        </w:drawing>
      </w:r>
    </w:p>
    <w:p w14:paraId="3C1D5A7A" w14:textId="77777777" w:rsidR="00E97A8D" w:rsidRDefault="00E97A8D" w:rsidP="00E97A8D">
      <w:pPr>
        <w:pStyle w:val="NoSpacing"/>
      </w:pPr>
    </w:p>
    <w:p w14:paraId="4D24C253" w14:textId="77777777" w:rsidR="00E97A8D" w:rsidRDefault="00E97A8D" w:rsidP="00E97A8D">
      <w:pPr>
        <w:pStyle w:val="NoSpacing"/>
      </w:pPr>
      <w:r>
        <w:t>Fig. 3. Non-metric multidimensional scaling ordinations of macrofaunal assemblage variation: (A) common (present in ≥5 samples) nematodes and polychaetes, (B) all nematodes and polychaetes, (C) all polychaetes, and (D) all nematodes. In all cases based on √x-transformation of faunal density and Bray-Curtis dissimilarity. (SL, Slope; WE, Western; CE, Central; EA, Eastern).</w:t>
      </w:r>
    </w:p>
    <w:p w14:paraId="163FD959" w14:textId="77777777" w:rsidR="00E97A8D" w:rsidRDefault="00E97A8D" w:rsidP="00E97A8D">
      <w:pPr>
        <w:pStyle w:val="NoSpacing"/>
      </w:pPr>
      <w:r>
        <w:br w:type="page"/>
      </w:r>
    </w:p>
    <w:p w14:paraId="2A81F417" w14:textId="77777777" w:rsidR="00E97A8D" w:rsidRDefault="00E97A8D" w:rsidP="00E97A8D">
      <w:pPr>
        <w:pStyle w:val="NoSpacing"/>
        <w:jc w:val="center"/>
      </w:pPr>
      <w:r>
        <w:rPr>
          <w:noProof/>
          <w:lang w:val="en-US" w:eastAsia="en-US"/>
        </w:rPr>
        <w:lastRenderedPageBreak/>
        <w:drawing>
          <wp:inline distT="0" distB="0" distL="0" distR="0" wp14:anchorId="42E1EEC3" wp14:editId="7091866E">
            <wp:extent cx="3893058" cy="33889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s_plots.tif"/>
                    <pic:cNvPicPr/>
                  </pic:nvPicPr>
                  <pic:blipFill>
                    <a:blip r:embed="rId13">
                      <a:extLst>
                        <a:ext uri="{28A0092B-C50C-407E-A947-70E740481C1C}">
                          <a14:useLocalDpi xmlns:a14="http://schemas.microsoft.com/office/drawing/2010/main" val="0"/>
                        </a:ext>
                      </a:extLst>
                    </a:blip>
                    <a:stretch>
                      <a:fillRect/>
                    </a:stretch>
                  </pic:blipFill>
                  <pic:spPr>
                    <a:xfrm>
                      <a:off x="0" y="0"/>
                      <a:ext cx="3893058" cy="3388995"/>
                    </a:xfrm>
                    <a:prstGeom prst="rect">
                      <a:avLst/>
                    </a:prstGeom>
                  </pic:spPr>
                </pic:pic>
              </a:graphicData>
            </a:graphic>
          </wp:inline>
        </w:drawing>
      </w:r>
    </w:p>
    <w:p w14:paraId="567DD824" w14:textId="77777777" w:rsidR="00E97A8D" w:rsidRDefault="00E97A8D" w:rsidP="00E97A8D">
      <w:pPr>
        <w:pStyle w:val="NoSpacing"/>
      </w:pPr>
    </w:p>
    <w:p w14:paraId="34D9C95A" w14:textId="6ACB37D8" w:rsidR="00E97A8D" w:rsidRDefault="00E97A8D" w:rsidP="00E97A8D">
      <w:pPr>
        <w:pStyle w:val="NoSpacing"/>
      </w:pPr>
      <w:r>
        <w:t>Fig. 4. Macrofaunal functional group composition. (A) Nematode feeding groups (SD, selective deposit; ND, non-</w:t>
      </w:r>
      <w:r w:rsidR="00C6263A">
        <w:t>selective deposit; EP, epigrowth</w:t>
      </w:r>
      <w:r>
        <w:t xml:space="preserve">; OP, omnivore / predator). (B) Polychaete feeding groups (MI, microphage; MA, macrophage; OM, omnivore). (C) Nematode tail shape (RO, rounded; CO, conical; CC, </w:t>
      </w:r>
      <w:r w:rsidRPr="009F6D72">
        <w:t>clavate-conicocylindrical</w:t>
      </w:r>
      <w:r>
        <w:t>; LO, long). (D) Polychaete motility (MO, motile; DM, discretely motile; SE, sessile). (SL, Slope; WE, Western; CE, Central; EA, Eastern).</w:t>
      </w:r>
    </w:p>
    <w:p w14:paraId="220E473B" w14:textId="77777777" w:rsidR="00E97A8D" w:rsidRDefault="00E97A8D" w:rsidP="00E97A8D">
      <w:pPr>
        <w:pStyle w:val="NoSpacing"/>
      </w:pPr>
      <w:r>
        <w:br w:type="page"/>
      </w:r>
    </w:p>
    <w:p w14:paraId="18CF6B7E" w14:textId="77777777" w:rsidR="00E97A8D" w:rsidRDefault="00E97A8D" w:rsidP="00E97A8D">
      <w:pPr>
        <w:pStyle w:val="NoSpacing"/>
        <w:jc w:val="center"/>
      </w:pPr>
      <w:r>
        <w:rPr>
          <w:noProof/>
          <w:lang w:val="en-US" w:eastAsia="en-US"/>
        </w:rPr>
        <w:lastRenderedPageBreak/>
        <w:drawing>
          <wp:inline distT="0" distB="0" distL="0" distR="0" wp14:anchorId="19DF10C4" wp14:editId="1D92EAC6">
            <wp:extent cx="2636901" cy="491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a_plots_v16.tif"/>
                    <pic:cNvPicPr/>
                  </pic:nvPicPr>
                  <pic:blipFill>
                    <a:blip r:embed="rId14">
                      <a:extLst>
                        <a:ext uri="{28A0092B-C50C-407E-A947-70E740481C1C}">
                          <a14:useLocalDpi xmlns:a14="http://schemas.microsoft.com/office/drawing/2010/main" val="0"/>
                        </a:ext>
                      </a:extLst>
                    </a:blip>
                    <a:stretch>
                      <a:fillRect/>
                    </a:stretch>
                  </pic:blipFill>
                  <pic:spPr>
                    <a:xfrm>
                      <a:off x="0" y="0"/>
                      <a:ext cx="2636901" cy="4914900"/>
                    </a:xfrm>
                    <a:prstGeom prst="rect">
                      <a:avLst/>
                    </a:prstGeom>
                  </pic:spPr>
                </pic:pic>
              </a:graphicData>
            </a:graphic>
          </wp:inline>
        </w:drawing>
      </w:r>
    </w:p>
    <w:p w14:paraId="685B7812" w14:textId="77777777" w:rsidR="00E97A8D" w:rsidRDefault="00E97A8D" w:rsidP="00E97A8D">
      <w:pPr>
        <w:pStyle w:val="NoSpacing"/>
      </w:pPr>
    </w:p>
    <w:p w14:paraId="181A2654" w14:textId="77777777" w:rsidR="00E97A8D" w:rsidRDefault="00E97A8D" w:rsidP="00E97A8D">
      <w:pPr>
        <w:pStyle w:val="NoSpacing"/>
      </w:pPr>
      <w:r>
        <w:t>Fig. 5. Genus rank abundance distributions of macrofaunal (A) nematodes and (B) polychaetes (selected key taxa are indicated by letter coding). (SL, Slope; WE, Western; CE, Central; EA, Eastern).</w:t>
      </w:r>
    </w:p>
    <w:p w14:paraId="3E3D2B8C" w14:textId="77777777" w:rsidR="00E97A8D" w:rsidRDefault="00E97A8D" w:rsidP="00E97A8D">
      <w:pPr>
        <w:pStyle w:val="NoSpacing"/>
      </w:pPr>
    </w:p>
    <w:p w14:paraId="4BBC7B31" w14:textId="77777777" w:rsidR="00E97A8D" w:rsidRDefault="00E97A8D" w:rsidP="00E97A8D">
      <w:pPr>
        <w:pStyle w:val="NoSpacing"/>
        <w:spacing w:line="240" w:lineRule="auto"/>
        <w:ind w:firstLine="0"/>
      </w:pPr>
      <w:r>
        <w:br w:type="page"/>
      </w:r>
    </w:p>
    <w:p w14:paraId="18CEDEC5" w14:textId="77777777" w:rsidR="00E97A8D" w:rsidRDefault="00E97A8D" w:rsidP="00E97A8D">
      <w:pPr>
        <w:pStyle w:val="NoSpacing"/>
        <w:jc w:val="center"/>
      </w:pPr>
      <w:r>
        <w:rPr>
          <w:noProof/>
          <w:lang w:val="en-US" w:eastAsia="en-US"/>
        </w:rPr>
        <w:lastRenderedPageBreak/>
        <w:drawing>
          <wp:inline distT="0" distB="0" distL="0" distR="0" wp14:anchorId="284570EB" wp14:editId="0B09A9B0">
            <wp:extent cx="2923794" cy="33947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mmary_fig.tif"/>
                    <pic:cNvPicPr/>
                  </pic:nvPicPr>
                  <pic:blipFill>
                    <a:blip r:embed="rId15"/>
                    <a:stretch>
                      <a:fillRect/>
                    </a:stretch>
                  </pic:blipFill>
                  <pic:spPr>
                    <a:xfrm>
                      <a:off x="0" y="0"/>
                      <a:ext cx="2923794" cy="3394710"/>
                    </a:xfrm>
                    <a:prstGeom prst="rect">
                      <a:avLst/>
                    </a:prstGeom>
                  </pic:spPr>
                </pic:pic>
              </a:graphicData>
            </a:graphic>
          </wp:inline>
        </w:drawing>
      </w:r>
    </w:p>
    <w:p w14:paraId="5344E87B" w14:textId="77777777" w:rsidR="00E97A8D" w:rsidRDefault="00E97A8D" w:rsidP="00E97A8D">
      <w:pPr>
        <w:pStyle w:val="NoSpacing"/>
      </w:pPr>
    </w:p>
    <w:p w14:paraId="1597AA60" w14:textId="77777777" w:rsidR="00E97A8D" w:rsidRDefault="00E97A8D" w:rsidP="00E97A8D">
      <w:pPr>
        <w:pStyle w:val="NoSpacing"/>
      </w:pPr>
      <w:r>
        <w:t>Fig. 6. Ecological summary interpretation of macrofaunal nematode and polychaete data from the Whittard Canyon system study area (SL, Slope; WE, Western; CE, Central; EA, Eastern).</w:t>
      </w:r>
    </w:p>
    <w:p w14:paraId="766FE9BB" w14:textId="77777777" w:rsidR="00E97A8D" w:rsidRDefault="00E97A8D" w:rsidP="00E97A8D">
      <w:pPr>
        <w:pStyle w:val="NoSpacing"/>
      </w:pPr>
    </w:p>
    <w:p w14:paraId="2FEF77FC" w14:textId="77777777" w:rsidR="00091DF8" w:rsidRDefault="00091DF8" w:rsidP="00CF5E54">
      <w:pPr>
        <w:pStyle w:val="NoSpacing"/>
        <w:spacing w:line="360" w:lineRule="auto"/>
      </w:pPr>
    </w:p>
    <w:p w14:paraId="532D713C" w14:textId="77777777" w:rsidR="00F71C3E" w:rsidRDefault="00F71C3E" w:rsidP="00091DF8"/>
    <w:sectPr w:rsidR="00F71C3E" w:rsidSect="00C2585C">
      <w:type w:val="continuous"/>
      <w:pgSz w:w="11900" w:h="16840"/>
      <w:pgMar w:top="1440" w:right="1797" w:bottom="1440" w:left="1797" w:header="720" w:footer="720" w:gutter="0"/>
      <w:lnNumType w:countBy="1" w:restart="continuous"/>
      <w:pgNumType w:start="1"/>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910B50" w15:done="0"/>
  <w15:commentEx w15:paraId="6C6BC2B8" w15:done="0"/>
  <w15:commentEx w15:paraId="7D19F1B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28888A" w14:textId="77777777" w:rsidR="00176C3F" w:rsidRDefault="00176C3F">
      <w:r>
        <w:separator/>
      </w:r>
    </w:p>
  </w:endnote>
  <w:endnote w:type="continuationSeparator" w:id="0">
    <w:p w14:paraId="45267AD2" w14:textId="77777777" w:rsidR="00176C3F" w:rsidRDefault="00176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E3683" w14:textId="77777777" w:rsidR="00176C3F" w:rsidRDefault="00176C3F" w:rsidP="00176C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8064F7" w14:textId="77777777" w:rsidR="00176C3F" w:rsidRDefault="00176C3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0F0D5" w14:textId="77777777" w:rsidR="00176C3F" w:rsidRDefault="00176C3F" w:rsidP="00176C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64DD8">
      <w:rPr>
        <w:rStyle w:val="PageNumber"/>
        <w:noProof/>
      </w:rPr>
      <w:t>9</w:t>
    </w:r>
    <w:r>
      <w:rPr>
        <w:rStyle w:val="PageNumber"/>
      </w:rPr>
      <w:fldChar w:fldCharType="end"/>
    </w:r>
  </w:p>
  <w:p w14:paraId="62478F4A" w14:textId="77777777" w:rsidR="00176C3F" w:rsidRDefault="00176C3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4F58D" w14:textId="77777777" w:rsidR="00176C3F" w:rsidRDefault="00176C3F">
      <w:r>
        <w:separator/>
      </w:r>
    </w:p>
  </w:footnote>
  <w:footnote w:type="continuationSeparator" w:id="0">
    <w:p w14:paraId="3721019E" w14:textId="77777777" w:rsidR="00176C3F" w:rsidRDefault="00176C3F">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 Vanreusel">
    <w15:presenceInfo w15:providerId="AD" w15:userId="S-1-5-21-4030456262-320625612-449655040-273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doNotTrackMove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C3E"/>
    <w:rsid w:val="000026CA"/>
    <w:rsid w:val="00002BCA"/>
    <w:rsid w:val="00006482"/>
    <w:rsid w:val="00031015"/>
    <w:rsid w:val="00034CAB"/>
    <w:rsid w:val="00043AB1"/>
    <w:rsid w:val="00045BDD"/>
    <w:rsid w:val="000628A4"/>
    <w:rsid w:val="00081E17"/>
    <w:rsid w:val="00091DF8"/>
    <w:rsid w:val="000A0C32"/>
    <w:rsid w:val="000D31E9"/>
    <w:rsid w:val="000E46F6"/>
    <w:rsid w:val="000F551F"/>
    <w:rsid w:val="00100BAE"/>
    <w:rsid w:val="0010204A"/>
    <w:rsid w:val="001111F7"/>
    <w:rsid w:val="00112648"/>
    <w:rsid w:val="00117542"/>
    <w:rsid w:val="00130E59"/>
    <w:rsid w:val="00146042"/>
    <w:rsid w:val="0015370D"/>
    <w:rsid w:val="00176C3F"/>
    <w:rsid w:val="00184468"/>
    <w:rsid w:val="0019586D"/>
    <w:rsid w:val="001B34F5"/>
    <w:rsid w:val="001C0F74"/>
    <w:rsid w:val="001C3BFE"/>
    <w:rsid w:val="001D64D9"/>
    <w:rsid w:val="001E4EA9"/>
    <w:rsid w:val="001F051C"/>
    <w:rsid w:val="001F15F7"/>
    <w:rsid w:val="001F592D"/>
    <w:rsid w:val="001F5F11"/>
    <w:rsid w:val="002178F2"/>
    <w:rsid w:val="00221EF2"/>
    <w:rsid w:val="00236C04"/>
    <w:rsid w:val="00252CEA"/>
    <w:rsid w:val="00285488"/>
    <w:rsid w:val="0028601A"/>
    <w:rsid w:val="00286900"/>
    <w:rsid w:val="002A0D4B"/>
    <w:rsid w:val="002A122D"/>
    <w:rsid w:val="002A4151"/>
    <w:rsid w:val="002B0DF3"/>
    <w:rsid w:val="002B0E49"/>
    <w:rsid w:val="002B0F64"/>
    <w:rsid w:val="002B2DD9"/>
    <w:rsid w:val="002B4E2B"/>
    <w:rsid w:val="002B5CA3"/>
    <w:rsid w:val="002D3905"/>
    <w:rsid w:val="002D70ED"/>
    <w:rsid w:val="002E66DF"/>
    <w:rsid w:val="002F2E5D"/>
    <w:rsid w:val="002F7836"/>
    <w:rsid w:val="00301F9B"/>
    <w:rsid w:val="00321DEB"/>
    <w:rsid w:val="00343C20"/>
    <w:rsid w:val="003502C6"/>
    <w:rsid w:val="00390D33"/>
    <w:rsid w:val="00393F97"/>
    <w:rsid w:val="003B354E"/>
    <w:rsid w:val="003B397D"/>
    <w:rsid w:val="003B4314"/>
    <w:rsid w:val="003B7C98"/>
    <w:rsid w:val="003C687D"/>
    <w:rsid w:val="003D22CE"/>
    <w:rsid w:val="003E1C24"/>
    <w:rsid w:val="003E37A6"/>
    <w:rsid w:val="003F1B5C"/>
    <w:rsid w:val="003F7456"/>
    <w:rsid w:val="00401EBC"/>
    <w:rsid w:val="004029ED"/>
    <w:rsid w:val="0041675F"/>
    <w:rsid w:val="004175C1"/>
    <w:rsid w:val="00417DA2"/>
    <w:rsid w:val="004248F7"/>
    <w:rsid w:val="0042559A"/>
    <w:rsid w:val="004502C3"/>
    <w:rsid w:val="00461AAE"/>
    <w:rsid w:val="0047311E"/>
    <w:rsid w:val="004928B8"/>
    <w:rsid w:val="004971A8"/>
    <w:rsid w:val="004A0F37"/>
    <w:rsid w:val="004A1D29"/>
    <w:rsid w:val="004A1DED"/>
    <w:rsid w:val="004A3193"/>
    <w:rsid w:val="004A5769"/>
    <w:rsid w:val="004A6513"/>
    <w:rsid w:val="004B7D8F"/>
    <w:rsid w:val="004C3893"/>
    <w:rsid w:val="004E105C"/>
    <w:rsid w:val="004F674B"/>
    <w:rsid w:val="005003E0"/>
    <w:rsid w:val="00502F0B"/>
    <w:rsid w:val="005033C0"/>
    <w:rsid w:val="00515A05"/>
    <w:rsid w:val="00515F04"/>
    <w:rsid w:val="00531257"/>
    <w:rsid w:val="00531A58"/>
    <w:rsid w:val="00544A90"/>
    <w:rsid w:val="0055232C"/>
    <w:rsid w:val="0056725A"/>
    <w:rsid w:val="0056742B"/>
    <w:rsid w:val="00595076"/>
    <w:rsid w:val="00597A74"/>
    <w:rsid w:val="005A4351"/>
    <w:rsid w:val="005A70DB"/>
    <w:rsid w:val="005B763F"/>
    <w:rsid w:val="005C599B"/>
    <w:rsid w:val="005F2105"/>
    <w:rsid w:val="00616968"/>
    <w:rsid w:val="00625351"/>
    <w:rsid w:val="006277FA"/>
    <w:rsid w:val="006365EF"/>
    <w:rsid w:val="00654C92"/>
    <w:rsid w:val="006667E6"/>
    <w:rsid w:val="006758FF"/>
    <w:rsid w:val="006836E1"/>
    <w:rsid w:val="00686B69"/>
    <w:rsid w:val="006A4049"/>
    <w:rsid w:val="006A6378"/>
    <w:rsid w:val="006A6432"/>
    <w:rsid w:val="006B3AB3"/>
    <w:rsid w:val="006B78DA"/>
    <w:rsid w:val="006D7BE9"/>
    <w:rsid w:val="006E4BA4"/>
    <w:rsid w:val="006F5195"/>
    <w:rsid w:val="006F7AA1"/>
    <w:rsid w:val="00702472"/>
    <w:rsid w:val="00704C17"/>
    <w:rsid w:val="00710C96"/>
    <w:rsid w:val="00711176"/>
    <w:rsid w:val="00715398"/>
    <w:rsid w:val="00722D3B"/>
    <w:rsid w:val="0072609C"/>
    <w:rsid w:val="00726C0F"/>
    <w:rsid w:val="00751718"/>
    <w:rsid w:val="007536BD"/>
    <w:rsid w:val="007659DB"/>
    <w:rsid w:val="00775CD2"/>
    <w:rsid w:val="007964CB"/>
    <w:rsid w:val="007A59E6"/>
    <w:rsid w:val="007B1B0C"/>
    <w:rsid w:val="007C0B8F"/>
    <w:rsid w:val="007C11A6"/>
    <w:rsid w:val="007C18FE"/>
    <w:rsid w:val="007E2F19"/>
    <w:rsid w:val="007E4CB3"/>
    <w:rsid w:val="0080142A"/>
    <w:rsid w:val="008021D5"/>
    <w:rsid w:val="008075E5"/>
    <w:rsid w:val="0082227F"/>
    <w:rsid w:val="0082572A"/>
    <w:rsid w:val="00832E0A"/>
    <w:rsid w:val="00842BC0"/>
    <w:rsid w:val="0085082C"/>
    <w:rsid w:val="00850FBD"/>
    <w:rsid w:val="00851CFD"/>
    <w:rsid w:val="0086448C"/>
    <w:rsid w:val="00874684"/>
    <w:rsid w:val="00874940"/>
    <w:rsid w:val="008A0318"/>
    <w:rsid w:val="008A2EFC"/>
    <w:rsid w:val="008A4FC0"/>
    <w:rsid w:val="008A6B4C"/>
    <w:rsid w:val="008D2B18"/>
    <w:rsid w:val="008E0B42"/>
    <w:rsid w:val="008E6164"/>
    <w:rsid w:val="00923575"/>
    <w:rsid w:val="009272B5"/>
    <w:rsid w:val="00934FE8"/>
    <w:rsid w:val="009376FC"/>
    <w:rsid w:val="009428F5"/>
    <w:rsid w:val="00957CAF"/>
    <w:rsid w:val="00963919"/>
    <w:rsid w:val="00963C28"/>
    <w:rsid w:val="0096618A"/>
    <w:rsid w:val="009738D1"/>
    <w:rsid w:val="00973E85"/>
    <w:rsid w:val="00975EAB"/>
    <w:rsid w:val="00976135"/>
    <w:rsid w:val="0098409B"/>
    <w:rsid w:val="00995E21"/>
    <w:rsid w:val="009B06BE"/>
    <w:rsid w:val="009B3C6F"/>
    <w:rsid w:val="009B55D3"/>
    <w:rsid w:val="009C16B7"/>
    <w:rsid w:val="009C3B7F"/>
    <w:rsid w:val="009C4A10"/>
    <w:rsid w:val="009D098D"/>
    <w:rsid w:val="009D1CDA"/>
    <w:rsid w:val="009D3CBA"/>
    <w:rsid w:val="009E4D17"/>
    <w:rsid w:val="009E7ED7"/>
    <w:rsid w:val="00A009D0"/>
    <w:rsid w:val="00A00C47"/>
    <w:rsid w:val="00A27B28"/>
    <w:rsid w:val="00A30A6F"/>
    <w:rsid w:val="00A37706"/>
    <w:rsid w:val="00A411BC"/>
    <w:rsid w:val="00A41FE8"/>
    <w:rsid w:val="00A459C1"/>
    <w:rsid w:val="00A54B8C"/>
    <w:rsid w:val="00A55F6B"/>
    <w:rsid w:val="00A8766E"/>
    <w:rsid w:val="00A92D2E"/>
    <w:rsid w:val="00A93A2D"/>
    <w:rsid w:val="00AE7A35"/>
    <w:rsid w:val="00B07C81"/>
    <w:rsid w:val="00B15159"/>
    <w:rsid w:val="00B17F7C"/>
    <w:rsid w:val="00B229E9"/>
    <w:rsid w:val="00B256B5"/>
    <w:rsid w:val="00B53E3C"/>
    <w:rsid w:val="00B61929"/>
    <w:rsid w:val="00B64FEE"/>
    <w:rsid w:val="00B6769B"/>
    <w:rsid w:val="00B71755"/>
    <w:rsid w:val="00B76919"/>
    <w:rsid w:val="00B84E4C"/>
    <w:rsid w:val="00B90320"/>
    <w:rsid w:val="00B92AF6"/>
    <w:rsid w:val="00B95578"/>
    <w:rsid w:val="00BB1DFB"/>
    <w:rsid w:val="00BC1F73"/>
    <w:rsid w:val="00BD126B"/>
    <w:rsid w:val="00BE7F16"/>
    <w:rsid w:val="00BF27AC"/>
    <w:rsid w:val="00BF4F8F"/>
    <w:rsid w:val="00C03494"/>
    <w:rsid w:val="00C050B6"/>
    <w:rsid w:val="00C12600"/>
    <w:rsid w:val="00C2060A"/>
    <w:rsid w:val="00C224CA"/>
    <w:rsid w:val="00C2585C"/>
    <w:rsid w:val="00C36610"/>
    <w:rsid w:val="00C4027B"/>
    <w:rsid w:val="00C52950"/>
    <w:rsid w:val="00C6263A"/>
    <w:rsid w:val="00C739B0"/>
    <w:rsid w:val="00C73A83"/>
    <w:rsid w:val="00C84379"/>
    <w:rsid w:val="00C87A00"/>
    <w:rsid w:val="00C93564"/>
    <w:rsid w:val="00C958F2"/>
    <w:rsid w:val="00CA01F0"/>
    <w:rsid w:val="00CA63C8"/>
    <w:rsid w:val="00CC06C6"/>
    <w:rsid w:val="00CC1210"/>
    <w:rsid w:val="00CC2DC8"/>
    <w:rsid w:val="00CE591F"/>
    <w:rsid w:val="00CE772F"/>
    <w:rsid w:val="00CF5E54"/>
    <w:rsid w:val="00CF607E"/>
    <w:rsid w:val="00CF7289"/>
    <w:rsid w:val="00D13055"/>
    <w:rsid w:val="00D21B69"/>
    <w:rsid w:val="00D52663"/>
    <w:rsid w:val="00D534C4"/>
    <w:rsid w:val="00D63DAB"/>
    <w:rsid w:val="00D64DD8"/>
    <w:rsid w:val="00D67444"/>
    <w:rsid w:val="00D7139F"/>
    <w:rsid w:val="00D76461"/>
    <w:rsid w:val="00D771E5"/>
    <w:rsid w:val="00D8554A"/>
    <w:rsid w:val="00D97A27"/>
    <w:rsid w:val="00DC1B9B"/>
    <w:rsid w:val="00DC6246"/>
    <w:rsid w:val="00DD2093"/>
    <w:rsid w:val="00DE4267"/>
    <w:rsid w:val="00DE49A7"/>
    <w:rsid w:val="00DF3F95"/>
    <w:rsid w:val="00DF55B4"/>
    <w:rsid w:val="00E00F68"/>
    <w:rsid w:val="00E01318"/>
    <w:rsid w:val="00E04787"/>
    <w:rsid w:val="00E22BD0"/>
    <w:rsid w:val="00E22DEF"/>
    <w:rsid w:val="00E24FD5"/>
    <w:rsid w:val="00E36411"/>
    <w:rsid w:val="00E447E5"/>
    <w:rsid w:val="00E558F3"/>
    <w:rsid w:val="00E57A41"/>
    <w:rsid w:val="00E668A6"/>
    <w:rsid w:val="00E705F9"/>
    <w:rsid w:val="00E91F48"/>
    <w:rsid w:val="00E940E8"/>
    <w:rsid w:val="00E97A8D"/>
    <w:rsid w:val="00EC5B0B"/>
    <w:rsid w:val="00ED6613"/>
    <w:rsid w:val="00EF166C"/>
    <w:rsid w:val="00EF4129"/>
    <w:rsid w:val="00EF4D6B"/>
    <w:rsid w:val="00F022AB"/>
    <w:rsid w:val="00F14C13"/>
    <w:rsid w:val="00F21B9D"/>
    <w:rsid w:val="00F31A14"/>
    <w:rsid w:val="00F3210A"/>
    <w:rsid w:val="00F32A31"/>
    <w:rsid w:val="00F43C84"/>
    <w:rsid w:val="00F454C0"/>
    <w:rsid w:val="00F50613"/>
    <w:rsid w:val="00F50619"/>
    <w:rsid w:val="00F71C3E"/>
    <w:rsid w:val="00F7774C"/>
    <w:rsid w:val="00F77E81"/>
    <w:rsid w:val="00F84F35"/>
    <w:rsid w:val="00FA146E"/>
    <w:rsid w:val="00FA5ED7"/>
    <w:rsid w:val="00FA720D"/>
    <w:rsid w:val="00FB4B9A"/>
    <w:rsid w:val="00FC21F3"/>
    <w:rsid w:val="00FC4F63"/>
    <w:rsid w:val="00FE52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075F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outlineLvl w:val="0"/>
    </w:pPr>
    <w:rPr>
      <w:rFonts w:ascii="Calibri" w:eastAsia="Calibri" w:hAnsi="Calibri" w:cs="Calibri"/>
      <w:b/>
      <w:sz w:val="32"/>
      <w:szCs w:val="32"/>
    </w:rPr>
  </w:style>
  <w:style w:type="paragraph" w:styleId="Heading2">
    <w:name w:val="heading 2"/>
    <w:basedOn w:val="Normal"/>
    <w:next w:val="Normal"/>
    <w:pPr>
      <w:keepNext/>
      <w:keepLines/>
      <w:spacing w:before="200"/>
      <w:outlineLvl w:val="1"/>
    </w:pPr>
    <w:rPr>
      <w:rFonts w:ascii="Calibri" w:eastAsia="Calibri" w:hAnsi="Calibri" w:cs="Calibri"/>
      <w:b/>
      <w:sz w:val="26"/>
      <w:szCs w:val="26"/>
    </w:rPr>
  </w:style>
  <w:style w:type="paragraph" w:styleId="Heading3">
    <w:name w:val="heading 3"/>
    <w:basedOn w:val="Normal"/>
    <w:next w:val="Normal"/>
    <w:pPr>
      <w:keepNext/>
      <w:keepLines/>
      <w:spacing w:before="200"/>
      <w:outlineLvl w:val="2"/>
    </w:pPr>
    <w:rPr>
      <w:rFonts w:ascii="Calibri" w:eastAsia="Calibri" w:hAnsi="Calibri" w:cs="Calibri"/>
      <w:b/>
    </w:rPr>
  </w:style>
  <w:style w:type="paragraph" w:styleId="Heading4">
    <w:name w:val="heading 4"/>
    <w:basedOn w:val="Normal"/>
    <w:next w:val="Normal"/>
    <w:pPr>
      <w:keepNext/>
      <w:keepLines/>
      <w:spacing w:before="200"/>
      <w:outlineLvl w:val="3"/>
    </w:pPr>
    <w:rPr>
      <w:rFonts w:ascii="Calibri" w:eastAsia="Calibri" w:hAnsi="Calibri" w:cs="Calibri"/>
      <w:b/>
      <w:i/>
      <w:color w:val="4F81BD"/>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300"/>
    </w:pPr>
    <w:rPr>
      <w:rFonts w:ascii="Calibri" w:eastAsia="Calibri" w:hAnsi="Calibri" w:cs="Calibri"/>
      <w:b/>
      <w:sz w:val="28"/>
      <w:szCs w:val="28"/>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DocumentMap">
    <w:name w:val="Document Map"/>
    <w:basedOn w:val="Normal"/>
    <w:link w:val="DocumentMapChar"/>
    <w:uiPriority w:val="99"/>
    <w:semiHidden/>
    <w:unhideWhenUsed/>
    <w:rsid w:val="00C87A00"/>
    <w:rPr>
      <w:rFonts w:ascii="Tahoma" w:hAnsi="Tahoma" w:cs="Tahoma"/>
      <w:sz w:val="16"/>
      <w:szCs w:val="16"/>
    </w:rPr>
  </w:style>
  <w:style w:type="character" w:customStyle="1" w:styleId="DocumentMapChar">
    <w:name w:val="Document Map Char"/>
    <w:basedOn w:val="DefaultParagraphFont"/>
    <w:link w:val="DocumentMap"/>
    <w:uiPriority w:val="99"/>
    <w:semiHidden/>
    <w:rsid w:val="00C87A00"/>
    <w:rPr>
      <w:rFonts w:ascii="Tahoma" w:hAnsi="Tahoma" w:cs="Tahoma"/>
      <w:sz w:val="16"/>
      <w:szCs w:val="16"/>
    </w:rPr>
  </w:style>
  <w:style w:type="paragraph" w:styleId="BalloonText">
    <w:name w:val="Balloon Text"/>
    <w:basedOn w:val="Normal"/>
    <w:link w:val="BalloonTextChar"/>
    <w:uiPriority w:val="99"/>
    <w:semiHidden/>
    <w:unhideWhenUsed/>
    <w:rsid w:val="007536BD"/>
    <w:rPr>
      <w:rFonts w:ascii="Tahoma" w:hAnsi="Tahoma" w:cs="Tahoma"/>
      <w:sz w:val="16"/>
      <w:szCs w:val="16"/>
    </w:rPr>
  </w:style>
  <w:style w:type="character" w:customStyle="1" w:styleId="BalloonTextChar">
    <w:name w:val="Balloon Text Char"/>
    <w:basedOn w:val="DefaultParagraphFont"/>
    <w:link w:val="BalloonText"/>
    <w:uiPriority w:val="99"/>
    <w:semiHidden/>
    <w:rsid w:val="007536BD"/>
    <w:rPr>
      <w:rFonts w:ascii="Tahoma" w:hAnsi="Tahoma" w:cs="Tahoma"/>
      <w:sz w:val="16"/>
      <w:szCs w:val="16"/>
    </w:rPr>
  </w:style>
  <w:style w:type="character" w:styleId="CommentReference">
    <w:name w:val="annotation reference"/>
    <w:basedOn w:val="DefaultParagraphFont"/>
    <w:uiPriority w:val="99"/>
    <w:semiHidden/>
    <w:unhideWhenUsed/>
    <w:rsid w:val="007536BD"/>
    <w:rPr>
      <w:sz w:val="16"/>
      <w:szCs w:val="16"/>
    </w:rPr>
  </w:style>
  <w:style w:type="paragraph" w:styleId="CommentText">
    <w:name w:val="annotation text"/>
    <w:basedOn w:val="Normal"/>
    <w:link w:val="CommentTextChar"/>
    <w:uiPriority w:val="99"/>
    <w:semiHidden/>
    <w:unhideWhenUsed/>
    <w:rsid w:val="007536BD"/>
    <w:rPr>
      <w:sz w:val="20"/>
      <w:szCs w:val="20"/>
    </w:rPr>
  </w:style>
  <w:style w:type="character" w:customStyle="1" w:styleId="CommentTextChar">
    <w:name w:val="Comment Text Char"/>
    <w:basedOn w:val="DefaultParagraphFont"/>
    <w:link w:val="CommentText"/>
    <w:uiPriority w:val="99"/>
    <w:semiHidden/>
    <w:rsid w:val="007536BD"/>
    <w:rPr>
      <w:sz w:val="20"/>
      <w:szCs w:val="20"/>
    </w:rPr>
  </w:style>
  <w:style w:type="paragraph" w:styleId="CommentSubject">
    <w:name w:val="annotation subject"/>
    <w:basedOn w:val="CommentText"/>
    <w:next w:val="CommentText"/>
    <w:link w:val="CommentSubjectChar"/>
    <w:uiPriority w:val="99"/>
    <w:semiHidden/>
    <w:unhideWhenUsed/>
    <w:rsid w:val="007536BD"/>
    <w:rPr>
      <w:b/>
      <w:bCs/>
    </w:rPr>
  </w:style>
  <w:style w:type="character" w:customStyle="1" w:styleId="CommentSubjectChar">
    <w:name w:val="Comment Subject Char"/>
    <w:basedOn w:val="CommentTextChar"/>
    <w:link w:val="CommentSubject"/>
    <w:uiPriority w:val="99"/>
    <w:semiHidden/>
    <w:rsid w:val="007536BD"/>
    <w:rPr>
      <w:b/>
      <w:bCs/>
      <w:sz w:val="20"/>
      <w:szCs w:val="20"/>
    </w:rPr>
  </w:style>
  <w:style w:type="character" w:styleId="LineNumber">
    <w:name w:val="line number"/>
    <w:basedOn w:val="DefaultParagraphFont"/>
    <w:uiPriority w:val="99"/>
    <w:semiHidden/>
    <w:unhideWhenUsed/>
    <w:rsid w:val="00502F0B"/>
  </w:style>
  <w:style w:type="paragraph" w:customStyle="1" w:styleId="EndNoteBibliography">
    <w:name w:val="EndNote Bibliography"/>
    <w:basedOn w:val="Normal"/>
    <w:rsid w:val="009D1CDA"/>
    <w:rPr>
      <w:rFonts w:ascii="Cambria" w:eastAsiaTheme="minorEastAsia" w:hAnsi="Cambria" w:cstheme="minorBidi"/>
      <w:color w:val="auto"/>
      <w:lang w:val="en-US" w:eastAsia="en-US"/>
    </w:rPr>
  </w:style>
  <w:style w:type="paragraph" w:styleId="NoSpacing">
    <w:name w:val="No Spacing"/>
    <w:uiPriority w:val="1"/>
    <w:qFormat/>
    <w:rsid w:val="00091DF8"/>
    <w:pPr>
      <w:spacing w:line="480" w:lineRule="auto"/>
      <w:ind w:firstLine="720"/>
    </w:pPr>
  </w:style>
  <w:style w:type="paragraph" w:styleId="Footer">
    <w:name w:val="footer"/>
    <w:basedOn w:val="Normal"/>
    <w:link w:val="FooterChar"/>
    <w:uiPriority w:val="99"/>
    <w:unhideWhenUsed/>
    <w:rsid w:val="005A70DB"/>
    <w:pPr>
      <w:tabs>
        <w:tab w:val="center" w:pos="4320"/>
        <w:tab w:val="right" w:pos="8640"/>
      </w:tabs>
    </w:pPr>
  </w:style>
  <w:style w:type="character" w:customStyle="1" w:styleId="FooterChar">
    <w:name w:val="Footer Char"/>
    <w:basedOn w:val="DefaultParagraphFont"/>
    <w:link w:val="Footer"/>
    <w:uiPriority w:val="99"/>
    <w:rsid w:val="005A70DB"/>
  </w:style>
  <w:style w:type="character" w:styleId="PageNumber">
    <w:name w:val="page number"/>
    <w:basedOn w:val="DefaultParagraphFont"/>
    <w:uiPriority w:val="99"/>
    <w:semiHidden/>
    <w:unhideWhenUsed/>
    <w:rsid w:val="005A70D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outlineLvl w:val="0"/>
    </w:pPr>
    <w:rPr>
      <w:rFonts w:ascii="Calibri" w:eastAsia="Calibri" w:hAnsi="Calibri" w:cs="Calibri"/>
      <w:b/>
      <w:sz w:val="32"/>
      <w:szCs w:val="32"/>
    </w:rPr>
  </w:style>
  <w:style w:type="paragraph" w:styleId="Heading2">
    <w:name w:val="heading 2"/>
    <w:basedOn w:val="Normal"/>
    <w:next w:val="Normal"/>
    <w:pPr>
      <w:keepNext/>
      <w:keepLines/>
      <w:spacing w:before="200"/>
      <w:outlineLvl w:val="1"/>
    </w:pPr>
    <w:rPr>
      <w:rFonts w:ascii="Calibri" w:eastAsia="Calibri" w:hAnsi="Calibri" w:cs="Calibri"/>
      <w:b/>
      <w:sz w:val="26"/>
      <w:szCs w:val="26"/>
    </w:rPr>
  </w:style>
  <w:style w:type="paragraph" w:styleId="Heading3">
    <w:name w:val="heading 3"/>
    <w:basedOn w:val="Normal"/>
    <w:next w:val="Normal"/>
    <w:pPr>
      <w:keepNext/>
      <w:keepLines/>
      <w:spacing w:before="200"/>
      <w:outlineLvl w:val="2"/>
    </w:pPr>
    <w:rPr>
      <w:rFonts w:ascii="Calibri" w:eastAsia="Calibri" w:hAnsi="Calibri" w:cs="Calibri"/>
      <w:b/>
    </w:rPr>
  </w:style>
  <w:style w:type="paragraph" w:styleId="Heading4">
    <w:name w:val="heading 4"/>
    <w:basedOn w:val="Normal"/>
    <w:next w:val="Normal"/>
    <w:pPr>
      <w:keepNext/>
      <w:keepLines/>
      <w:spacing w:before="200"/>
      <w:outlineLvl w:val="3"/>
    </w:pPr>
    <w:rPr>
      <w:rFonts w:ascii="Calibri" w:eastAsia="Calibri" w:hAnsi="Calibri" w:cs="Calibri"/>
      <w:b/>
      <w:i/>
      <w:color w:val="4F81BD"/>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300"/>
    </w:pPr>
    <w:rPr>
      <w:rFonts w:ascii="Calibri" w:eastAsia="Calibri" w:hAnsi="Calibri" w:cs="Calibri"/>
      <w:b/>
      <w:sz w:val="28"/>
      <w:szCs w:val="28"/>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DocumentMap">
    <w:name w:val="Document Map"/>
    <w:basedOn w:val="Normal"/>
    <w:link w:val="DocumentMapChar"/>
    <w:uiPriority w:val="99"/>
    <w:semiHidden/>
    <w:unhideWhenUsed/>
    <w:rsid w:val="00C87A00"/>
    <w:rPr>
      <w:rFonts w:ascii="Tahoma" w:hAnsi="Tahoma" w:cs="Tahoma"/>
      <w:sz w:val="16"/>
      <w:szCs w:val="16"/>
    </w:rPr>
  </w:style>
  <w:style w:type="character" w:customStyle="1" w:styleId="DocumentMapChar">
    <w:name w:val="Document Map Char"/>
    <w:basedOn w:val="DefaultParagraphFont"/>
    <w:link w:val="DocumentMap"/>
    <w:uiPriority w:val="99"/>
    <w:semiHidden/>
    <w:rsid w:val="00C87A00"/>
    <w:rPr>
      <w:rFonts w:ascii="Tahoma" w:hAnsi="Tahoma" w:cs="Tahoma"/>
      <w:sz w:val="16"/>
      <w:szCs w:val="16"/>
    </w:rPr>
  </w:style>
  <w:style w:type="paragraph" w:styleId="BalloonText">
    <w:name w:val="Balloon Text"/>
    <w:basedOn w:val="Normal"/>
    <w:link w:val="BalloonTextChar"/>
    <w:uiPriority w:val="99"/>
    <w:semiHidden/>
    <w:unhideWhenUsed/>
    <w:rsid w:val="007536BD"/>
    <w:rPr>
      <w:rFonts w:ascii="Tahoma" w:hAnsi="Tahoma" w:cs="Tahoma"/>
      <w:sz w:val="16"/>
      <w:szCs w:val="16"/>
    </w:rPr>
  </w:style>
  <w:style w:type="character" w:customStyle="1" w:styleId="BalloonTextChar">
    <w:name w:val="Balloon Text Char"/>
    <w:basedOn w:val="DefaultParagraphFont"/>
    <w:link w:val="BalloonText"/>
    <w:uiPriority w:val="99"/>
    <w:semiHidden/>
    <w:rsid w:val="007536BD"/>
    <w:rPr>
      <w:rFonts w:ascii="Tahoma" w:hAnsi="Tahoma" w:cs="Tahoma"/>
      <w:sz w:val="16"/>
      <w:szCs w:val="16"/>
    </w:rPr>
  </w:style>
  <w:style w:type="character" w:styleId="CommentReference">
    <w:name w:val="annotation reference"/>
    <w:basedOn w:val="DefaultParagraphFont"/>
    <w:uiPriority w:val="99"/>
    <w:semiHidden/>
    <w:unhideWhenUsed/>
    <w:rsid w:val="007536BD"/>
    <w:rPr>
      <w:sz w:val="16"/>
      <w:szCs w:val="16"/>
    </w:rPr>
  </w:style>
  <w:style w:type="paragraph" w:styleId="CommentText">
    <w:name w:val="annotation text"/>
    <w:basedOn w:val="Normal"/>
    <w:link w:val="CommentTextChar"/>
    <w:uiPriority w:val="99"/>
    <w:semiHidden/>
    <w:unhideWhenUsed/>
    <w:rsid w:val="007536BD"/>
    <w:rPr>
      <w:sz w:val="20"/>
      <w:szCs w:val="20"/>
    </w:rPr>
  </w:style>
  <w:style w:type="character" w:customStyle="1" w:styleId="CommentTextChar">
    <w:name w:val="Comment Text Char"/>
    <w:basedOn w:val="DefaultParagraphFont"/>
    <w:link w:val="CommentText"/>
    <w:uiPriority w:val="99"/>
    <w:semiHidden/>
    <w:rsid w:val="007536BD"/>
    <w:rPr>
      <w:sz w:val="20"/>
      <w:szCs w:val="20"/>
    </w:rPr>
  </w:style>
  <w:style w:type="paragraph" w:styleId="CommentSubject">
    <w:name w:val="annotation subject"/>
    <w:basedOn w:val="CommentText"/>
    <w:next w:val="CommentText"/>
    <w:link w:val="CommentSubjectChar"/>
    <w:uiPriority w:val="99"/>
    <w:semiHidden/>
    <w:unhideWhenUsed/>
    <w:rsid w:val="007536BD"/>
    <w:rPr>
      <w:b/>
      <w:bCs/>
    </w:rPr>
  </w:style>
  <w:style w:type="character" w:customStyle="1" w:styleId="CommentSubjectChar">
    <w:name w:val="Comment Subject Char"/>
    <w:basedOn w:val="CommentTextChar"/>
    <w:link w:val="CommentSubject"/>
    <w:uiPriority w:val="99"/>
    <w:semiHidden/>
    <w:rsid w:val="007536BD"/>
    <w:rPr>
      <w:b/>
      <w:bCs/>
      <w:sz w:val="20"/>
      <w:szCs w:val="20"/>
    </w:rPr>
  </w:style>
  <w:style w:type="character" w:styleId="LineNumber">
    <w:name w:val="line number"/>
    <w:basedOn w:val="DefaultParagraphFont"/>
    <w:uiPriority w:val="99"/>
    <w:semiHidden/>
    <w:unhideWhenUsed/>
    <w:rsid w:val="00502F0B"/>
  </w:style>
  <w:style w:type="paragraph" w:customStyle="1" w:styleId="EndNoteBibliography">
    <w:name w:val="EndNote Bibliography"/>
    <w:basedOn w:val="Normal"/>
    <w:rsid w:val="009D1CDA"/>
    <w:rPr>
      <w:rFonts w:ascii="Cambria" w:eastAsiaTheme="minorEastAsia" w:hAnsi="Cambria" w:cstheme="minorBidi"/>
      <w:color w:val="auto"/>
      <w:lang w:val="en-US" w:eastAsia="en-US"/>
    </w:rPr>
  </w:style>
  <w:style w:type="paragraph" w:styleId="NoSpacing">
    <w:name w:val="No Spacing"/>
    <w:uiPriority w:val="1"/>
    <w:qFormat/>
    <w:rsid w:val="00091DF8"/>
    <w:pPr>
      <w:spacing w:line="480" w:lineRule="auto"/>
      <w:ind w:firstLine="720"/>
    </w:pPr>
  </w:style>
  <w:style w:type="paragraph" w:styleId="Footer">
    <w:name w:val="footer"/>
    <w:basedOn w:val="Normal"/>
    <w:link w:val="FooterChar"/>
    <w:uiPriority w:val="99"/>
    <w:unhideWhenUsed/>
    <w:rsid w:val="005A70DB"/>
    <w:pPr>
      <w:tabs>
        <w:tab w:val="center" w:pos="4320"/>
        <w:tab w:val="right" w:pos="8640"/>
      </w:tabs>
    </w:pPr>
  </w:style>
  <w:style w:type="character" w:customStyle="1" w:styleId="FooterChar">
    <w:name w:val="Footer Char"/>
    <w:basedOn w:val="DefaultParagraphFont"/>
    <w:link w:val="Footer"/>
    <w:uiPriority w:val="99"/>
    <w:rsid w:val="005A70DB"/>
  </w:style>
  <w:style w:type="character" w:styleId="PageNumber">
    <w:name w:val="page number"/>
    <w:basedOn w:val="DefaultParagraphFont"/>
    <w:uiPriority w:val="99"/>
    <w:semiHidden/>
    <w:unhideWhenUsed/>
    <w:rsid w:val="005A70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409644">
      <w:bodyDiv w:val="1"/>
      <w:marLeft w:val="0"/>
      <w:marRight w:val="0"/>
      <w:marTop w:val="0"/>
      <w:marBottom w:val="0"/>
      <w:divBdr>
        <w:top w:val="none" w:sz="0" w:space="0" w:color="auto"/>
        <w:left w:val="none" w:sz="0" w:space="0" w:color="auto"/>
        <w:bottom w:val="none" w:sz="0" w:space="0" w:color="auto"/>
        <w:right w:val="none" w:sz="0" w:space="0" w:color="auto"/>
      </w:divBdr>
      <w:divsChild>
        <w:div w:id="1562331769">
          <w:marLeft w:val="0"/>
          <w:marRight w:val="0"/>
          <w:marTop w:val="0"/>
          <w:marBottom w:val="0"/>
          <w:divBdr>
            <w:top w:val="none" w:sz="0" w:space="0" w:color="auto"/>
            <w:left w:val="none" w:sz="0" w:space="0" w:color="auto"/>
            <w:bottom w:val="none" w:sz="0" w:space="0" w:color="auto"/>
            <w:right w:val="none" w:sz="0" w:space="0" w:color="auto"/>
          </w:divBdr>
        </w:div>
        <w:div w:id="664935457">
          <w:marLeft w:val="0"/>
          <w:marRight w:val="0"/>
          <w:marTop w:val="0"/>
          <w:marBottom w:val="0"/>
          <w:divBdr>
            <w:top w:val="none" w:sz="0" w:space="0" w:color="auto"/>
            <w:left w:val="none" w:sz="0" w:space="0" w:color="auto"/>
            <w:bottom w:val="none" w:sz="0" w:space="0" w:color="auto"/>
            <w:right w:val="none" w:sz="0" w:space="0" w:color="auto"/>
          </w:divBdr>
        </w:div>
        <w:div w:id="992412254">
          <w:marLeft w:val="0"/>
          <w:marRight w:val="0"/>
          <w:marTop w:val="0"/>
          <w:marBottom w:val="0"/>
          <w:divBdr>
            <w:top w:val="none" w:sz="0" w:space="0" w:color="auto"/>
            <w:left w:val="none" w:sz="0" w:space="0" w:color="auto"/>
            <w:bottom w:val="none" w:sz="0" w:space="0" w:color="auto"/>
            <w:right w:val="none" w:sz="0" w:space="0" w:color="auto"/>
          </w:divBdr>
        </w:div>
        <w:div w:id="1333872155">
          <w:marLeft w:val="0"/>
          <w:marRight w:val="0"/>
          <w:marTop w:val="0"/>
          <w:marBottom w:val="0"/>
          <w:divBdr>
            <w:top w:val="none" w:sz="0" w:space="0" w:color="auto"/>
            <w:left w:val="none" w:sz="0" w:space="0" w:color="auto"/>
            <w:bottom w:val="none" w:sz="0" w:space="0" w:color="auto"/>
            <w:right w:val="none" w:sz="0" w:space="0" w:color="auto"/>
          </w:divBdr>
        </w:div>
        <w:div w:id="3250617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Relationship Id="rId12" Type="http://schemas.openxmlformats.org/officeDocument/2006/relationships/image" Target="media/image3.tif"/><Relationship Id="rId13" Type="http://schemas.openxmlformats.org/officeDocument/2006/relationships/image" Target="media/image4.tif"/><Relationship Id="rId14" Type="http://schemas.openxmlformats.org/officeDocument/2006/relationships/image" Target="media/image5.tif"/><Relationship Id="rId15" Type="http://schemas.openxmlformats.org/officeDocument/2006/relationships/image" Target="media/image6.tif"/><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people" Target="people.xml"/><Relationship Id="rId19"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7AD2FE-20FE-3B4F-B595-FD62DC42D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10188</Words>
  <Characters>58078</Characters>
  <Application>Microsoft Macintosh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National Oceanography Centre</Company>
  <LinksUpToDate>false</LinksUpToDate>
  <CharactersWithSpaces>68130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dc:creator>
  <cp:lastModifiedBy>Laetitia  Gunton</cp:lastModifiedBy>
  <cp:revision>2</cp:revision>
  <cp:lastPrinted>2016-09-02T08:25:00Z</cp:lastPrinted>
  <dcterms:created xsi:type="dcterms:W3CDTF">2016-12-21T19:13:00Z</dcterms:created>
  <dcterms:modified xsi:type="dcterms:W3CDTF">2016-12-21T19:13:00Z</dcterms:modified>
</cp:coreProperties>
</file>