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81E9E" w14:textId="0F657793" w:rsidR="00FB3018" w:rsidRDefault="00E1785C" w:rsidP="00041AB1">
      <w:bookmarkStart w:id="0" w:name="_GoBack"/>
      <w:bookmarkEnd w:id="0"/>
      <w:r w:rsidRPr="00E1785C">
        <w:t>Persistent Organic Pollutants in two species of migratory birds from Rothera Point, Adelaide Island, Antarctica</w:t>
      </w:r>
      <w:r>
        <w:t>.</w:t>
      </w:r>
      <w:r w:rsidR="00B2386D">
        <w:t xml:space="preserve">  </w:t>
      </w:r>
    </w:p>
    <w:p w14:paraId="2D3B56E9" w14:textId="77777777" w:rsidR="006A4658" w:rsidRPr="00B2386D" w:rsidRDefault="006A4658" w:rsidP="00041AB1"/>
    <w:p w14:paraId="5881F55F" w14:textId="77777777" w:rsidR="00041AB1" w:rsidRDefault="00041AB1" w:rsidP="00041AB1">
      <w:pPr>
        <w:rPr>
          <w:lang w:val="nl-NL"/>
        </w:rPr>
      </w:pPr>
      <w:r w:rsidRPr="00DD2087">
        <w:rPr>
          <w:lang w:val="nl-NL"/>
        </w:rPr>
        <w:t>Krasn</w:t>
      </w:r>
      <w:r>
        <w:rPr>
          <w:lang w:val="nl-NL"/>
        </w:rPr>
        <w:t>obaev A.</w:t>
      </w:r>
      <w:r>
        <w:rPr>
          <w:vertAlign w:val="superscript"/>
          <w:lang w:val="nl-NL"/>
        </w:rPr>
        <w:t>1</w:t>
      </w:r>
      <w:r w:rsidR="003F5480">
        <w:rPr>
          <w:vertAlign w:val="superscript"/>
          <w:lang w:val="nl-NL"/>
        </w:rPr>
        <w:t>*</w:t>
      </w:r>
      <w:r>
        <w:rPr>
          <w:lang w:val="nl-NL"/>
        </w:rPr>
        <w:t>, G. ten Dam</w:t>
      </w:r>
      <w:r>
        <w:rPr>
          <w:vertAlign w:val="superscript"/>
          <w:lang w:val="nl-NL"/>
        </w:rPr>
        <w:t>2</w:t>
      </w:r>
      <w:r>
        <w:rPr>
          <w:lang w:val="nl-NL"/>
        </w:rPr>
        <w:t xml:space="preserve">, </w:t>
      </w:r>
      <w:r w:rsidR="004F2C8A" w:rsidRPr="004F2C8A">
        <w:rPr>
          <w:lang w:val="nl-NL"/>
        </w:rPr>
        <w:t xml:space="preserve">S.P.J. </w:t>
      </w:r>
      <w:r w:rsidRPr="00DD2087">
        <w:rPr>
          <w:lang w:val="nl-NL"/>
        </w:rPr>
        <w:t xml:space="preserve"> van Leeuwen</w:t>
      </w:r>
      <w:r>
        <w:rPr>
          <w:vertAlign w:val="superscript"/>
          <w:lang w:val="nl-NL"/>
        </w:rPr>
        <w:t>2</w:t>
      </w:r>
      <w:r>
        <w:rPr>
          <w:lang w:val="nl-NL"/>
        </w:rPr>
        <w:t>,</w:t>
      </w:r>
      <w:r w:rsidR="0038018B">
        <w:rPr>
          <w:lang w:val="nl-NL"/>
        </w:rPr>
        <w:t xml:space="preserve"> L.</w:t>
      </w:r>
      <w:r w:rsidR="00126872">
        <w:rPr>
          <w:lang w:val="nl-NL"/>
        </w:rPr>
        <w:t xml:space="preserve"> S.</w:t>
      </w:r>
      <w:r w:rsidR="0038018B">
        <w:rPr>
          <w:lang w:val="nl-NL"/>
        </w:rPr>
        <w:t xml:space="preserve"> Peck,</w:t>
      </w:r>
      <w:r w:rsidR="0038018B">
        <w:rPr>
          <w:vertAlign w:val="superscript"/>
          <w:lang w:val="nl-NL"/>
        </w:rPr>
        <w:t>3</w:t>
      </w:r>
      <w:r>
        <w:rPr>
          <w:lang w:val="nl-NL"/>
        </w:rPr>
        <w:t xml:space="preserve"> N.</w:t>
      </w:r>
      <w:r w:rsidR="004E0309">
        <w:rPr>
          <w:lang w:val="nl-NL"/>
        </w:rPr>
        <w:t>W.</w:t>
      </w:r>
      <w:r>
        <w:rPr>
          <w:lang w:val="nl-NL"/>
        </w:rPr>
        <w:t xml:space="preserve"> van den Brink</w:t>
      </w:r>
      <w:r>
        <w:rPr>
          <w:vertAlign w:val="superscript"/>
          <w:lang w:val="nl-NL"/>
        </w:rPr>
        <w:t>1</w:t>
      </w:r>
      <w:r>
        <w:rPr>
          <w:lang w:val="nl-NL"/>
        </w:rPr>
        <w:t>.</w:t>
      </w:r>
      <w:r w:rsidRPr="00DD2087">
        <w:rPr>
          <w:lang w:val="nl-NL"/>
        </w:rPr>
        <w:t xml:space="preserve"> </w:t>
      </w:r>
    </w:p>
    <w:p w14:paraId="0CAF175B" w14:textId="77777777" w:rsidR="0038018B" w:rsidRDefault="00041AB1" w:rsidP="00041AB1">
      <w:r>
        <w:rPr>
          <w:vertAlign w:val="superscript"/>
        </w:rPr>
        <w:t>1</w:t>
      </w:r>
      <w:r w:rsidR="00381ABB">
        <w:rPr>
          <w:vertAlign w:val="superscript"/>
        </w:rPr>
        <w:t xml:space="preserve"> </w:t>
      </w:r>
      <w:r w:rsidRPr="004A203D">
        <w:t xml:space="preserve">Wageningen University, Div. Toxicology, </w:t>
      </w:r>
      <w:r>
        <w:t xml:space="preserve">PO </w:t>
      </w:r>
      <w:r w:rsidRPr="004A203D">
        <w:t xml:space="preserve">Box 8000, </w:t>
      </w:r>
      <w:r>
        <w:t xml:space="preserve">NL </w:t>
      </w:r>
      <w:r w:rsidRPr="004A203D">
        <w:t xml:space="preserve">6700 EA Wageningen, </w:t>
      </w:r>
      <w:r w:rsidR="00381ABB">
        <w:t>t</w:t>
      </w:r>
      <w:r w:rsidRPr="004A203D">
        <w:t>he Netherlands</w:t>
      </w:r>
      <w:r w:rsidR="00381ABB">
        <w:t>.</w:t>
      </w:r>
      <w:r>
        <w:br/>
      </w:r>
      <w:r w:rsidRPr="004A203D">
        <w:rPr>
          <w:vertAlign w:val="superscript"/>
        </w:rPr>
        <w:t>2</w:t>
      </w:r>
      <w:r w:rsidR="00381ABB">
        <w:rPr>
          <w:vertAlign w:val="superscript"/>
        </w:rPr>
        <w:t xml:space="preserve"> </w:t>
      </w:r>
      <w:r w:rsidRPr="004A203D">
        <w:t xml:space="preserve">RIKILT, Wageningen University, PO Box 230, NL 6700 AE Wageningen, </w:t>
      </w:r>
      <w:r w:rsidR="00381ABB">
        <w:t>t</w:t>
      </w:r>
      <w:r w:rsidRPr="004A203D">
        <w:t>he Netherlands</w:t>
      </w:r>
      <w:r w:rsidR="00381ABB">
        <w:t>.</w:t>
      </w:r>
      <w:r w:rsidR="0038018B">
        <w:br/>
      </w:r>
      <w:r w:rsidR="0038018B">
        <w:rPr>
          <w:vertAlign w:val="superscript"/>
        </w:rPr>
        <w:t>3</w:t>
      </w:r>
      <w:r w:rsidR="0038018B">
        <w:t xml:space="preserve"> </w:t>
      </w:r>
      <w:r w:rsidR="000E41BE" w:rsidRPr="000E41BE">
        <w:t>British Antarctic Survey</w:t>
      </w:r>
      <w:r w:rsidR="000E41BE">
        <w:t xml:space="preserve">, </w:t>
      </w:r>
      <w:r w:rsidR="000E41BE" w:rsidRPr="000E41BE">
        <w:t>Natural Environment Research Council (NERC)</w:t>
      </w:r>
      <w:r w:rsidR="000E41BE">
        <w:t xml:space="preserve">, </w:t>
      </w:r>
      <w:r w:rsidR="000E41BE" w:rsidRPr="000E41BE">
        <w:t>Cambridge</w:t>
      </w:r>
      <w:r w:rsidR="000E41BE">
        <w:t xml:space="preserve">, the </w:t>
      </w:r>
      <w:r w:rsidR="000E41BE" w:rsidRPr="000E41BE">
        <w:t>UK</w:t>
      </w:r>
      <w:r w:rsidR="000E41BE">
        <w:t>.</w:t>
      </w:r>
    </w:p>
    <w:p w14:paraId="341FA95E" w14:textId="77777777" w:rsidR="003F5480" w:rsidRPr="0038018B" w:rsidRDefault="003F5480" w:rsidP="00041AB1">
      <w:r>
        <w:t>* corresponding author.</w:t>
      </w:r>
    </w:p>
    <w:p w14:paraId="3DB1548A" w14:textId="093D5252" w:rsidR="00041AB1" w:rsidRDefault="008F7850" w:rsidP="00041AB1">
      <w:r>
        <w:t xml:space="preserve">Carcasses </w:t>
      </w:r>
      <w:r w:rsidR="00041AB1">
        <w:t xml:space="preserve">of </w:t>
      </w:r>
      <w:r w:rsidR="00041AB1" w:rsidRPr="009437DD">
        <w:t xml:space="preserve">South </w:t>
      </w:r>
      <w:r w:rsidR="00970D61">
        <w:t>P</w:t>
      </w:r>
      <w:r w:rsidR="00970D61" w:rsidRPr="009437DD">
        <w:t xml:space="preserve">olar </w:t>
      </w:r>
      <w:r w:rsidR="00407134">
        <w:t>Skua</w:t>
      </w:r>
      <w:r w:rsidR="00041AB1" w:rsidRPr="009437DD">
        <w:t>s (</w:t>
      </w:r>
      <w:r w:rsidR="00041AB1" w:rsidRPr="009437DD">
        <w:rPr>
          <w:i/>
        </w:rPr>
        <w:t>Catharacta maccormicki</w:t>
      </w:r>
      <w:r w:rsidR="00041AB1" w:rsidRPr="009437DD">
        <w:t xml:space="preserve">) and </w:t>
      </w:r>
      <w:r w:rsidR="00970D61">
        <w:t>K</w:t>
      </w:r>
      <w:r w:rsidR="00970D61" w:rsidRPr="009437DD">
        <w:t xml:space="preserve">elp </w:t>
      </w:r>
      <w:r w:rsidR="00041AB1" w:rsidRPr="009437DD">
        <w:t>gulls (</w:t>
      </w:r>
      <w:r w:rsidR="00041AB1" w:rsidRPr="009437DD">
        <w:rPr>
          <w:i/>
        </w:rPr>
        <w:t>Larus dominicanus</w:t>
      </w:r>
      <w:r w:rsidR="00041AB1" w:rsidRPr="009437DD">
        <w:t xml:space="preserve">) </w:t>
      </w:r>
      <w:r w:rsidR="00041AB1">
        <w:t xml:space="preserve">were opportunistically collected </w:t>
      </w:r>
      <w:r w:rsidR="00E1131E">
        <w:t>around</w:t>
      </w:r>
      <w:r w:rsidR="00041AB1">
        <w:t xml:space="preserve"> of Rothera Research station (</w:t>
      </w:r>
      <w:r w:rsidR="00041AB1" w:rsidRPr="009437DD">
        <w:t>67°35'8"S and 68°7'59"W</w:t>
      </w:r>
      <w:r w:rsidR="00041AB1">
        <w:t xml:space="preserve">) during the 2016/2017 austral </w:t>
      </w:r>
      <w:r w:rsidR="00020A53">
        <w:t>summer</w:t>
      </w:r>
      <w:r w:rsidR="00041AB1">
        <w:t xml:space="preserve">. </w:t>
      </w:r>
      <w:r w:rsidR="00020A53">
        <w:t>S</w:t>
      </w:r>
      <w:r w:rsidR="00041AB1">
        <w:t xml:space="preserve">amples </w:t>
      </w:r>
      <w:r w:rsidR="00584715">
        <w:t xml:space="preserve">of their tissues (muscle, liver and </w:t>
      </w:r>
      <w:r w:rsidR="00584715" w:rsidRPr="009437DD">
        <w:t>subcutaneous fat</w:t>
      </w:r>
      <w:r w:rsidR="00584715">
        <w:t xml:space="preserve">) </w:t>
      </w:r>
      <w:r w:rsidR="00041AB1">
        <w:t>were analysed for persi</w:t>
      </w:r>
      <w:r w:rsidR="00E1131E">
        <w:t>stent organic pollutants (POPs)</w:t>
      </w:r>
      <w:r w:rsidR="00041AB1">
        <w:t xml:space="preserve">. Organochlorine pesticides (OCPs) showed the highest concentrations, notably for </w:t>
      </w:r>
      <w:r w:rsidR="00041AB1" w:rsidRPr="009437DD">
        <w:t>pp’-DDE</w:t>
      </w:r>
      <w:r w:rsidR="00D04B02">
        <w:t xml:space="preserve"> </w:t>
      </w:r>
      <w:r w:rsidR="00041AB1">
        <w:t xml:space="preserve">and HCB. The </w:t>
      </w:r>
      <w:r w:rsidR="00041AB1" w:rsidRPr="00E56895">
        <w:t>Polychlorinated biphenyl</w:t>
      </w:r>
      <w:r w:rsidR="00041AB1">
        <w:t xml:space="preserve">s (PCBs)-profiles demonstrated a clear </w:t>
      </w:r>
      <w:r w:rsidR="00CF5FB1">
        <w:t>dominance of</w:t>
      </w:r>
      <w:r w:rsidR="00041AB1">
        <w:t xml:space="preserve"> </w:t>
      </w:r>
      <w:r w:rsidR="00041AB1" w:rsidRPr="009437DD">
        <w:t>hexa- and hepta-CBs</w:t>
      </w:r>
      <w:r w:rsidR="00041AB1">
        <w:t>, while concentrations of p</w:t>
      </w:r>
      <w:r w:rsidR="00041AB1" w:rsidRPr="00E56895">
        <w:t>olybrominated diphenyl ethers</w:t>
      </w:r>
      <w:r w:rsidR="00D04B02">
        <w:t xml:space="preserve"> (PBDEs) remained</w:t>
      </w:r>
      <w:r w:rsidR="00041AB1">
        <w:t xml:space="preserve"> low. The </w:t>
      </w:r>
      <w:r w:rsidR="00B9649E">
        <w:t>concentrations</w:t>
      </w:r>
      <w:r w:rsidR="00041AB1">
        <w:t xml:space="preserve"> of some POPs (e.g. HCB) were lower than in past studies on similar species, however </w:t>
      </w:r>
      <w:r w:rsidR="00624C40">
        <w:t>others were</w:t>
      </w:r>
      <w:r w:rsidR="00584715">
        <w:t xml:space="preserve"> within the previous range</w:t>
      </w:r>
      <w:r w:rsidR="00041AB1">
        <w:t xml:space="preserve"> </w:t>
      </w:r>
      <w:r w:rsidR="00020A53">
        <w:t xml:space="preserve">(PCBs) </w:t>
      </w:r>
      <w:r w:rsidR="00041AB1">
        <w:t xml:space="preserve">or even </w:t>
      </w:r>
      <w:r w:rsidR="00584715">
        <w:t>higher than previous reported values</w:t>
      </w:r>
      <w:r w:rsidR="00D04B02">
        <w:t xml:space="preserve"> (DDE</w:t>
      </w:r>
      <w:r w:rsidR="00041AB1">
        <w:t>). Although no major i</w:t>
      </w:r>
      <w:r w:rsidR="00041AB1" w:rsidRPr="001F0FF8">
        <w:t xml:space="preserve">nterspecific </w:t>
      </w:r>
      <w:r w:rsidR="00041AB1">
        <w:t xml:space="preserve">differences </w:t>
      </w:r>
      <w:r w:rsidR="00041AB1" w:rsidRPr="001F0FF8">
        <w:t xml:space="preserve">in </w:t>
      </w:r>
      <w:r w:rsidR="00041AB1">
        <w:t xml:space="preserve">the </w:t>
      </w:r>
      <w:r w:rsidR="00041AB1" w:rsidRPr="001F0FF8">
        <w:t xml:space="preserve">absolute </w:t>
      </w:r>
      <w:r w:rsidR="00B9649E">
        <w:t>concentrations</w:t>
      </w:r>
      <w:r w:rsidR="00041AB1" w:rsidRPr="001F0FF8">
        <w:t xml:space="preserve"> of POPs </w:t>
      </w:r>
      <w:r w:rsidR="00041AB1">
        <w:t xml:space="preserve">were detected, their profiles varied, </w:t>
      </w:r>
      <w:r w:rsidR="007F0917">
        <w:t xml:space="preserve">being </w:t>
      </w:r>
      <w:r w:rsidR="00D04B02">
        <w:t>likely related to</w:t>
      </w:r>
      <w:r w:rsidR="00041AB1">
        <w:t xml:space="preserve"> feeding and migration patterns of each species.  The current study provides important baseline </w:t>
      </w:r>
      <w:r w:rsidR="00020A53">
        <w:t xml:space="preserve">data </w:t>
      </w:r>
      <w:r w:rsidR="00041AB1">
        <w:t>for future monitoring of POPs in Antarctic</w:t>
      </w:r>
      <w:r w:rsidR="00584715">
        <w:t>a</w:t>
      </w:r>
      <w:r w:rsidR="00041AB1">
        <w:t xml:space="preserve">. </w:t>
      </w:r>
    </w:p>
    <w:p w14:paraId="5705005B" w14:textId="77777777" w:rsidR="00904DEB" w:rsidRDefault="00904DEB" w:rsidP="00041AB1"/>
    <w:p w14:paraId="75EB952C" w14:textId="77777777" w:rsidR="00904DEB" w:rsidRDefault="00904DEB" w:rsidP="00041AB1">
      <w:r>
        <w:t>Keywords:</w:t>
      </w:r>
      <w:r>
        <w:br/>
      </w:r>
      <w:r>
        <w:br/>
      </w:r>
      <w:r w:rsidRPr="00904DEB">
        <w:t>POPs; Antarctica; birds; PBDEs; PCBs; OCPs;</w:t>
      </w:r>
    </w:p>
    <w:p w14:paraId="69C6AB53" w14:textId="77777777" w:rsidR="00041AB1" w:rsidRPr="009437DD" w:rsidRDefault="00041AB1" w:rsidP="00041AB1">
      <w:r>
        <w:br w:type="page"/>
      </w:r>
    </w:p>
    <w:p w14:paraId="05A77030" w14:textId="77777777" w:rsidR="00A30DB4" w:rsidRDefault="00A30DB4" w:rsidP="00A30DB4">
      <w:pPr>
        <w:pStyle w:val="ListParagraph"/>
        <w:widowControl w:val="0"/>
        <w:numPr>
          <w:ilvl w:val="0"/>
          <w:numId w:val="1"/>
        </w:numPr>
        <w:autoSpaceDE w:val="0"/>
        <w:autoSpaceDN w:val="0"/>
        <w:adjustRightInd w:val="0"/>
        <w:spacing w:line="240" w:lineRule="auto"/>
      </w:pPr>
      <w:r>
        <w:lastRenderedPageBreak/>
        <w:t>Introduction</w:t>
      </w:r>
    </w:p>
    <w:p w14:paraId="03879D89" w14:textId="18EE9255" w:rsidR="00D46EAA" w:rsidRPr="00D96881" w:rsidRDefault="00A30DB4" w:rsidP="00E02605">
      <w:pPr>
        <w:widowControl w:val="0"/>
        <w:autoSpaceDE w:val="0"/>
        <w:autoSpaceDN w:val="0"/>
        <w:adjustRightInd w:val="0"/>
        <w:spacing w:line="360" w:lineRule="auto"/>
      </w:pPr>
      <w:r>
        <w:t>Persistent Organic Pollutants (POPs)</w:t>
      </w:r>
      <w:r w:rsidR="008A6A28">
        <w:t xml:space="preserve"> </w:t>
      </w:r>
      <w:r w:rsidR="00A4048F">
        <w:t xml:space="preserve">encompass </w:t>
      </w:r>
      <w:r w:rsidR="008A6A28">
        <w:t xml:space="preserve">a group of </w:t>
      </w:r>
      <w:r w:rsidR="00B52C7C">
        <w:rPr>
          <w:rFonts w:ascii="Arial" w:hAnsi="Arial" w:cs="Arial"/>
          <w:color w:val="222222"/>
          <w:shd w:val="clear" w:color="auto" w:fill="FFFFFF"/>
        </w:rPr>
        <w:t>contaminants</w:t>
      </w:r>
      <w:r w:rsidR="00A4048F">
        <w:t xml:space="preserve"> including </w:t>
      </w:r>
      <w:r w:rsidR="00F83DF2" w:rsidRPr="00F83DF2">
        <w:t>polychlorinated biphenyl</w:t>
      </w:r>
      <w:r w:rsidR="00F83DF2">
        <w:t>s (</w:t>
      </w:r>
      <w:r w:rsidR="008A6A28">
        <w:t>PCBs</w:t>
      </w:r>
      <w:r w:rsidR="00F83DF2">
        <w:t>)</w:t>
      </w:r>
      <w:r w:rsidR="008A6A28">
        <w:t xml:space="preserve">, </w:t>
      </w:r>
      <w:r w:rsidR="00F83DF2">
        <w:t>p</w:t>
      </w:r>
      <w:r w:rsidR="00F83DF2" w:rsidRPr="00F83DF2">
        <w:t>olybrominated diphenyl ethers</w:t>
      </w:r>
      <w:r w:rsidR="00F83DF2">
        <w:t xml:space="preserve"> (</w:t>
      </w:r>
      <w:r w:rsidR="008A6A28">
        <w:t>PBDEs</w:t>
      </w:r>
      <w:r w:rsidR="00F83DF2">
        <w:t>)</w:t>
      </w:r>
      <w:r w:rsidR="008A6A28">
        <w:t xml:space="preserve"> and </w:t>
      </w:r>
      <w:r w:rsidR="00F83DF2">
        <w:t>o</w:t>
      </w:r>
      <w:r w:rsidR="00F83DF2" w:rsidRPr="00F83DF2">
        <w:t>rganochlorine pesticides</w:t>
      </w:r>
      <w:r w:rsidR="00F83DF2">
        <w:t xml:space="preserve"> (</w:t>
      </w:r>
      <w:r w:rsidR="008A6A28">
        <w:t>OCPs</w:t>
      </w:r>
      <w:r w:rsidR="00F83DF2">
        <w:t>)</w:t>
      </w:r>
      <w:r w:rsidR="00B9649E">
        <w:t xml:space="preserve"> </w:t>
      </w:r>
      <w:r w:rsidR="00040245">
        <w:fldChar w:fldCharType="begin" w:fldLock="1"/>
      </w:r>
      <w:r w:rsidR="00317534">
        <w:instrText>ADDIN CSL_CITATION {"citationItems":[{"id":"ITEM-1","itemData":{"DOI":"10.1016/S1382-6689(98)00036-2","ISSN":"13826689","author":[{"dropping-particle":"","family":"Vallack","given":"Harry W.","non-dropping-particle":"","parse-names":false,"suffix":""},{"dropping-particle":"","family":"Bakker","given":"Dick J.","non-dropping-particle":"","parse-names":false,"suffix":""},{"dropping-particle":"","family":"Brandt","given":"Ingvar","non-dropping-particle":"","parse-names":false,"suffix":""},{"dropping-particle":"","family":"Broström-Lundén","given":"Eva","non-dropping-particle":"","parse-names":false,"suffix":""},{"dropping-particle":"","family":"Brouwer","given":"Abraham","non-dropping-particle":"","parse-names":false,"suffix":""},{"dropping-particle":"","family":"Bull","given":"Keith R.","non-dropping-particle":"","parse-names":false,"suffix":""},{"dropping-particle":"","family":"Gough","given":"Clair","non-dropping-particle":"","parse-names":false,"suffix":""},{"dropping-particle":"","family":"Guardans","given":"Ramon","non-dropping-particle":"","parse-names":false,"suffix":""},{"dropping-particle":"","family":"Holoubek","given":"Ivan","non-dropping-particle":"","parse-names":false,"suffix":""},{"dropping-particle":"","family":"Jansson","given":"Bo","non-dropping-particle":"","parse-names":false,"suffix":""},{"dropping-particle":"","family":"Koch","given":"Rainer","non-dropping-particle":"","parse-names":false,"suffix":""},{"dropping-particle":"","family":"Kuylenstierna","given":"Johan","non-dropping-particle":"","parse-names":false,"suffix":""},{"dropping-particle":"","family":"Lecloux","given":"André","non-dropping-particle":"","parse-names":false,"suffix":""},{"dropping-particle":"","family":"Mackay","given":"Donald","non-dropping-particle":"","parse-names":false,"suffix":""},{"dropping-particle":"","family":"McCutcheon","given":"Patrick","non-dropping-particle":"","parse-names":false,"suffix":""},{"dropping-particle":"","family":"Mocarelli","given":"Paolo","non-dropping-particle":"","parse-names":false,"suffix":""},{"dropping-particle":"","family":"Taalman","given":"Rob D.F.","non-dropping-particle":"","parse-names":false,"suffix":""}],"container-title":"Environmental Toxicology and Pharmacology","id":"ITEM-1","issue":"3","issued":{"date-parts":[["1998","11"]]},"page":"143-175","title":"Controlling persistent organic pollutants–what next?","type":"article-journal","volume":"6"},"uris":["http://www.mendeley.com/documents/?uuid=2cda8fa4-b129-33fb-b769-96742d750246"]}],"mendeley":{"formattedCitation":"(Vallack et al., 1998)","plainTextFormattedCitation":"(Vallack et al., 1998)","previouslyFormattedCitation":"(Vallack et al., 1998)"},"properties":{"noteIndex":0},"schema":"https://github.com/citation-style-language/schema/raw/master/csl-citation.json"}</w:instrText>
      </w:r>
      <w:r w:rsidR="00040245">
        <w:fldChar w:fldCharType="separate"/>
      </w:r>
      <w:r w:rsidR="00317534" w:rsidRPr="00317534">
        <w:rPr>
          <w:noProof/>
        </w:rPr>
        <w:t>(Vallack et al., 1998)</w:t>
      </w:r>
      <w:r w:rsidR="00040245">
        <w:fldChar w:fldCharType="end"/>
      </w:r>
      <w:r w:rsidR="008A6A28">
        <w:t xml:space="preserve">. </w:t>
      </w:r>
      <w:r w:rsidR="00A4048F">
        <w:t>POPs</w:t>
      </w:r>
      <w:r w:rsidR="00D46EAA">
        <w:t xml:space="preserve"> </w:t>
      </w:r>
      <w:r w:rsidR="00584715">
        <w:t>have been demonstrated</w:t>
      </w:r>
      <w:r w:rsidR="00C20FF4">
        <w:t xml:space="preserve"> </w:t>
      </w:r>
      <w:r w:rsidR="00A4048F">
        <w:t xml:space="preserve">to potentially affect </w:t>
      </w:r>
      <w:r w:rsidR="00D46EAA">
        <w:t xml:space="preserve"> </w:t>
      </w:r>
      <w:r w:rsidR="00D46EAA" w:rsidRPr="00D46EAA">
        <w:t xml:space="preserve">reproductive, developmental, neurologic, endocrine, and immunologic </w:t>
      </w:r>
      <w:r w:rsidR="00D46EAA">
        <w:t>systems of animals and humans</w:t>
      </w:r>
      <w:r w:rsidR="00B9649E">
        <w:t xml:space="preserve"> </w:t>
      </w:r>
      <w:r w:rsidR="00821E7B">
        <w:fldChar w:fldCharType="begin" w:fldLock="1"/>
      </w:r>
      <w:r w:rsidR="00317534">
        <w:instrText>ADDIN CSL_CITATION {"citationItems":[{"id":"ITEM-1","itemData":{"DOI":"10.1016/j.envint.2009.02.006","ISSN":"01604120","author":[{"dropping-particle":"","family":"Noyes","given":"Pamela D.","non-dropping-particle":"","parse-names":false,"suffix":""},{"dropping-particle":"","family":"McElwee","given":"Matthew K.","non-dropping-particle":"","parse-names":false,"suffix":""},{"dropping-particle":"","family":"Miller","given":"Hilary D.","non-dropping-particle":"","parse-names":false,"suffix":""},{"dropping-particle":"","family":"Clark","given":"Bryan W.","non-dropping-particle":"","parse-names":false,"suffix":""},{"dropping-particle":"","family":"Tiem","given":"Lindsey A.","non-dropping-particle":"Van","parse-names":false,"suffix":""},{"dropping-particle":"","family":"Walcott","given":"Kia C.","non-dropping-particle":"","parse-names":false,"suffix":""},{"dropping-particle":"","family":"Erwin","given":"Kyle N.","non-dropping-particle":"","parse-names":false,"suffix":""},{"dropping-particle":"","family":"Levin","given":"Edward D.","non-dropping-particle":"","parse-names":false,"suffix":""}],"container-title":"Environment International","id":"ITEM-1","issue":"6","issued":{"date-parts":[["2009","8"]]},"page":"971-986","title":"The toxicology of climate change: Environmental contaminants in a warming world","type":"article-journal","volume":"35"},"uris":["http://www.mendeley.com/documents/?uuid=a4390e85-5441-3a27-9ec6-eb44ae36c361"]}],"mendeley":{"formattedCitation":"(Noyes et al., 2009)","plainTextFormattedCitation":"(Noyes et al., 2009)","previouslyFormattedCitation":"(Noyes et al., 2009)"},"properties":{"noteIndex":0},"schema":"https://github.com/citation-style-language/schema/raw/master/csl-citation.json"}</w:instrText>
      </w:r>
      <w:r w:rsidR="00821E7B">
        <w:fldChar w:fldCharType="separate"/>
      </w:r>
      <w:r w:rsidR="00317534" w:rsidRPr="00317534">
        <w:rPr>
          <w:noProof/>
        </w:rPr>
        <w:t>(Noyes et al., 2009)</w:t>
      </w:r>
      <w:r w:rsidR="00821E7B">
        <w:fldChar w:fldCharType="end"/>
      </w:r>
      <w:r w:rsidR="00D46EAA">
        <w:t>.</w:t>
      </w:r>
      <w:r w:rsidR="009C6954">
        <w:t xml:space="preserve"> </w:t>
      </w:r>
      <w:r w:rsidR="00C20FF4">
        <w:t xml:space="preserve">Despite </w:t>
      </w:r>
      <w:r w:rsidR="00A4048F">
        <w:t>these</w:t>
      </w:r>
      <w:r w:rsidR="00C20FF4">
        <w:t xml:space="preserve"> </w:t>
      </w:r>
      <w:r w:rsidR="00A4048F">
        <w:t xml:space="preserve">risks </w:t>
      </w:r>
      <w:r w:rsidR="00C20FF4">
        <w:t>being known since</w:t>
      </w:r>
      <w:r w:rsidR="00584715">
        <w:t xml:space="preserve"> the</w:t>
      </w:r>
      <w:r w:rsidR="00C20FF4">
        <w:t xml:space="preserve"> 1960s, </w:t>
      </w:r>
      <w:r w:rsidR="00111E36" w:rsidRPr="00111E36">
        <w:t xml:space="preserve">only in 2001 international agreement was achieved on the ban, restricted use or reduction of </w:t>
      </w:r>
      <w:r w:rsidR="00A4048F">
        <w:t xml:space="preserve">hazardous </w:t>
      </w:r>
      <w:r w:rsidR="00251619">
        <w:t xml:space="preserve">POPs </w:t>
      </w:r>
      <w:r w:rsidR="008A6A28">
        <w:t>by the Stockholm convention</w:t>
      </w:r>
      <w:r w:rsidR="00B9649E">
        <w:t xml:space="preserve"> </w:t>
      </w:r>
      <w:r w:rsidR="00821E7B">
        <w:fldChar w:fldCharType="begin" w:fldLock="1"/>
      </w:r>
      <w:r w:rsidR="00317534">
        <w:instrText>ADDIN CSL_CITATION {"citationItems":[{"id":"ITEM-1","itemData":{"URL":"http://chm.pops.int/TheConvention/ThePOPs/AllPOPs/tabid/2509/Default.aspx","accessed":{"date-parts":[["2017","12","21"]]},"id":"ITEM-1","issued":{"date-parts":[["0"]]},"title":"Listing of POPs in the Stockholm Convention","type":"webpage"},"uris":["http://www.mendeley.com/documents/?uuid=718bf280-2c64-36c9-b776-9d1d817a857a"]},{"id":"ITEM-2","itemData":{"DOI":"10.1002/elsc.200520098","ISSN":"1618-0240","author":[{"dropping-particle":"","family":"Gavrilescu","given":"M.","non-dropping-particle":"","parse-names":false,"suffix":""}],"container-title":"Engineering in Life Sciences","id":"ITEM-2","issue":"6","issued":{"date-parts":[["2005","12"]]},"page":"497-526","title":"Fate of Pesticides in the Environment and its Bioremediation","type":"article-journal","volume":"5"},"uris":["http://www.mendeley.com/documents/?uuid=8ebaf753-a1bc-3135-a2eb-285b1d3a6624"]}],"mendeley":{"formattedCitation":"(Gavrilescu, 2005; “Listing of POPs in the Stockholm Convention,” n.d.)","plainTextFormattedCitation":"(Gavrilescu, 2005; “Listing of POPs in the Stockholm Convention,” n.d.)","previouslyFormattedCitation":"(Gavrilescu, 2005; “Listing of POPs in the Stockholm Convention,” n.d.)"},"properties":{"noteIndex":0},"schema":"https://github.com/citation-style-language/schema/raw/master/csl-citation.json"}</w:instrText>
      </w:r>
      <w:r w:rsidR="00821E7B">
        <w:fldChar w:fldCharType="separate"/>
      </w:r>
      <w:r w:rsidR="00317534" w:rsidRPr="00317534">
        <w:rPr>
          <w:noProof/>
        </w:rPr>
        <w:t>(Gavrilescu, 2005; “Listing of POPs in the Stockholm Convention,” n.d.)</w:t>
      </w:r>
      <w:r w:rsidR="00821E7B">
        <w:fldChar w:fldCharType="end"/>
      </w:r>
      <w:r w:rsidR="008A6A28">
        <w:t>. POPs are</w:t>
      </w:r>
      <w:r w:rsidR="00D46EAA">
        <w:t xml:space="preserve"> </w:t>
      </w:r>
      <w:r w:rsidR="00A4048F">
        <w:t>known</w:t>
      </w:r>
      <w:r w:rsidR="00D46EAA">
        <w:t xml:space="preserve"> </w:t>
      </w:r>
      <w:r w:rsidR="00F55676">
        <w:t xml:space="preserve">to </w:t>
      </w:r>
      <w:r>
        <w:t xml:space="preserve">accumulate in multiple compartments of </w:t>
      </w:r>
      <w:r w:rsidR="00D46EAA">
        <w:t>ecosystems all around the world</w:t>
      </w:r>
      <w:r w:rsidR="00B9649E">
        <w:t xml:space="preserve"> </w:t>
      </w:r>
      <w:r w:rsidR="003A4CFF">
        <w:fldChar w:fldCharType="begin" w:fldLock="1"/>
      </w:r>
      <w:r w:rsidR="00317534">
        <w:instrText>ADDIN CSL_CITATION {"citationItems":[{"id":"ITEM-1","itemData":{"DOI":"10.1002/elsc.200520098","ISSN":"1618-0240","author":[{"dropping-particle":"","family":"Gavrilescu","given":"M.","non-dropping-particle":"","parse-names":false,"suffix":""}],"container-title":"Engineering in Life Sciences","id":"ITEM-1","issue":"6","issued":{"date-parts":[["2005","12"]]},"page":"497-526","title":"Fate of Pesticides in the Environment and its Bioremediation","type":"article-journal","volume":"5"},"uris":["http://www.mendeley.com/documents/?uuid=8ebaf753-a1bc-3135-a2eb-285b1d3a6624"]},{"id":"ITEM-2","itemData":{"DOI":"10.1016/S1382-6689(98)00036-2","ISSN":"13826689","author":[{"dropping-particle":"","family":"Vallack","given":"Harry W.","non-dropping-particle":"","parse-names":false,"suffix":""},{"dropping-particle":"","family":"Bakker","given":"Dick J.","non-dropping-particle":"","parse-names":false,"suffix":""},{"dropping-particle":"","family":"Brandt","given":"Ingvar","non-dropping-particle":"","parse-names":false,"suffix":""},{"dropping-particle":"","family":"Broström-Lundén","given":"Eva","non-dropping-particle":"","parse-names":false,"suffix":""},{"dropping-particle":"","family":"Brouwer","given":"Abraham","non-dropping-particle":"","parse-names":false,"suffix":""},{"dropping-particle":"","family":"Bull","given":"Keith R.","non-dropping-particle":"","parse-names":false,"suffix":""},{"dropping-particle":"","family":"Gough","given":"Clair","non-dropping-particle":"","parse-names":false,"suffix":""},{"dropping-particle":"","family":"Guardans","given":"Ramon","non-dropping-particle":"","parse-names":false,"suffix":""},{"dropping-particle":"","family":"Holoubek","given":"Ivan","non-dropping-particle":"","parse-names":false,"suffix":""},{"dropping-particle":"","family":"Jansson","given":"Bo","non-dropping-particle":"","parse-names":false,"suffix":""},{"dropping-particle":"","family":"Koch","given":"Rainer","non-dropping-particle":"","parse-names":false,"suffix":""},{"dropping-particle":"","family":"Kuylenstierna","given":"Johan","non-dropping-particle":"","parse-names":false,"suffix":""},{"dropping-particle":"","family":"Lecloux","given":"André","non-dropping-particle":"","parse-names":false,"suffix":""},{"dropping-particle":"","family":"Mackay","given":"Donald","non-dropping-particle":"","parse-names":false,"suffix":""},{"dropping-particle":"","family":"McCutcheon","given":"Patrick","non-dropping-particle":"","parse-names":false,"suffix":""},{"dropping-particle":"","family":"Mocarelli","given":"Paolo","non-dropping-particle":"","parse-names":false,"suffix":""},{"dropping-particle":"","family":"Taalman","given":"Rob D.F.","non-dropping-particle":"","parse-names":false,"suffix":""}],"container-title":"Environmental Toxicology and Pharmacology","id":"ITEM-2","issue":"3","issued":{"date-parts":[["1998","11"]]},"page":"143-175","title":"Controlling persistent organic pollutants–what next?","type":"article-journal","volume":"6"},"uris":["http://www.mendeley.com/documents/?uuid=2cda8fa4-b129-33fb-b769-96742d750246"]}],"mendeley":{"formattedCitation":"(Gavrilescu, 2005; Vallack et al., 1998)","plainTextFormattedCitation":"(Gavrilescu, 2005; Vallack et al., 1998)","previouslyFormattedCitation":"(Gavrilescu, 2005; Vallack et al., 1998)"},"properties":{"noteIndex":0},"schema":"https://github.com/citation-style-language/schema/raw/master/csl-citation.json"}</w:instrText>
      </w:r>
      <w:r w:rsidR="003A4CFF">
        <w:fldChar w:fldCharType="separate"/>
      </w:r>
      <w:r w:rsidR="00317534" w:rsidRPr="00317534">
        <w:rPr>
          <w:noProof/>
        </w:rPr>
        <w:t>(Gavrilescu, 2005; Vallack et al., 1998)</w:t>
      </w:r>
      <w:r w:rsidR="003A4CFF">
        <w:fldChar w:fldCharType="end"/>
      </w:r>
      <w:r w:rsidR="0016061E">
        <w:t>.</w:t>
      </w:r>
      <w:r>
        <w:t xml:space="preserve"> </w:t>
      </w:r>
      <w:r w:rsidR="00584715">
        <w:t>E</w:t>
      </w:r>
      <w:r w:rsidR="00D46EAA">
        <w:t xml:space="preserve">ven the remote continent of </w:t>
      </w:r>
      <w:r>
        <w:t>Antarctica</w:t>
      </w:r>
      <w:r w:rsidR="00D46EAA">
        <w:t xml:space="preserve"> </w:t>
      </w:r>
      <w:r w:rsidR="00584715">
        <w:t>has been</w:t>
      </w:r>
      <w:r w:rsidR="00D46EAA">
        <w:t xml:space="preserve"> established as</w:t>
      </w:r>
      <w:r w:rsidR="00F86B1B">
        <w:t xml:space="preserve"> an environmental sink for POPs</w:t>
      </w:r>
      <w:r w:rsidR="00B9649E">
        <w:t xml:space="preserve"> </w:t>
      </w:r>
      <w:r w:rsidR="00F86B1B">
        <w:fldChar w:fldCharType="begin" w:fldLock="1"/>
      </w:r>
      <w:r w:rsidR="00317534">
        <w:instrText>ADDIN CSL_CITATION {"citationItems":[{"id":"ITEM-1","itemData":{"DOI":"10.1021/es026019e","ISSN":"0013-936X","author":[{"dropping-particle":"","family":"Wania","given":"Frank","non-dropping-particle":"","parse-names":false,"suffix":""}],"container-title":"Environmental Science &amp; Technology","id":"ITEM-1","issue":"7","issued":{"date-parts":[["2003","4"]]},"page":"1344-1351","title":"Assessing the Potential of Persistent Organic Chemicals for Long-Range Transport and Accumulation in Polar Regions","type":"article-journal","volume":"37"},"uris":["http://www.mendeley.com/documents/?uuid=98321fed-4f32-374d-b60e-4db5ffbfc4a7"]},{"id":"ITEM-2","itemData":{"DOI":"10.1016/j.scitotenv.2008.06.062","ISSN":"00489697","author":[{"dropping-particle":"","family":"Bargagli","given":"R.","non-dropping-particle":"","parse-names":false,"suffix":""}],"container-title":"Science of The Total Environment","id":"ITEM-2","issue":"1-3","issued":{"date-parts":[["2008","8"]]},"page":"212-226","title":"Environmental contamination in Antarctic ecosystems","type":"article-journal","volume":"400"},"uris":["http://www.mendeley.com/documents/?uuid=1ca748a8-a471-37df-ad86-bd56e5f28534"]}],"mendeley":{"formattedCitation":"(Bargagli, 2008; Wania, 2003)","plainTextFormattedCitation":"(Bargagli, 2008; Wania, 2003)","previouslyFormattedCitation":"(Bargagli, 2008; Wania, 2003)"},"properties":{"noteIndex":0},"schema":"https://github.com/citation-style-language/schema/raw/master/csl-citation.json"}</w:instrText>
      </w:r>
      <w:r w:rsidR="00F86B1B">
        <w:fldChar w:fldCharType="separate"/>
      </w:r>
      <w:r w:rsidR="00317534" w:rsidRPr="00317534">
        <w:rPr>
          <w:noProof/>
        </w:rPr>
        <w:t>(Bargagli, 2008; Wania, 2003)</w:t>
      </w:r>
      <w:r w:rsidR="00F86B1B">
        <w:fldChar w:fldCharType="end"/>
      </w:r>
      <w:r w:rsidR="00C77733">
        <w:t>. B</w:t>
      </w:r>
      <w:r w:rsidR="00F86B1B">
        <w:t xml:space="preserve">ecause of </w:t>
      </w:r>
      <w:r w:rsidR="005E1042">
        <w:t>a</w:t>
      </w:r>
      <w:r w:rsidR="00F86B1B">
        <w:t xml:space="preserve"> unique com</w:t>
      </w:r>
      <w:r w:rsidR="00C77733">
        <w:t xml:space="preserve">bination of </w:t>
      </w:r>
      <w:r w:rsidR="00A4048F">
        <w:t>relative</w:t>
      </w:r>
      <w:r w:rsidR="00C77733">
        <w:t xml:space="preserve"> volatility</w:t>
      </w:r>
      <w:r w:rsidR="002252C3">
        <w:t xml:space="preserve"> and </w:t>
      </w:r>
      <w:r w:rsidR="00A4048F">
        <w:t>environmental persistence</w:t>
      </w:r>
      <w:r w:rsidR="004D27A9">
        <w:t>,</w:t>
      </w:r>
      <w:r w:rsidR="00F86B1B">
        <w:t xml:space="preserve"> </w:t>
      </w:r>
      <w:r w:rsidR="002252C3">
        <w:t xml:space="preserve">some POPs are able to reach the Antarctic continent </w:t>
      </w:r>
      <w:r w:rsidR="00E926E4">
        <w:t>via</w:t>
      </w:r>
      <w:r w:rsidR="00D46EAA">
        <w:t xml:space="preserve"> </w:t>
      </w:r>
      <w:r w:rsidR="00F86B1B">
        <w:t>long-ran</w:t>
      </w:r>
      <w:r w:rsidR="00E926E4">
        <w:t>ge atmospheric transport</w:t>
      </w:r>
      <w:r w:rsidR="00F86B1B">
        <w:t xml:space="preserve"> </w:t>
      </w:r>
      <w:r w:rsidR="00E926E4">
        <w:t xml:space="preserve">process </w:t>
      </w:r>
      <w:r w:rsidR="00F86B1B">
        <w:t xml:space="preserve">and the cold </w:t>
      </w:r>
      <w:r w:rsidR="002252C3">
        <w:t xml:space="preserve">condenser </w:t>
      </w:r>
      <w:r w:rsidR="00F86B1B">
        <w:t>effect</w:t>
      </w:r>
      <w:r w:rsidR="00B9649E">
        <w:t xml:space="preserve"> </w:t>
      </w:r>
      <w:r w:rsidR="00F86B1B">
        <w:fldChar w:fldCharType="begin" w:fldLock="1"/>
      </w:r>
      <w:r w:rsidR="00317534">
        <w:instrText>ADDIN CSL_CITATION {"citationItems":[{"id":"ITEM-1","itemData":{"DOI":"10.1021/es405545w","ISSN":"0013-936X","abstract":"Equilibrium partitioning between different environmental media is one of the main driving forces that govern the environmental fate of organic chemicals. In the global environment, equilibrium partitioning is in competition with long-range transport, advective phase transfer processes such as wet deposition, and degradation. Here we investigate under what conditions equilibrium partitioning is strong enough to control the global distribution of organic chemicals. We use a global multimedia mass-balance model to calculate the Globally Balanced State (GBS) of organic chemicals. The GBS is the state where equilibrium partitioning is in balance with long-range transport; it represents the maximum influence of thermodynamic driving forces on the global distribution of a chemical. Next, we compare the GBS with the Temporal Remote State, which represents the long-term distribution of a chemical in the global environment when the chemical’s distribution is influenced by all transport and degradation processes in ...","author":[{"dropping-particle":"","family":"Schenker","given":"Sebastian","non-dropping-particle":"","parse-names":false,"suffix":""},{"dropping-particle":"","family":"Scheringer","given":"Martin","non-dropping-particle":"","parse-names":false,"suffix":""},{"dropping-particle":"","family":"Hungerbühler","given":"Konrad","non-dropping-particle":"","parse-names":false,"suffix":""}],"container-title":"Environmental Science &amp; Technology","id":"ITEM-1","issue":"9","issued":{"date-parts":[["2014","5","6"]]},"page":"5017-5024","publisher":"American Chemical Society","title":"Do Persistent Organic Pollutants Reach a Thermodynamic Equilibrium in the Global Environment?","type":"article-journal","volume":"48"},"uris":["http://www.mendeley.com/documents/?uuid=737b2684-1468-335e-9c3c-a9a26f896c45"]}],"mendeley":{"formattedCitation":"(Schenker et al., 2014)","plainTextFormattedCitation":"(Schenker et al., 2014)","previouslyFormattedCitation":"(Schenker et al., 2014)"},"properties":{"noteIndex":0},"schema":"https://github.com/citation-style-language/schema/raw/master/csl-citation.json"}</w:instrText>
      </w:r>
      <w:r w:rsidR="00F86B1B">
        <w:fldChar w:fldCharType="separate"/>
      </w:r>
      <w:r w:rsidR="00317534" w:rsidRPr="00317534">
        <w:rPr>
          <w:noProof/>
        </w:rPr>
        <w:t>(Schenker et al., 2014)</w:t>
      </w:r>
      <w:r w:rsidR="00F86B1B">
        <w:fldChar w:fldCharType="end"/>
      </w:r>
      <w:r>
        <w:t>.</w:t>
      </w:r>
      <w:r w:rsidR="00B86FCC">
        <w:t xml:space="preserve"> </w:t>
      </w:r>
      <w:r w:rsidR="000C672B">
        <w:t>Therefore</w:t>
      </w:r>
      <w:r w:rsidR="002252C3">
        <w:t xml:space="preserve"> more volatile POPs can reach high concentrations in Antarctic</w:t>
      </w:r>
      <w:r w:rsidR="001A3868">
        <w:t xml:space="preserve"> apex predators, including </w:t>
      </w:r>
      <w:r w:rsidR="002252C3">
        <w:t>marine birds</w:t>
      </w:r>
      <w:r w:rsidR="00B9649E">
        <w:t xml:space="preserve"> </w:t>
      </w:r>
      <w:r w:rsidR="000C672B">
        <w:fldChar w:fldCharType="begin" w:fldLock="1"/>
      </w:r>
      <w:r w:rsidR="00317534">
        <w:instrText>ADDIN CSL_CITATION {"citationItems":[{"id":"ITEM-1","itemData":{"DOI":"10.1016/S0048-9697(97)05440-5","ISSN":"00489697","author":[{"dropping-particle":"","family":"Brink","given":"N.W.","non-dropping-particle":"Van den","parse-names":false,"suffix":""}],"container-title":"Science of The Total Environment","id":"ITEM-1","issue":"1","issued":{"date-parts":[["1997","5"]]},"page":"43-50","title":"Directed transport of volatile organochlorine pollutants to polar regions: the effect on the contamination pattern of Antarctic seabirds","type":"article-journal","volume":"198"},"uris":["http://www.mendeley.com/documents/?uuid=f9aa376b-22a9-358c-b9e7-0b14386586b6"]}],"mendeley":{"formattedCitation":"(Van den Brink, 1997)","plainTextFormattedCitation":"(Van den Brink, 1997)","previouslyFormattedCitation":"(Van den Brink, 1997)"},"properties":{"noteIndex":0},"schema":"https://github.com/citation-style-language/schema/raw/master/csl-citation.json"}</w:instrText>
      </w:r>
      <w:r w:rsidR="000C672B">
        <w:fldChar w:fldCharType="separate"/>
      </w:r>
      <w:r w:rsidR="00317534" w:rsidRPr="00317534">
        <w:rPr>
          <w:noProof/>
        </w:rPr>
        <w:t>(Van den Brink, 1997)</w:t>
      </w:r>
      <w:r w:rsidR="000C672B">
        <w:fldChar w:fldCharType="end"/>
      </w:r>
      <w:r w:rsidR="002252C3">
        <w:t xml:space="preserve">. </w:t>
      </w:r>
      <w:r w:rsidR="000C672B">
        <w:t xml:space="preserve">In </w:t>
      </w:r>
      <w:r w:rsidR="00D96881">
        <w:t xml:space="preserve">addition, </w:t>
      </w:r>
      <w:r w:rsidR="001A3868">
        <w:t xml:space="preserve">the </w:t>
      </w:r>
      <w:r w:rsidR="002252C3">
        <w:t xml:space="preserve">birds </w:t>
      </w:r>
      <w:r w:rsidR="00945DC3">
        <w:t xml:space="preserve">also </w:t>
      </w:r>
      <w:r w:rsidR="002252C3">
        <w:t xml:space="preserve">migrating North of the Antarctic convergence are exposed to relatively higher </w:t>
      </w:r>
      <w:r w:rsidR="001A3868">
        <w:t xml:space="preserve">amounts </w:t>
      </w:r>
      <w:r w:rsidR="002252C3">
        <w:t xml:space="preserve">of other POPs </w:t>
      </w:r>
      <w:r w:rsidR="00584715">
        <w:t>in</w:t>
      </w:r>
      <w:r w:rsidR="002252C3">
        <w:t xml:space="preserve"> their wintering grounds </w:t>
      </w:r>
      <w:r w:rsidR="00E27FBC">
        <w:fldChar w:fldCharType="begin" w:fldLock="1"/>
      </w:r>
      <w:r w:rsidR="00317534">
        <w:instrText>ADDIN CSL_CITATION {"citationItems":[{"id":"ITEM-1","itemData":{"DOI":"10.1016/J.ECOENV.2015.02.011","ISSN":"0147-6513","abstract":"The aim of this study was to assess the exposure to organochlorine compounds (OC) in 91 primary wing feathers of avian scavengers, Turkey vulture (Cathartes aura), American black vulture (Coragyps atratus) and Southern crested caracaras (Polyborus plancus) from the southern tip of South America, in the Argentinean Patagonia. We analyzed for a series of OC including hexachlorocyclohexane (HCH) isomers, endosulfan, aldrin, dieldrin, endrin, dichlorodiphenyltrichloroethane (p,p’-DDT), dichlorodiphenyldichloroethane (p,p’-DDD), dichlorodiphenyldichloroethylene (p,p’-DDE), heptachlor and heptachlor-epoxide. This is the first study on OC in feathers of three terrestrial top carnivores from South America. OC concentrations found in the studied species were much higher than those found in feathers of raptors from Europe and Asia, which likely indicate their high use in the region, specifically in agriculture, and other possible uses of OC in this area. ∑HCH had the highest median concentration, followed by ∑Drins, ∑DDT, ∑Heptachlor, and ∑Endosulfan, similar to those reported in several food samples in Argentina. On the other hand, differences in OC profiles between species and areas may be related to feeding and migratory habits, as well as the molt period. Three individuals showed ∑DDT (DDT, DDD and DDE) concentrations in feathers related to sublethal effects. However, this comparison should be used with caution due to problems with extrapolating such data across tissues and species.","author":[{"dropping-particle":"","family":"Martínez-López","given":"E.","non-dropping-particle":"","parse-names":false,"suffix":""},{"dropping-particle":"","family":"Espín","given":"S.","non-dropping-particle":"","parse-names":false,"suffix":""},{"dropping-particle":"","family":"Barbar","given":"F.","non-dropping-particle":"","parse-names":false,"suffix":""},{"dropping-particle":"","family":"Lambertucci","given":"S.A.","non-dropping-particle":"","parse-names":false,"suffix":""},{"dropping-particle":"","family":"Gómez-Ramírez","given":"P.","non-dropping-particle":"","parse-names":false,"suffix":""},{"dropping-particle":"","family":"García-Fernández","given":"AJ.","non-dropping-particle":"","parse-names":false,"suffix":""}],"container-title":"Ecotoxicology and Environmental Safety","id":"ITEM-1","issued":{"date-parts":[["2015","5","1"]]},"page":"83-92","publisher":"Academic Press","title":"Contaminants in the southern tip of South America: Analysis of organochlorine compounds in feathers of avian scavengers from Argentinean Patagonia","type":"article-journal","volume":"115"},"uris":["http://www.mendeley.com/documents/?uuid=ef35f67f-2043-39c2-86ea-177dd28c25b0"]},{"id":"ITEM-2","itemData":{"DOI":"10.1016/J.ENVRES.2012.08.004","ISSN":"0013-9351","abstract":"Persistent organic pollutants (POPs) have been shown to cause adverse effects on a number of biomarkers of health in birds. POPs may impair immune function and alter the stress response, defined as a suite of behavioral and physiological responses to environmental perturbations. Recent studies have also proposed that POPs can induce oxidative stress. Nevertheless, there is a lack of studies simultaneously assessing the potential damaging effects of POPs on the latter biomarkers. In this study, we examined the contribution of legacy (organochlorines; (OCs)) and emerging (flame retardants; PBDEs) POPs to individual variations in stress levels (feather corticosterone), humoral immunity (plasma immunoglobulin Y levels) and oxidative stress occurring in three breeding colonies of a top predator seabird, the Great skua (Stercorarius skua), distributed from temperate regions to the high Arctic: Shetland (60oN), Iceland (63°N) and Bjørnøya (74°N). Our results demonstrated that plasma concentrations of OCs in Great skuas from Bjørnøya are among the highest in North Atlantic seabirds, with up to 7900μg/kg (ww) ∑OCs. Yet, a latitudinal gradient in POP levels was observed with all compounds being significantly higher in Bjørnøya than in Iceland and Shetland (on average 4–7 fold higher for OCs and 2.5–4.5 for PBDEs, respectively). Contrary to our predictions, skuas breeding at the least contaminated site (i.e., Shetland) experienced the poorest physiological condition; i.e., the highest levels of stress hormones (25% higher) and oxidative stress (50% higher) and the lowest immunoglobulin levels (15% lower) compared to the two other colonies. Finally, our results failed to point out consistent within-colony relationships between biomarkers of health and POPs. Overall, it is suggested that other ecological factors such as food availability could constrain physiological indicators more than anthropogenic contaminants.","author":[{"dropping-particle":"","family":"Bourgeon","given":"Sophie","non-dropping-particle":"","parse-names":false,"suffix":""},{"dropping-particle":"","family":"Leat","given":"Eliza H.K.","non-dropping-particle":"","parse-names":false,"suffix":""},{"dropping-particle":"","family":"Magnusdóttir","given":"Ellen","non-dropping-particle":"","parse-names":false,"suffix":""},{"dropping-particle":"","family":"Fisk","given":"Aaron T.","non-dropping-particle":"","parse-names":false,"suffix":""},{"dropping-particle":"","family":"Furness","given":"Robert W.","non-dropping-particle":"","parse-names":false,"suffix":""},{"dropping-particle":"","family":"Strøm","given":"Hallvard","non-dropping-particle":"","parse-names":false,"suffix":""},{"dropping-particle":"","family":"Hanssen","given":"Sveinn Are","non-dropping-particle":"","parse-names":false,"suffix":""},{"dropping-particle":"","family":"Petersen","given":"Ævar","non-dropping-particle":"","parse-names":false,"suffix":""},{"dropping-particle":"","family":"Olafsdóttir","given":"Kristin","non-dropping-particle":"","parse-names":false,"suffix":""},{"dropping-particle":"","family":"Borgå","given":"Katrine","non-dropping-particle":"","parse-names":false,"suffix":""},{"dropping-particle":"","family":"Gabrielsen","given":"Geir W.","non-dropping-particle":"","parse-names":false,"suffix":""},{"dropping-particle":"","family":"Bustnes","given":"Jan Ove","non-dropping-particle":"","parse-names":false,"suffix":""}],"container-title":"Environmental Research","id":"ITEM-2","issued":{"date-parts":[["2012","10","1"]]},"page":"31-39","publisher":"Academic Press","title":"Individual variation in biomarkers of health: Influence of persistent organic pollutants in Great skuas (Stercorarius skua) breeding at different geographical locations","type":"article-journal","volume":"118"},"uris":["http://www.mendeley.com/documents/?uuid=6cb10031-27da-35aa-8bc1-613852d68422"]},{"id":"ITEM-3","itemData":{"DOI":"10.1016/j.marpolbul.2013.11.031","ISSN":"0025-326X","abstract":"Superficial sediments from Lenga estuary in the VIII region of central\nChile were analysed for Polychlorinated Biphenyls (PCBs) and\nHexachlorobenzene (HCB). Organic carbon (OC) analysis was also performed\nand the statistical correlations (Pearson correlations) between\ncompounds were also tested. Results showed the total PCB concentrations\n(ng g(-1) d.w.) fluctuated from similar to 20 to 10,000. These levels\nare higher than those reported in other coastal sediments of the world.\nThe PCB profile was dominated by middle to highly chlorinated congeners\n(6-CI = 40% and 7-CI = 30%). HCB concentrations (ng g(-1), d.w.), were\nlower than the PCBs and, fluctuated between 1 (at L1) and 870 (at L4).\nOC values ranged from 1% (L1) to 7% (L4) showing a significant\npositive correlations between OC% and PCBs (r = 0.86; p &lt; 0.05) and for\nHCB (r = 0.71). These results are an important contribution to knowledge\nof levels of POPs levels in coastal Chilean environments. (C) 2013\nElsevier Ltd. All rights reserved.","author":[{"dropping-particle":"","family":"Pozo","given":"Karla","non-dropping-particle":"","parse-names":false,"suffix":""},{"dropping-particle":"","family":"Urrutia","given":"Roberto","non-dropping-particle":"","parse-names":false,"suffix":""},{"dropping-particle"</w:instrText>
      </w:r>
      <w:r w:rsidR="00317534" w:rsidRPr="00317534">
        <w:rPr>
          <w:lang w:val="nl-NL"/>
        </w:rPr>
        <w:instrText>:"","family":"Mariottini","given":"Michela","non-dropping-particle":"","parse-names":false,"suffix":""},{"dropping-particle":"","family":"Rudolph","given":"Anny","non-dropping-particle":"","parse-names":false,"suffix":""},{"dropping-particle":"","family":"Banguera","given":"Julieth","non-dropping-particle":"","parse-names":false,"suffix":""},{"dropping-particle":"","family":"Pozo","given":"Katerine","non-dropping-particle":"","parse-names":false,"suffix":""},{"dropping-particle":"","family":"Parra","given":"Oscar","non-dropping-particle":"","parse-names":false,"suffix":""},{"dropping-particle":"","family":"Focardi","given":"Silvano","non-dropping-particle":"","parse-names":false,"suffix":""}],"container-title":"MARINE POLLUTION BULLETIN","id":"ITEM-3","issue":"1-2","issued":{"date-parts":[["2014","2"]]},"page":"338-341","title":"Levels of Persistent Organic Pollutants (POPs) in sediments from Lenga estuary, central Chile","type":"article-journal","volume":"79"},"uris":["http://www.mendeley.com/documents/?uuid=930a8273-480a-46ea-aa78-9af62bd7b763"]}],"mendeley":{"formattedCitation":"(Bourgeon et al., 2012; Martínez-López et al., 2015; Pozo et al., 2014)","plainTextFormattedCitation":"(Bourgeon et al., 2012; Martínez-López et al., 2015; Pozo et al., 2014)","previouslyFormattedCitation":"(Bourgeon et al., 2012; Martínez-López et al., 2015; Pozo et al., 2014)"},"properties":{"noteIndex":0},"schema":"https://github.com/citation-style-language/schema/raw/master/csl-citation.json"}</w:instrText>
      </w:r>
      <w:r w:rsidR="00E27FBC">
        <w:fldChar w:fldCharType="separate"/>
      </w:r>
      <w:r w:rsidR="00317534" w:rsidRPr="00317534">
        <w:rPr>
          <w:noProof/>
          <w:lang w:val="nl-NL"/>
        </w:rPr>
        <w:t>(Bourgeon et al., 2012; Martínez-López et al., 2015; Pozo et al., 2014)</w:t>
      </w:r>
      <w:r w:rsidR="00E27FBC">
        <w:fldChar w:fldCharType="end"/>
      </w:r>
      <w:r w:rsidR="00D96881" w:rsidRPr="00317534">
        <w:rPr>
          <w:lang w:val="nl-NL"/>
        </w:rPr>
        <w:t xml:space="preserve">. </w:t>
      </w:r>
      <w:r w:rsidR="00D96881">
        <w:t xml:space="preserve">In this </w:t>
      </w:r>
      <w:r w:rsidR="00E27FBC">
        <w:t>manner</w:t>
      </w:r>
      <w:r w:rsidR="00D96881">
        <w:t xml:space="preserve"> birds</w:t>
      </w:r>
      <w:r w:rsidR="00F91D44">
        <w:t xml:space="preserve"> that migrate</w:t>
      </w:r>
      <w:r w:rsidR="00D96881">
        <w:t xml:space="preserve"> </w:t>
      </w:r>
      <w:r w:rsidR="00F91D44">
        <w:t>into and out of</w:t>
      </w:r>
      <w:r w:rsidR="00D96881">
        <w:t xml:space="preserve"> Antarctic</w:t>
      </w:r>
      <w:r w:rsidR="00F91D44">
        <w:t>a</w:t>
      </w:r>
      <w:r w:rsidR="00D96881">
        <w:t xml:space="preserve"> may be exposed to a wide spectrum of POPs, with both Antarctic as well as more Northerly</w:t>
      </w:r>
      <w:r w:rsidR="00CF2A48">
        <w:t xml:space="preserve"> </w:t>
      </w:r>
      <w:r w:rsidR="00D96881">
        <w:t>signature</w:t>
      </w:r>
      <w:r w:rsidR="00F91D44">
        <w:t>s</w:t>
      </w:r>
      <w:r w:rsidR="00B9649E">
        <w:t xml:space="preserve"> </w:t>
      </w:r>
      <w:r w:rsidR="00CA19B6">
        <w:fldChar w:fldCharType="begin" w:fldLock="1"/>
      </w:r>
      <w:r w:rsidR="00317534">
        <w:instrText>ADDIN CSL_CITATION {"citationItems":[{"id":"ITEM-1","itemData":{"ISBN":"9780521111799","abstract":"Originally published.","author":[{"dropping-particle":"","family":"Battaglia","given":"B. (Bruno)","non-dropping-particle":"","parse-names":false,"suffix":""},{"dropping-particle":"","family":"Valencia","given":"J. (José)","non-dropping-particle":"","parse-names":false,"suffix":""},{"dropping-particle":"","family":"Walton","given":"D. W. H.","non-dropping-particle":"","parse-names":false,"suffix":""}],"id":"ITEM-1","issued":{"date-parts":[["1997"]]},"number-of-pages":"464","publisher":"CAMBRIDGE UNIVERSITY PRESS, NEW YORK, NY (USA)","title":"Antarctic communities : species, structure and survival","type":"book"},"uris":["http://www.mendeley.com/documents/?uuid=9ef3b818-3a0f-3794-a585-d69057f2ef10"]}],"mendeley":{"formattedCitation":"(Battaglia et al., 1997)","plainTextFormattedCitation":"(Battaglia et al., 1997)","previouslyFormattedCitation":"(Battaglia et al., 1997)"},"properties":{"noteIndex":0},"schema":"https://github.com/citation-style-language/schema/raw/master/csl-citation.json"}</w:instrText>
      </w:r>
      <w:r w:rsidR="00CA19B6">
        <w:fldChar w:fldCharType="separate"/>
      </w:r>
      <w:r w:rsidR="00317534" w:rsidRPr="00317534">
        <w:rPr>
          <w:noProof/>
        </w:rPr>
        <w:t>(Battaglia et al., 1997)</w:t>
      </w:r>
      <w:r w:rsidR="00CA19B6">
        <w:fldChar w:fldCharType="end"/>
      </w:r>
      <w:r w:rsidR="00D96881">
        <w:t xml:space="preserve">. This has been shown for </w:t>
      </w:r>
      <w:r w:rsidR="00657939">
        <w:t xml:space="preserve">South Polar </w:t>
      </w:r>
      <w:r w:rsidR="00407134">
        <w:t>Skua</w:t>
      </w:r>
      <w:r w:rsidR="00124FAC">
        <w:t xml:space="preserve"> </w:t>
      </w:r>
      <w:r w:rsidR="00124FAC" w:rsidRPr="00624C40">
        <w:rPr>
          <w:i/>
        </w:rPr>
        <w:t>(Stercorarius maccormicki)</w:t>
      </w:r>
      <w:r w:rsidR="00D96881">
        <w:t xml:space="preserve"> </w:t>
      </w:r>
      <w:r w:rsidR="006A21EF">
        <w:fldChar w:fldCharType="begin" w:fldLock="1"/>
      </w:r>
      <w:r w:rsidR="00317534">
        <w:instrText>ADDIN CSL_CITATION {"citationItems":[{"id":"ITEM-1","itemData":{"DOI":"10.1016/S0048-9697(97)05440-5","ISSN":"00489697","author":[{"dropping-particle":"","family":"Brink","given":"N.W.","non-dropping-particle":"Van den","parse-names":false,"suffix":""}],"container-title":"Science of The Total Environment","id":"ITEM-1","issue":"1","issued":{"date-parts":[["1997","5"]]},"page":"43-50","title":"Directed transport of volatile organochlorine pollutants to polar regions: the effect on the contamination pattern of Antarctic seabirds","type":"article-journal","volume":"198"},"uris":["http://www.mendeley.com/documents/?uuid=f9aa376b-22a9-358c-b9e7-0b14386586b6"]},{"id":"ITEM-2","itemData":{"DOI":"10.1016/J.ENVRES.2016.04.005","ISSN":"0013-9351","abstract":"Studies on Persistent Organic Pollutants (POPs) in Antarctic wildlife are scarce, and usually limited to a single locality. As a result, wildlife exposure to POPs across the Southern Ocean is poorly understood. In this study, we report the differential exposure of the major southern ocean scavengers, the giant petrels, to POPs across a wide latitudinal gradient. Selected POPs (PCBs, HCB, DDTs, PBDEs) and related compounds, such as Dechlorane Plus (DP), were analyzed in plasma of southern giant petrels (Macronectes giganteus) breeding on Livingston (62°S 61°W, Antarctica), Marion (46°S 37°E, sub-Antarctic), and Gough (40°S 10°W, cool temperate) islands. Northern giant petrels (Macronectes halli) from Marion Island were also studied. Stable isotope ratios of C and N (δ13C and δ15N) were used as dietary tracers of the marine habitat and trophic level, respectively. Breeding locality was a major factor explaining petrel exposure to POPs compared with species and sex. Significant relationships between δ13C values and POP burdens, at both inter- and intra-population levels, support latitudinal variations in feeding grounds as a key factor in explaining petrel pollutant burdens. Overall, pollutant levels in giant petrels decreased significantly with latitude, but the relative abundance (%) of the more volatile POPs increased towards Antarctica. DP was found at negligible levels compared with legacy POPs in Antarctic seabirds. Spatial POP patterns found in giant petrels match those predicted by global distribution models, and reinforce the hypothesis of atmospheric long-range transport as the main source of POPs in Antarctica. Our results confirm that wildlife movements out of the polar region markedly increase their exposure to POPs. Therefore, strategies for Antarctic wildlife conservation should consider spatial heterogeneity in exposure to marine pollution. Of particular relevance is the need to clarify the exposure of Antarctic predators to emerging contaminants that are not yet globally regulated.","author":[{"dropping-particle":"","family":"Roscales","given":"Jose L.","non-dropping-particle":"","parse-names":false,"suffix":""},{"dropping-particle":"","family":"González-Solís","given":"Jacob","non-dropping-particle":"","parse-names":false,"suffix":""},{"dropping-particle":"","family":"Zango","given":"Laura","non-dropping-particle":"","parse-names":false,"suffix":""},{"dropping-particle":"","family":"Ryan","given":"Peter G.","non-dropping-particle":"","parse-names":false,"suffix":""},{"dropping-particle":"","family":"Jiménez","given":"Begoña","non-dropping-particle":"","parse-names":false,"suffix":""}],"container-title":"Environmental Research","id":"ITEM-2","issued":{"date-parts":[["2016","7","1"]]},"page":"285-294","publisher":"Academic Press","title":"Latitudinal exposure to DDTs, HCB, PCBs, PBDEs and DP in giant petrels (Macronectes spp.) across the Southern Ocean","type":"article-journal","volume":"148"},"uris":["http://www.mendeley.com/documents/?uuid=83f4bfee-8909-3fe9-98b7-2c08f915a6dc"]},{"id":"ITEM-3","itemData":{"DOI":"10.1016/J.ENVPOL.2017.05.053","ISSN":"0269-7491","abstract":"Seabirds integrate bioaccumulative contaminants via food intake and have revealed geographical trends of contamination in a variety of ecosystems. Pre-fledging seabird chicks are particularly interesting as bioindicators of chemical contamination, because concentrations in their tissues reflect primarily dietary sources from the local environment. Here we measured 14 trace elements and 18 persistent organic pollutants (POPs) in blood of chicks of skuas that breed in four sites encompassing a large latitudinal range within the southern Indian Ocean, from Antarctica (Adélie Land, south polar skua Catharacta maccormicki), through subantarctic areas (Crozet and Kerguelen Islands, brown skua C. lonnbergi), to the subtropics (Amsterdam Island, C. lonnbergi). Stables isotopes of carbon (δ13C, feeding habitat) and nitrogen (δ15N, trophic position) were also measured to control for the influence of feeding habits on contaminant burdens. Concentrations of mercury (Hg) and selenium (Se) were very high at all the four sites, with Amsterdam birds having the highest concentrations ever reported in chicks worldwide (4.0 ± 0.8 and 646 ± 123 μg g−1 dry weight, respectively). Blood Hg concentrations showed a clear latitudinal pattern, increasing from chicks in Antarctica to chicks in the subantarctic and subtropical islands. Interestingly, blood Se concentrations showed similar between-population differences to Hg, suggesting its involvement in protective mechanisms against Hg toxicity. Chicks’ POPs pattern was largely dominated by organochlorine pesticides, in particular DDT metabolites and hexachlorobenzene (HCB). Skua chicks from subantarctic islands presented high concentrations and diversity of POPs. By contrast, chicks from the Antarctic site overall had the lowest concentrations and diversity of both metallic and organic contaminants, with the exception of HCB and arsenic. Skua populations from these sites, being naturally exposed to different quantities of contaminants, are potentially good models for testing toxic effects in developing chicks in the wild.","author":[{"dropping-particle":"","family":"Carravieri","given":"Alice","non-dropping-particle":"","parse-names":false,"suffix":""},{"dropping-particle":"","family":"Cherel","given":"Yves","non-dropping-particle":"","parse-names":false,"suffix":""},{"dropping-particle":"","family":"Brault-Favrou","given":"Maud","non-dropping-particle":"","parse-names":false,"suffix":""},{"dropping-particle":"","family":"Churlaud","given":"Carine","non-dropping-particle":"","parse-names":false,"suffix":""},{"dropping-particle":"","family":"Peluhet","given":"Laurent","non-dropping-particle":"","parse-names":false,"suffix":""},{"dropping-particle":"","family":"Labadie","given":"Pierre","non-dropping-particle":"","parse-names":false,"suffix":""},{"dropping-particle":"","family":"Budzinski","given":"Hélène","non-dropping-particle":"","parse-names":false,"suffix":""},{"dropping-particle":"","family":"Chastel","given":"Olivier","non-dropping-particle":"","parse-names":false,"suffix":""},{"dropping-particle":"","family":"Bustamante","given":"Paco","non-dropping-particle":"","parse-names":false,"suffix":""}],"container-title":"Environmental Pollution","id":"ITEM-3","issued":{"date-parts":[["2017","9","1"]]},"page":"464-473","publisher":"Elsevier","title":"From Antarctica to the subtropics: Contrasted geographical concentrations of selenium, mercury, and persistent organic pollutants in skua chicks (Catharacta spp.)","type":"article-journal","volume":"228"},"uris":["http://www.mendeley.com/documents/?uuid=9f336c96-b9bd-36ee-a4c9-4ebf6cda901a"]},{"id":"ITEM-4","itemData":{"DOI":"10.1016/j.envint.2011.05.017","ISSN":"01604120","author":[{"dropping-particle":"","family":"Corsolini","given":"Simonetta","non-dropping-particle":"","parse-names":false,"suffix":""},{"dropping-particle":"","family":"Borghesi","given":"Nicoletta","non-dropping-particle":"","parse-names":false,"suffix":""},{"dropping-particle":"","family":"Ademollo","given":"Nicoletta","non-dropping-particle":"","parse-names":false,"suffix":""},{"dropping-particle":"","family":"Focardi","given":"Silvano","non-dropping-particle":"","parse-names":false,"suffix":""}],"container-title":"Environment International","id":"ITEM-4","issue":"8","issued":{"date-parts":[["2011","11"]]},"page":"1329-1335","title":"Chlorinated biphenyls and pesticides in migrating and resident seabirds from East and West Antarctica","type":"article-journal","volume":"37"},"uris":["http://www.mendeley.com/documents/?uuid=eb72d211-3a78-3829-a957-0569e7fd8dbe"]},{"id":"ITEM-5","itemData":{"DOI":"10.1016/0141-1136(92)90108-X","ISSN":"01411136","author":[{"dropping-particle":"","family":"Focardi","given":"Silvano","non-dropping-particle":"","parse-names":false,"suffix":""},{"dropping-particle":"","family":"Fossi","given":"M.C.","non-dropping-particle":"","parse-names":false,"suffix":""},{"dropping-particle":"","family":"Leonzio","given":"C.","non-dropping-particle":"","parse-names":false,"suffix":""},{"dropping-particle":"","family":"Lari","given":"L.","non-dropping-particle":"","parse-names":false,"suffix":""},{"dropping-particle":"","family":"Marsili","given":"L.","non-dropping-particle":"","parse-names":false,"suffix":""},{"dropping-particle":"","family":"Court","given":"G.S.","non-dropping-particle":"","parse-names":false,"suffix":""},{"dropping-particle":"","family":"Davis","given":"L.S.","non-dropping-particle":"","parse-names":false,"suffix":""}],"container-title":"Marine Environmental Research","id":"ITEM-5","issue":"1-4","issued":{"date-parts":[["1992","1"]]},"page":"201-205","title":"Mixed function oxidase activity and chlorinated hydrocarbon residues in antarctic sea birds: South polar skua (Catharacta maccormicki) and adélie penguin (Pygoscelis adeliae)","type":"article-journal","volume":"34"},"uris":["http://www.mendeley.com/documents/?uuid=46201eca-25c9-3805-a6a2-bb6de84b60a0"]},{"id":"ITEM-6","itemData":{"DOI":"10.1016/j.scitotenv.2016.07.080","ISSN":"00489697","author":[{"dropping-particle":"V.","family":"Mello","given":"Flávia","non-dropping-particle":"","parse-names":false,"suffix":""},{"dropping-particle":"","family":"Roscales","given":"Jose L.","non-dropping-particle":"","parse-names":false,"suffix":""},{"dropping-particle":"","family":"Guida","given":"Yago S.","non-dropping-particle":"","parse-names":false,"suffix":""},{"dropping-particle":"","family":"Menezes","given":"Jorge F.S.","non-dropping-particle":"","parse-names":false,"suffix":""},{"dropping-particle":"","family":"Vicente","given":"Alba","non-dropping-particle":"","parse-names":false,"suffix":""},{"dropping-particle":"","family":"Costa","given":"Erli S.","non-dropping-particle":"","parse-names":false,"suffix":""},{"dropping-particle":"","family":"Jiménez","given":"Begoña","non-dropping-particle":"","parse-names":false,"suffix":""},{"dropping-particle":"","family":"Torres","given":"João Paulo M.","non-dropping-particle":"","parse-names":false,"suffix":""}],"container-title":"Science of The Total Environment","id":"ITEM-6","issued":{"date-parts":[["2016","12"]]},"page":"1380-1389","title":"Relationship between legacy and emerging organic pollutants in Antarctic seabirds and their foraging ecology as shown by δ 13 C and δ 15 N","type":"article-journal","volume":"573"},"uris":["http://www.mendeley.com/documents/?uuid=69693526-8fa9-3596-a685-a5f2684b41e3"]}],"mendeley":{"formattedCitation":"(Carravieri et al., 2017; Corsolini et al., 2011; Focardi et al., 1992; Mello et al., 2016; Roscales et al., 2016; Van den Brink, 1997)","plainTextFormattedCitation":"(Carravieri et al., 2017; Corsolini et al., 2011; Focardi et al., 1992; Mello et al., 2016; Roscales et al., 2016; Van den Brink, 1997)","previouslyFormattedCitation":"(Carravieri et al., 2017; Corsolini et al., 2011; Focardi et al., 1992; Mello et al., 2016; Roscales et al., 2016; Van den Brink, 1997)"},"properties":{"noteIndex":0},"schema":"https://github.com/citation-style-language/schema/raw/master/csl-citation.json"}</w:instrText>
      </w:r>
      <w:r w:rsidR="006A21EF">
        <w:fldChar w:fldCharType="separate"/>
      </w:r>
      <w:r w:rsidR="00317534" w:rsidRPr="00317534">
        <w:rPr>
          <w:noProof/>
        </w:rPr>
        <w:t>(Carravieri et al., 2017; Corsolini et al., 2011; Focardi et al., 1992; Mello et al., 2016; Roscales et al., 2016)</w:t>
      </w:r>
      <w:r w:rsidR="006A21EF">
        <w:fldChar w:fldCharType="end"/>
      </w:r>
      <w:r w:rsidR="00D96881">
        <w:t xml:space="preserve"> However, little information is available on the exposure </w:t>
      </w:r>
      <w:r w:rsidR="00173EA5">
        <w:t>of related</w:t>
      </w:r>
      <w:r w:rsidR="00D96881">
        <w:t xml:space="preserve"> </w:t>
      </w:r>
      <w:r w:rsidR="006A21EF">
        <w:t xml:space="preserve">migrating </w:t>
      </w:r>
      <w:r w:rsidR="00D96881">
        <w:t>specie</w:t>
      </w:r>
      <w:r w:rsidR="006A21EF">
        <w:t>s</w:t>
      </w:r>
      <w:r w:rsidR="00D96881">
        <w:t xml:space="preserve">, </w:t>
      </w:r>
      <w:r w:rsidR="00787393">
        <w:t xml:space="preserve">one of them being </w:t>
      </w:r>
      <w:r w:rsidR="00D96881">
        <w:t>the Kelp gull (</w:t>
      </w:r>
      <w:r w:rsidR="00D96881">
        <w:rPr>
          <w:i/>
        </w:rPr>
        <w:t>Larus dominicanus</w:t>
      </w:r>
      <w:r w:rsidR="00D96881">
        <w:t xml:space="preserve">). </w:t>
      </w:r>
    </w:p>
    <w:p w14:paraId="04B337D0" w14:textId="4BC069AE" w:rsidR="00BE1C43" w:rsidRDefault="00E02605" w:rsidP="00E02605">
      <w:pPr>
        <w:widowControl w:val="0"/>
        <w:autoSpaceDE w:val="0"/>
        <w:autoSpaceDN w:val="0"/>
        <w:adjustRightInd w:val="0"/>
        <w:spacing w:line="360" w:lineRule="auto"/>
      </w:pPr>
      <w:r>
        <w:t xml:space="preserve">South </w:t>
      </w:r>
      <w:r w:rsidR="00970D61">
        <w:t xml:space="preserve">Polar </w:t>
      </w:r>
      <w:r w:rsidR="00407134">
        <w:t>Skua</w:t>
      </w:r>
      <w:r w:rsidR="00B86FCC">
        <w:t xml:space="preserve">s </w:t>
      </w:r>
      <w:r w:rsidRPr="00E02605">
        <w:rPr>
          <w:lang w:val="en"/>
        </w:rPr>
        <w:t>(</w:t>
      </w:r>
      <w:r w:rsidRPr="00E02605">
        <w:rPr>
          <w:i/>
          <w:iCs/>
          <w:lang w:val="en"/>
        </w:rPr>
        <w:t>C</w:t>
      </w:r>
      <w:r w:rsidR="00657939">
        <w:rPr>
          <w:i/>
          <w:iCs/>
          <w:lang w:val="en"/>
        </w:rPr>
        <w:t>.</w:t>
      </w:r>
      <w:r w:rsidRPr="00E02605">
        <w:rPr>
          <w:i/>
          <w:iCs/>
          <w:lang w:val="en"/>
        </w:rPr>
        <w:t xml:space="preserve"> maccormicki</w:t>
      </w:r>
      <w:r w:rsidRPr="00E02605">
        <w:t>)</w:t>
      </w:r>
      <w:r>
        <w:t xml:space="preserve"> </w:t>
      </w:r>
      <w:r w:rsidR="00B86FCC">
        <w:t xml:space="preserve">and kelp gulls </w:t>
      </w:r>
      <w:r w:rsidRPr="00E02605">
        <w:t>(</w:t>
      </w:r>
      <w:r w:rsidRPr="00E02605">
        <w:rPr>
          <w:i/>
          <w:iCs/>
        </w:rPr>
        <w:t>L</w:t>
      </w:r>
      <w:r w:rsidR="00657939">
        <w:rPr>
          <w:i/>
          <w:iCs/>
        </w:rPr>
        <w:t>.</w:t>
      </w:r>
      <w:r w:rsidRPr="00E02605">
        <w:rPr>
          <w:i/>
          <w:iCs/>
        </w:rPr>
        <w:t xml:space="preserve"> dominicanus</w:t>
      </w:r>
      <w:r w:rsidRPr="00E02605">
        <w:t>)</w:t>
      </w:r>
      <w:r>
        <w:t xml:space="preserve"> </w:t>
      </w:r>
      <w:r w:rsidR="00B86FCC">
        <w:t xml:space="preserve">are two </w:t>
      </w:r>
      <w:r>
        <w:t>species</w:t>
      </w:r>
      <w:r w:rsidR="00B86FCC">
        <w:t xml:space="preserve"> of</w:t>
      </w:r>
      <w:r w:rsidR="00F83DF2">
        <w:t xml:space="preserve"> </w:t>
      </w:r>
      <w:r w:rsidR="00B86FCC">
        <w:t xml:space="preserve">migratory </w:t>
      </w:r>
      <w:r>
        <w:t>seabirds</w:t>
      </w:r>
      <w:r w:rsidR="00F83DF2">
        <w:t xml:space="preserve"> that nest around the </w:t>
      </w:r>
      <w:r w:rsidR="00BA1251">
        <w:t xml:space="preserve">whole Antarctic continent, including the </w:t>
      </w:r>
      <w:r w:rsidR="00F83DF2">
        <w:t xml:space="preserve">Western Antarctic Peninsula </w:t>
      </w:r>
      <w:r w:rsidR="00924F9F">
        <w:t>during austral</w:t>
      </w:r>
      <w:r w:rsidR="00F83DF2">
        <w:t xml:space="preserve"> </w:t>
      </w:r>
      <w:r w:rsidR="00924F9F">
        <w:t>summer.</w:t>
      </w:r>
      <w:r w:rsidR="00E12549">
        <w:t xml:space="preserve"> The </w:t>
      </w:r>
      <w:r w:rsidR="00970D61">
        <w:t xml:space="preserve">South Polar </w:t>
      </w:r>
      <w:r w:rsidR="00407134">
        <w:t>Skua</w:t>
      </w:r>
      <w:r>
        <w:t xml:space="preserve"> (</w:t>
      </w:r>
      <w:r w:rsidR="00231362">
        <w:t>widely hybridised with the brown</w:t>
      </w:r>
      <w:r>
        <w:t xml:space="preserve"> </w:t>
      </w:r>
      <w:r w:rsidR="00407134">
        <w:t>Skua</w:t>
      </w:r>
      <w:r w:rsidR="00040245">
        <w:t xml:space="preserve"> </w:t>
      </w:r>
      <w:r w:rsidR="00657939">
        <w:t>(</w:t>
      </w:r>
      <w:r w:rsidR="00040245" w:rsidRPr="00040245">
        <w:rPr>
          <w:i/>
        </w:rPr>
        <w:t>Stercorarius antarcticus</w:t>
      </w:r>
      <w:r w:rsidR="00657939">
        <w:rPr>
          <w:i/>
        </w:rPr>
        <w:t>)</w:t>
      </w:r>
      <w:r w:rsidR="00B9649E">
        <w:rPr>
          <w:i/>
        </w:rPr>
        <w:t xml:space="preserve"> </w:t>
      </w:r>
      <w:r w:rsidR="00040245">
        <w:rPr>
          <w:i/>
        </w:rPr>
        <w:fldChar w:fldCharType="begin" w:fldLock="1"/>
      </w:r>
      <w:r w:rsidR="00317534">
        <w:rPr>
          <w:i/>
        </w:rPr>
        <w:instrText>ADDIN CSL_CITATION {"citationItems":[{"id":"ITEM-1","itemData":{"DOI":"10.1007/s00300-005-0034-0","ISSN":"0722-4060","author":[{"dropping-particle":"","family":"Ritz","given":"Markus S.","non-dropping-particle":"","parse-names":false,"suffix":""},{"dropping-particle":"","family":"Hahn","given":"Steffen","non-dropping-particle":"","parse-names":false,"suffix":""},{"dropping-particle":"","family":"Janicke","given":"Tim","non-dropping-particle":"","parse-names":false,"suffix":""},{"dropping-particle":"","family":"Peter","given":"Hans-Ulrich","non-dropping-particle":"","parse-names":false,"suffix":""}],"container-title":"Polar Biology","id":"ITEM-1","issue":"3","issued":{"date-parts":[["2006","2","22"]]},"page":"153-159","publisher":"Springer-Verlag","title":"Hybridisation between South polar skua (Catharacta maccormicki) and Brown skua (C. antarctica lonnbergi) in the Antarctic Peninsula region","type":"article-journal","volume":"29"},"uris":["http://www.mendeley.com/documents/?uuid=6a8f3de1-1691-3630-9167-84e79edf9111"]}],"mendeley":{"formattedCitation":"(Ritz et al., 2006)","plainTextFormattedCitation":"(Ritz et al., 2006)","previouslyFormattedCitation":"(Ritz et al., 2006)"},"properties":{"noteIndex":0},"schema":"https://github.com/citation-style-language/schema/raw/master/csl-citation.json"}</w:instrText>
      </w:r>
      <w:r w:rsidR="00040245">
        <w:rPr>
          <w:i/>
        </w:rPr>
        <w:fldChar w:fldCharType="separate"/>
      </w:r>
      <w:r w:rsidR="00317534" w:rsidRPr="00317534">
        <w:rPr>
          <w:noProof/>
        </w:rPr>
        <w:t>(Ritz et al., 2006)</w:t>
      </w:r>
      <w:r w:rsidR="00040245">
        <w:rPr>
          <w:i/>
        </w:rPr>
        <w:fldChar w:fldCharType="end"/>
      </w:r>
      <w:r>
        <w:t>)</w:t>
      </w:r>
      <w:r w:rsidR="00231362">
        <w:t xml:space="preserve"> </w:t>
      </w:r>
      <w:r w:rsidR="00BD6CDF">
        <w:t>may</w:t>
      </w:r>
      <w:r w:rsidR="00E12549">
        <w:t xml:space="preserve"> be found almost everywhere around Antarctic</w:t>
      </w:r>
      <w:r w:rsidR="00A87F7D">
        <w:t>a</w:t>
      </w:r>
      <w:r w:rsidR="00E12549">
        <w:t>, but in the same time can commence a trans-equatorial migration when foraging</w:t>
      </w:r>
      <w:r w:rsidR="00B9649E">
        <w:t xml:space="preserve"> </w:t>
      </w:r>
      <w:r w:rsidR="00040245">
        <w:fldChar w:fldCharType="begin" w:fldLock="1"/>
      </w:r>
      <w:r w:rsidR="00317534">
        <w:instrText>ADDIN CSL_CITATION {"citationItems":[{"id":"ITEM-1","itemData":{"DOI":"10.2307/4085492","ISSN":"00048038","author":[{"dropping-particle":"","family":"Trillmich","given":"Fritz","non-dropping-particle":"","parse-names":false,"suffix":""}],"container-title":"The Auk","id":"ITEM-1","issue":"1","issued":{"date-parts":[["1978","1"]]},"page":"23-33","title":"Feeding Territories and Breeding Success of South Polar Skuas","type":"article-journal","volume":"95"},"uris":["http://www.mendeley.com/documents/?uuid=53be2c72-f82a-36cc-adf1-7f4651765b06"]},{"id":"ITEM-2","itemData":{"DOI":"10.1007/s00265-007-0543-7","ISSN":"0340-5443","author":[{"dropping-particle":"","family":"Hahn","given":"Steffen","non-dropping-particle":"","parse-names":false,"suffix":""},{"dropping-particle":"","family":"Bauer","given":"Silke","non-dropping-particle":"","parse-names":false,"suffix":""}],"container-title":"Behavioral Ecology and Sociobiology","id":"ITEM-2","issue":"7","issued":{"date-parts":[["2008","5","10"]]},"page":"1149-1157","publisher":"Springer-Verlag","title":"Dominance in feeding territories relates to foraging success and offspring growth in brown skuas Catharacta antarctica lonnbergi","type":"article-journal","volume":"62"},"uris":["http://www.mendeley.com/documents/?uuid=87c1fe5f-fd16-349b-8901-dd435c52cecc"]}],"mendeley":{"formattedCitation":"(Hahn and Bauer, 2008; Trillmich, 1978)","plainTextFormattedCitation":"(Hahn and Bauer, 2008; Trillmich, 1978)","previouslyFormattedCitation":"(Hahn and Bauer, 2008; Trillmich, 1978)"},"properties":{"noteIndex":0},"schema":"https://github.com/citation-style-language/schema/raw/master/csl-citation.json"}</w:instrText>
      </w:r>
      <w:r w:rsidR="00040245">
        <w:fldChar w:fldCharType="separate"/>
      </w:r>
      <w:r w:rsidR="00317534" w:rsidRPr="00317534">
        <w:rPr>
          <w:noProof/>
        </w:rPr>
        <w:t>(Hahn and Bauer, 2008; Trillmich, 1978)</w:t>
      </w:r>
      <w:r w:rsidR="00040245">
        <w:fldChar w:fldCharType="end"/>
      </w:r>
      <w:r w:rsidR="00E12549">
        <w:t xml:space="preserve">. The exact patterns of </w:t>
      </w:r>
      <w:r w:rsidR="00BD6CDF">
        <w:t>its</w:t>
      </w:r>
      <w:r w:rsidR="00E12549">
        <w:t xml:space="preserve"> migration have been investigated in detail</w:t>
      </w:r>
      <w:r w:rsidR="00B9649E">
        <w:t xml:space="preserve"> </w:t>
      </w:r>
      <w:r>
        <w:fldChar w:fldCharType="begin" w:fldLock="1"/>
      </w:r>
      <w:r w:rsidR="00317534">
        <w:instrText>ADDIN CSL_CITATION {"citationItems":[{"id":"ITEM-1","itemData":{"DOI":"10.3354/meps09229","ISSN":"0171-8630","author":[{"dropping-particle":"","family":"Kopp","given":"M","non-dropping-particle":"","parse-names":false,"suffix":""},{"dropping-particle":"","family":"Peter","given":"HU","non-dropping-particle":"","parse-names":false,"suffix":""},{"dropping-particle":"","family":"Mustafa","given":"O","non-dropping-particle":"","parse-names":false,"suffix":""},{"dropping-particle":"","family":"Lisovski","given":"S","non-dropping-particle":"","parse-names":false,"suffix":""},{"dropping-particle":"","family":"Ritz","given":"MS","non-dropping-particle":"","parse-names":false,"suffix":""},{"dropping-particle":"","family":"Phillips","given":"RA","non-dropping-particle":"","parse-names":false,"suffix":""},{"dropping-particle":"","family":"Hahn","given":"S","non-dropping-particle":"","parse-names":false,"suffix":""}],"container-title":"Marine Ecology Progress Series","id":"ITEM-1","issued":{"date-parts":[["2011","8","22"]]},"page":"263-267","title":"South polar skuas from a single breeding population overwinter in different oceans though show similar migration patterns","type":"article-journal","volume":"435"},"uris":["http://www.mendeley.com/documents/?uuid=45b7d745-2ac2-3dc7-99db-276fcab59d37"]}],"mendeley":{"formattedCitation":"(Kopp et al., 2011)","plainTextFormattedCitation":"(Kopp et al., 2011)","previouslyFormattedCitation":"(Kopp et al., 2011)"},"properties":{"noteIndex":0},"schema":"https://github.com/citation-style-language/schema/raw/master/csl-citation.json"}</w:instrText>
      </w:r>
      <w:r>
        <w:fldChar w:fldCharType="separate"/>
      </w:r>
      <w:r w:rsidR="00317534" w:rsidRPr="00317534">
        <w:rPr>
          <w:noProof/>
        </w:rPr>
        <w:t>(Kopp et al., 2011)</w:t>
      </w:r>
      <w:r>
        <w:fldChar w:fldCharType="end"/>
      </w:r>
      <w:r w:rsidR="00E12549">
        <w:t xml:space="preserve">. </w:t>
      </w:r>
      <w:r w:rsidR="00407134">
        <w:t>Kelp</w:t>
      </w:r>
      <w:r w:rsidR="00E12549">
        <w:t xml:space="preserve"> gulls are less inclined towards very long haul migration than </w:t>
      </w:r>
      <w:r w:rsidR="00407134">
        <w:t>Skua</w:t>
      </w:r>
      <w:r w:rsidR="00E12549">
        <w:t xml:space="preserve">s, but </w:t>
      </w:r>
      <w:r w:rsidR="00BA1251">
        <w:t>can move all around the Sub-Antarctic islands and</w:t>
      </w:r>
      <w:r w:rsidR="00E12549">
        <w:t xml:space="preserve"> South America</w:t>
      </w:r>
      <w:r w:rsidR="00B9649E">
        <w:t xml:space="preserve"> </w:t>
      </w:r>
      <w:r w:rsidR="00040245">
        <w:fldChar w:fldCharType="begin" w:fldLock="1"/>
      </w:r>
      <w:r w:rsidR="00317534">
        <w:instrText>ADDIN CSL_CITATION {"citationItems":[{"id":"ITEM-1","itemData":{"ISBN":"0395602912","author":[{"dropping-particle":"","family":"Harrison","given":"Peter.","non-dropping-particle":"","parse-names":false,"suffix":""}],"id":"ITEM-1","issued":{"date-parts":[["1991"]]},"publisher":"Houghton Mifflin","title":"Seabirds : an indentification guide.","type":"book"},"uris":["http://www.mendeley.com/documents/?uuid=4e79df62-777d-3dde-b980-0a16e5ae1cdd"]},{"id":"ITEM-2","itemData":{"DOI":"10.2307/1370066","ISSN":"00105422","abstract":"The Kelp Gull (Larus dominicanus) is an abundant and widely distributed species in coastal Patagonia, and has increased in number at many locations during the last decade. We present comparative information on diet composition between locations and diet variation throughout the breeding cycle at three Provincial Wildlife Reserves (Punta Pirámide, Punta León, and Punta Tombo), Chubut, Patagonia. We analyzed diet using regurgitated pellets. A total of 41 types of prey were identified at the three colonies. Kelp Gulls fed throughout the season mostly on intertidal invertebrates, although fish also was an important diet component, mainly during the chick stage. The diet also included garbage, insects, and other seabird offspring. Of all types of prey, 70.7% were common to the three locations, although the pattern of consumption of the main food categories differed among locations. The average consumption of garbage differed significantly among locations, with larger amounts of garbage in the diet the closer the colony to the nearest landfill. Kelp Gulls showed a marked seasonal variation in the consumption of the main food types. At Punta Tombo and Punta León, there was a change from a mostly marine invertebrate diet during the pre-laying and incubation stages to a mainly fish diet during the chick stage. The consumption of the main food categories was significantly different between seasons at Punta Pirámide but was similar at the other two colonies.","author":[{"dropping-particle":"","family":"Bertellotti","given":"Marcelo","non-dropping-particle":"","parse-names":false,"suffix":""},{"dropping-particle":"","family":"Yorio","given":"Pablo","non-dropping-particle":"","parse-names":false,"suffix":""}],"container-title":"The Condor","id":"ITEM-2","issue":"4","issued":{"date-parts":[["1999","11"]]},"page":"790-798","publisher":"American Ornithological Society","title":"Spatial and Temporal Patterns in the Diet of the Kelp Gull in Patagonia","type":"article-journal","volume":"101"},"uris":["http://www.mendeley.com/documents/?uuid=c3f22941-9ae5-3d5e-9cf7-ebedb1200ae2"]}],"mendeley":{"formattedCitation":"(Bertellotti and Yorio, 1999; Harrison, 1991)","plainTextFormattedCitation":"(Bertellotti and Yorio, 1999; Harrison, 1991)","previouslyFormattedCitation":"(Bertellotti and Yorio, 1999; Harrison, 1991)"},"properties":{"noteIndex":0},"schema":"https://github.com/citation-style-language/schema/raw/master/csl-citation.json"}</w:instrText>
      </w:r>
      <w:r w:rsidR="00040245">
        <w:fldChar w:fldCharType="separate"/>
      </w:r>
      <w:r w:rsidR="00317534" w:rsidRPr="00317534">
        <w:rPr>
          <w:noProof/>
        </w:rPr>
        <w:t>(Bertellotti and Yorio, 1999; Harrison, 1991)</w:t>
      </w:r>
      <w:r w:rsidR="00040245">
        <w:fldChar w:fldCharType="end"/>
      </w:r>
      <w:r w:rsidR="00E12549">
        <w:t xml:space="preserve">. </w:t>
      </w:r>
      <w:r w:rsidR="00E81747">
        <w:t xml:space="preserve">These reports indicate that </w:t>
      </w:r>
      <w:r w:rsidR="00407134">
        <w:t>Skua</w:t>
      </w:r>
      <w:r w:rsidR="00B26403">
        <w:t xml:space="preserve">s and </w:t>
      </w:r>
      <w:r w:rsidR="00407134">
        <w:t>Kelp</w:t>
      </w:r>
      <w:r w:rsidR="00BD6CDF">
        <w:t xml:space="preserve"> </w:t>
      </w:r>
      <w:r w:rsidR="00B26403">
        <w:t>gulls demonstrate consistent migration patterns on both populational and individual scales</w:t>
      </w:r>
      <w:r w:rsidR="00B9649E">
        <w:t xml:space="preserve"> </w:t>
      </w:r>
      <w:r w:rsidR="0031742F">
        <w:fldChar w:fldCharType="begin" w:fldLock="1"/>
      </w:r>
      <w:r w:rsidR="00317534">
        <w:instrText>ADDIN CSL_CITATION {"citationItems":[{"id":"ITEM-1","itemData":{"DOI":"10.3354/meps11932","ISSN":"0171-8630","author":[{"dropping-particle":"","family":"Krietsch","given":"J","non-dropping-particle":"","parse-names":false,"suffix":""},{"dropping-particle":"","family":"Hahn","given":"S","non-dropping-particle":"","parse-names":false,"suffix":""},{"dropping-particle":"","family":"Kopp","given":"M","non-dropping-particle":"","parse-names":false,"suffix":""},{"dropping-particle":"","family":"Phillips","given":"RA","non-dropping-particle":"","parse-names":false,"suffix":""},{"dropping-particle":"","family":"Peter","given":"HU","non-dropping-particle":"","parse-names":false,"suffix":""},{"dropping-particle":"","family":"Lisovski","given":"S","non-dropping-particle":"","parse-names":false,"suffix":""}],"container-title":"Marine Ecology Progress Series","id":"ITEM-1","issued":{"date-parts":[["2017","8","31"]]},"page":"213-225","title":"Consistent variation in individual migration strategies of brown skuas","type":"article-journal","volume":"578"},"uris":["http://www.mendeley.com/documents/?uuid=a68af6fe-7f9a-3913-a9f4-66615652401a"]}],"mendeley":{"formattedCitation":"(Krietsch et al., 2017)","plainTextFormattedCitation":"(Krietsch et al., 2017)","previouslyFormattedCitation":"(Krietsch et al., 2017)"},"properties":{"noteIndex":0},"schema":"https://github.com/citation-style-language/schema/raw/master/csl-citation.json"}</w:instrText>
      </w:r>
      <w:r w:rsidR="0031742F">
        <w:fldChar w:fldCharType="separate"/>
      </w:r>
      <w:r w:rsidR="00B9649E" w:rsidRPr="00B9649E">
        <w:rPr>
          <w:noProof/>
        </w:rPr>
        <w:t>(Krietsch et al., 2017)</w:t>
      </w:r>
      <w:r w:rsidR="0031742F">
        <w:fldChar w:fldCharType="end"/>
      </w:r>
      <w:r w:rsidR="00B26403">
        <w:t xml:space="preserve">. </w:t>
      </w:r>
      <w:r w:rsidR="00F91D44">
        <w:t>T</w:t>
      </w:r>
      <w:r w:rsidR="00B26403">
        <w:t xml:space="preserve">hey </w:t>
      </w:r>
      <w:r w:rsidR="00F91D44">
        <w:t>have both been shown to be</w:t>
      </w:r>
      <w:r w:rsidR="00B26403">
        <w:t xml:space="preserve"> highly affected by global climate change</w:t>
      </w:r>
      <w:r w:rsidR="00B9649E">
        <w:t xml:space="preserve"> </w:t>
      </w:r>
      <w:r w:rsidR="00BD6CDF">
        <w:fldChar w:fldCharType="begin" w:fldLock="1"/>
      </w:r>
      <w:r w:rsidR="00317534">
        <w:instrText>ADDIN CSL_CITATION {"citationItems":[{"id":"ITEM-1","itemData":{"DOI":"10.1007/s003000000193","ISSN":"0722-4060","author":[{"dropping-particle":"","family":"Micol","given":"T.","non-dropping-particle":"","parse-names":false,"suffix":""},{"dropping-particle":"","family":"Jouventin","given":"P.","non-dropping-particle":"","parse-names":false,"suffix":""}],"container-title":"Polar Biology","id":"ITEM-1","issue":"3","issued":{"date-parts":[["2001","2","26"]]},"page":"175-185","title":"Long-term population trends in seven Antarctic seabirds at Pointe Géologie (Terre Adélie)","type":"article-journal","volume":"24"},"uris":["http://www.mendeley.com/documents/?uuid=f0124a39-d6c4-3d96-90f2-91b4a775ee16"]}],"mendeley":{"formattedCitation":"(Micol and Jouventin, 2001)","plainTextFormattedCitation":"(Micol and Jouventin, 2001)","previouslyFormattedCitation":"(Micol and Jouventin, 2001)"},"properties":{"noteIndex":0},"schema":"https://github.com/citation-style-language/schema/raw/master/csl-citation.json"}</w:instrText>
      </w:r>
      <w:r w:rsidR="00BD6CDF">
        <w:fldChar w:fldCharType="separate"/>
      </w:r>
      <w:r w:rsidR="00317534" w:rsidRPr="00317534">
        <w:rPr>
          <w:noProof/>
        </w:rPr>
        <w:t>(Micol and Jouventin, 2001)</w:t>
      </w:r>
      <w:r w:rsidR="00BD6CDF">
        <w:fldChar w:fldCharType="end"/>
      </w:r>
      <w:r w:rsidR="00B26403">
        <w:t>, and established migration routes are</w:t>
      </w:r>
      <w:r w:rsidR="00F91D44">
        <w:t xml:space="preserve"> therefore </w:t>
      </w:r>
      <w:r w:rsidR="00B26403">
        <w:t>likely to change, or even cease to exist</w:t>
      </w:r>
      <w:r w:rsidR="00B9649E">
        <w:t xml:space="preserve"> </w:t>
      </w:r>
      <w:r w:rsidR="0031742F">
        <w:fldChar w:fldCharType="begin" w:fldLock="1"/>
      </w:r>
      <w:r w:rsidR="00317534">
        <w:instrText>ADDIN CSL_CITATION {"citationItems":[{"id":"ITEM-1","itemData":{"DOI":"10.1111/gcb.12623","ISSN":"13541013","author":[{"dropping-particle":"","family":"Constable","given":"Andrew J.","non-dropping-particle":"","parse-names":false,"suffix":""},{"dropping-particle":"","family":"Melbourne-Thomas","given":"Jessica","non-dropping-particle":"","parse-names":false,"suffix":""},{"dropping-particle":"","family":"Corney","given":"Stuart P.","non-dropping-particle":"","parse-names":false,"suffix":""},{"dropping-particle":"","family":"Arrigo","given":"Kevin R.","non-dropping-particle":"","parse-names":false,"suffix":""},{"dropping-particle":"","family":"Barbraud","given":"Christophe","non-dropping-particle":"","parse-names":false,"suffix":""},{"dropping-particle":"","family":"Barnes","given":"David K. A.","non-dropping-particle":"","parse-names":false,"suffix":""},{"dropping-particle":"","family":"Bindoff","given":"Nathaniel L.","non-dropping-particle":"","parse-names":false,"suffix":""},{"dropping-particle":"","family":"Boyd","given":"Philip W.","non-dropping-particle":"","parse-names":false,"suffix":""},{"dropping-particle":"","family":"Brandt","given":"Angelika","non-dropping-particle":"","parse-names":false,"suffix":""},{"dropping-particle":"","family":"Costa","given":"Daniel P.","non-dropping-particle":"","parse-names":false,"suffix":""},{"dropping-particle":"","family":"Davidson","given":"Andrew T.","non-dropping-particle":"","parse-names":false,"suffix":""},{"dropping-particle":"","family":"Ducklow","given":"Hugh W.","non-dropping-particle":"","parse-names":false,"suffix":""},{"dropping-particle":"","family":"Emmerson","given":"Louise","non-dropping-particle":"","parse-names":false,"suffix":""},{"dropping-particle":"","family":"Fukuchi","given":"Mitsuo","non-dropping-particle":"","parse-names":false,"suffix":""},{"dropping-particle":"","family":"Gutt","given":"Julian","non-dropping-particle":"","parse-names":false,"suffix":""},{"dropping-particle":"","family":"Hindell","given":"Mark A.","non-dropping-particle":"","parse-names":false,"suffix":""},{"dropping-particle":"","family":"Hofmann","given":"Eileen E.","non-dropping-particle":"","parse-names":false,"suffix":""},{"dropping-particle":"","family":"Hosie","given":"Graham W.","non-dropping-particle":"","parse-names":false,"suffix":""},{"dropping-particle":"","family":"Iida","given":"Takahiro","non-dropping-particle":"","parse-names":false,"suffix":""},{"dropping-particle":"","family":"Jacob","given":"Sarah","non-dropping-particle":"","parse-names":false,"suffix":""},{"dropping-particle":"","family":"Johnston","given":"Nadine M.","non-dropping-particle":"","parse-names":false,"suffix":""},{"dropping-particle":"","family":"Kawaguchi","given":"So","non-dropping-particle":"","parse-names":false,"suffix":""},{"dropping-particle":"","family":"Kokubun","given":"Nobuo","non-dropping-particle":"","parse-names":false,"suffix":""},{"dropping-particle":"","family":"Koubbi","given":"Philippe","non-dropping-particle":"","parse-names":false,"suffix":""},{"dropping-particle":"","family":"Lea","given":"Mary-Anne","non-dropping-particle":"","parse-names":false,"suffix":""},{"dropping-particle":"","family":"Makhado","given":"Azwianewi","non-dropping-particle":"","parse-names":false,"suffix":""},{"dropping-particle":"","family":"Massom","given":"Rob A.","non-dropping-particle":"","parse-names":false,"suffix":""},{"dropping-particle":"","family":"Meiners","given":"Klaus","non-dropping-particle":"","parse-names":false,"suffix":""},{"dropping-particle":"","family":"Meredith","given":"Michael P.","non-dropping-particle":"","parse-names":false,"suffix":""},{"dropping-particle":"","family":"Murphy","given":"Eugene J.","non-dropping-particle":"","parse-names":false,"suffix":""},{"dropping-particle":"","family":"Nicol","given":"Stephen","non-dropping-particle":"","parse-names":false,"suffix":""},{"dropping-particle":"","family":"Reid","given":"Keith","non-dropping-particle":"","parse-names":false,"suffix":""},{"dropping-particle":"","family":"Richerson","given":"Kate","non-dropping-particle":"","parse-names":false,"suffix":""},{"dropping-particle":"","family":"Riddle","given":"Martin J.","non-dropping-particle":"","parse-names":false,"suffix":""},{"dropping-particle":"","family":"Rintoul","given":"Stephen R.","non-dropping-particle":"","parse-names":false,"suffix":""},{"dropping-particle":"","family":"Smith","given":"Walker O.","non-dropping-particle":"","parse-names":false,"suffix":""},{"dropping-particle":"","family":"Southwell","given":"Colin","non-dropping-particle":"","parse-names":false,"suffix":""},{"dropping-particle":"","family":"Stark","given":"Jonathon S.","non-dropping-particle":"","parse-names":false,"suffix":""},{"dropping-particle":"","family":"Sumner","given":"Michael","non-dropping-particle":"","parse-names":false,"suffix":""},{"dropping-particle":"","family":"Swadling","given":"Kerrie M.","non-dropping-particle":"","parse-names":false,"suffix":""},{"dropping-particle":"","family":"Takahashi","given":"Kunio T.","non-dropping-particle":"","parse-names":false,"suffix":""},{"dropping-particle":"","family":"Trathan","given":"Phil N.","non-dropping-particle":"","parse-names":false,"suffix":""},{"dropping-particle":"","family":"Welsford","given":"Dirk C.","non-dropping-particle":"","parse-names":false,"suffix":""},{"dropping-particle":"","family":"Weimerskirch","given":"Henri","non-dropping-particle":"","parse-names":false,"suffix":""},{"dropping-particle":"","family":"Westwood","given":"Karen J.","non-dropping-particle":"","parse-names":false,"suffix":""},{"dropping-particle":"","family":"Wienecke","given":"Barbara C.","non-dropping-particle":"","parse-names":false,"suffix":""},{"dropping-particle":"","family":"Wolf-Gladrow","given":"Dieter","non-dropping-particle":"","parse-names":false,"suffix":""},{"dropping-particle":"","family":"Wright","given":"Simon W.","non-dropping-particle":"","parse-names":false,"suffix":""},{"dropping-particle":"","family":"Xavier","given":"Jose C.","non-dropping-particle":"","parse-names":false,"suffix":""},{"dropping-particle":"","family":"Ziegler","given":"Philippe","non-dropping-particle":"","parse-names":false,"suffix":""}],"container-title":"Global Change Biology","id":"ITEM-1","issue":"10","issued":{"date-parts":[["2014","10","1"]]},"page":"3004-3025","title":"Climate change and Southern Ocean ecosystems I: how changes in physical habitats directly affect marine biota","type":"article-journal","volume":"20"},"uris":["http://www.mendeley.com/documents/?uuid=349d70f2-aa9b-3803-a190-7696c56813ea"]}],"mendeley":{"formattedCitation":"(Constable et al., 2014)","plainTextFormattedCitation":"(Constable et al., 2014)","previouslyFormattedCitation":"(Constable et al., 2014)"},"properties":{"noteIndex":0},"schema":"https://github.com/citation-style-language/schema/raw/master/csl-citation.json"}</w:instrText>
      </w:r>
      <w:r w:rsidR="0031742F">
        <w:fldChar w:fldCharType="separate"/>
      </w:r>
      <w:r w:rsidR="00317534" w:rsidRPr="00317534">
        <w:rPr>
          <w:noProof/>
        </w:rPr>
        <w:t>(Constable et al., 2014)</w:t>
      </w:r>
      <w:r w:rsidR="0031742F">
        <w:fldChar w:fldCharType="end"/>
      </w:r>
      <w:r w:rsidR="00B26403">
        <w:t xml:space="preserve">. </w:t>
      </w:r>
      <w:r w:rsidR="00407134">
        <w:t>Skua</w:t>
      </w:r>
      <w:r w:rsidR="00231362">
        <w:t xml:space="preserve">s and </w:t>
      </w:r>
      <w:r w:rsidR="00407134">
        <w:t>Kelp</w:t>
      </w:r>
      <w:r w:rsidR="00231362">
        <w:t xml:space="preserve"> </w:t>
      </w:r>
      <w:r w:rsidR="006F000A">
        <w:t xml:space="preserve">gulls </w:t>
      </w:r>
      <w:r w:rsidR="00805EA6">
        <w:t>are predominantly</w:t>
      </w:r>
      <w:r w:rsidR="00E12549" w:rsidRPr="00E12549">
        <w:t xml:space="preserve"> </w:t>
      </w:r>
      <w:r w:rsidR="00272255">
        <w:t xml:space="preserve">opportunistic </w:t>
      </w:r>
      <w:r w:rsidR="003D04C5">
        <w:t xml:space="preserve">omnivore </w:t>
      </w:r>
      <w:r w:rsidR="005408CA" w:rsidRPr="005408CA">
        <w:t xml:space="preserve">avian </w:t>
      </w:r>
      <w:r w:rsidR="00E12549" w:rsidRPr="00E12549">
        <w:t>predators and scav</w:t>
      </w:r>
      <w:r w:rsidR="00231362">
        <w:t xml:space="preserve">engers </w:t>
      </w:r>
      <w:r w:rsidR="00CF2343">
        <w:t>in</w:t>
      </w:r>
      <w:r w:rsidR="00231362">
        <w:t xml:space="preserve"> </w:t>
      </w:r>
      <w:r w:rsidR="00805EA6">
        <w:t>the</w:t>
      </w:r>
      <w:r w:rsidR="00231362">
        <w:t xml:space="preserve"> </w:t>
      </w:r>
      <w:r w:rsidR="00805EA6">
        <w:t xml:space="preserve">marine </w:t>
      </w:r>
      <w:r w:rsidR="00231362">
        <w:t>food chain</w:t>
      </w:r>
      <w:r w:rsidR="00805EA6">
        <w:t xml:space="preserve"> of the Southern Ocean</w:t>
      </w:r>
      <w:r w:rsidR="00222024">
        <w:t>.</w:t>
      </w:r>
      <w:r w:rsidR="00272255">
        <w:t xml:space="preserve"> </w:t>
      </w:r>
      <w:r w:rsidR="00222024">
        <w:t>T</w:t>
      </w:r>
      <w:r w:rsidR="00272255">
        <w:t>heir</w:t>
      </w:r>
      <w:r w:rsidR="006F000A">
        <w:t xml:space="preserve"> </w:t>
      </w:r>
      <w:r w:rsidR="00E81747">
        <w:t xml:space="preserve">diet </w:t>
      </w:r>
      <w:r w:rsidR="006F000A">
        <w:t xml:space="preserve">composition </w:t>
      </w:r>
      <w:r w:rsidR="00272255">
        <w:t xml:space="preserve">may shift </w:t>
      </w:r>
      <w:r w:rsidR="006F000A">
        <w:t xml:space="preserve">dramatically when travelling from Antarctica to South America: </w:t>
      </w:r>
      <w:r w:rsidR="00F91D44">
        <w:t xml:space="preserve">as they move north </w:t>
      </w:r>
      <w:r w:rsidR="006F000A">
        <w:t xml:space="preserve">the amount of krill and </w:t>
      </w:r>
      <w:r w:rsidR="00272255">
        <w:t xml:space="preserve">marine fish and </w:t>
      </w:r>
      <w:r w:rsidR="006F000A">
        <w:t xml:space="preserve">invertebrates gradually decreases, being substituted with </w:t>
      </w:r>
      <w:r w:rsidR="00222024">
        <w:t>terrestrial</w:t>
      </w:r>
      <w:r w:rsidR="00272255">
        <w:t xml:space="preserve"> </w:t>
      </w:r>
      <w:r w:rsidR="006F000A">
        <w:t xml:space="preserve">insects and </w:t>
      </w:r>
      <w:r w:rsidR="00272255">
        <w:t xml:space="preserve">even </w:t>
      </w:r>
      <w:r w:rsidR="006F000A">
        <w:t>garbage</w:t>
      </w:r>
      <w:r w:rsidR="00B9649E">
        <w:t xml:space="preserve"> </w:t>
      </w:r>
      <w:r w:rsidR="006F000A">
        <w:fldChar w:fldCharType="begin" w:fldLock="1"/>
      </w:r>
      <w:r w:rsidR="0065270F">
        <w:instrText>ADDIN CSL_CITATION {"citationItems":[{"id":"ITEM-1","itemData":{"ISSN":"1018-3337","abstract":"Vols. 16-17 (Dec. 1988-Dec. 1989) of print version published under the title: The Cormorant.","author":[{"dropping-particle":"","family":"Reinhardt","given":"K.","non-dropping-particle":"","parse-names":false,"suffix":""},{"dropping-particle":"","family":"Hahn","given":"S","non-dropping-particle":"","parse-names":false,"suffix":""},{"dropping-particle":"","family":"Peter","given":"HU","non-dropping-particle":"","parse-names":false,"suffix":""},{"dropping-particle":"","family":"Wemhoff","given":"H","non-dropping-particle":"","parse-names":false,"suffix":""}],"container-title":"Marine Ornithology","id":"ITEM-1","issued":{"date-parts":[["1988","4","15"]]},"page":"7-19","publisher":"African Seabird Group/Pacific Seabird Group","title":"A review of the diets of the Southern Hemisphere skuas","type":"article-journal","volume":"28"},"uris":["http://www.mendeley.com/documents/?uuid=e5b37ed5-d40c-33e5-a726-5ccfce53194e"]}],"mendeley":{"formattedCitation":"(Reinhardt et al., 1988)","plainTextFormattedCitation":"(Reinhardt et al., 1988)","previouslyFormattedCitation":"(Reinhardt et al., 1988)"},"properties":{"noteIndex":0},"schema":"https://github.com/citation-style-language/schema/raw/master/csl-citation.json"}</w:instrText>
      </w:r>
      <w:r w:rsidR="006F000A">
        <w:fldChar w:fldCharType="separate"/>
      </w:r>
      <w:r w:rsidR="0065270F" w:rsidRPr="0065270F">
        <w:rPr>
          <w:noProof/>
        </w:rPr>
        <w:t>(Reinhardt et al., 1988)</w:t>
      </w:r>
      <w:r w:rsidR="006F000A">
        <w:fldChar w:fldCharType="end"/>
      </w:r>
      <w:r w:rsidR="009520E8" w:rsidRPr="009520E8">
        <w:rPr>
          <w:vertAlign w:val="superscript"/>
        </w:rPr>
        <w:t>,</w:t>
      </w:r>
      <w:r w:rsidR="009520E8">
        <w:fldChar w:fldCharType="begin" w:fldLock="1"/>
      </w:r>
      <w:r w:rsidR="00317534">
        <w:instrText>ADDIN CSL_CITATION {"citationItems":[{"id":"ITEM-1","itemData":{"DOI":"10.2307/1370066","ISSN":"00105422","abstract":"The Kelp Gull (Larus dominicanus) is an abundant and widely distributed species in coastal Patagonia, and has increased in number at many locations during the last decade. We present comparative information on diet composition between locations and diet variation throughout the breeding cycle at three Provincial Wildlife Reserves (Punta Pirámide, Punta León, and Punta Tombo), Chubut, Patagonia. We analyzed diet using regurgitated pellets. A total of 41 types of prey were identified at the three colonies. Kelp Gulls fed throughout the season mostly on intertidal invertebrates, although fish also was an important diet component, mainly during the chick stage. The diet also included garbage, insects, and other seabird offspring. Of all types of prey, 70.7% were common to the three locations, although the pattern of consumption of the main food categories differed among locations. The average consumption of garbage differed significantly among locations, with larger amounts of garbage in the diet the closer the colony to the nearest landfill. Kelp Gulls showed a marked seasonal variation in the consumption of the main food types. At Punta Tombo and Punta León, there was a change from a mostly marine invertebrate diet during the pre-laying and incubation stages to a mainly fish diet during the chick stage. The consumption of the main food categories was significantly different between seasons at Punta Pirámide but was similar at the other two colonies.","author":[{"dropping-particle":"","family":"Bertellotti","given":"Marcelo","non-dropping-particle":"","parse-names":false,"suffix":""},{"dropping-particle":"","family":"Yorio","given":"Pablo","non-dropping-particle":"","parse-names":false,"suffix":""}],"container-title":"The Condor","id":"ITEM-1","issue":"4","issued":{"date-parts":[["1999","11"]]},"page":"790-798","publisher":"American Ornithological Society","title":"Spatial and Temporal Patterns in the Diet of the Kelp Gull in Patagonia","type":"article-journal","volume":"101"},"uris":["http://www.mendeley.com/documents/?uuid=c3f22941-9ae5-3d5e-9cf7-ebedb1200ae2"]}],"mendeley":{"formattedCitation":"(Bertellotti and Yorio, 1999)","plainTextFormattedCitation":"(Bertellotti and Yorio, 1999)","previouslyFormattedCitation":"(Bertellotti and Yorio, 1999)"},"properties":{"noteIndex":0},"schema":"https://github.com/citation-style-language/schema/raw/master/csl-citation.json"}</w:instrText>
      </w:r>
      <w:r w:rsidR="009520E8">
        <w:fldChar w:fldCharType="separate"/>
      </w:r>
      <w:r w:rsidR="00317534" w:rsidRPr="00317534">
        <w:rPr>
          <w:noProof/>
        </w:rPr>
        <w:t>(Bertellotti and Yorio, 1999)</w:t>
      </w:r>
      <w:r w:rsidR="009520E8">
        <w:fldChar w:fldCharType="end"/>
      </w:r>
      <w:r w:rsidR="006F000A">
        <w:t xml:space="preserve">. </w:t>
      </w:r>
      <w:r w:rsidR="00407134">
        <w:t>Skua</w:t>
      </w:r>
      <w:r w:rsidR="00CF2343">
        <w:t xml:space="preserve">s </w:t>
      </w:r>
      <w:r w:rsidR="009D7BA4">
        <w:t xml:space="preserve">prey on other bird species </w:t>
      </w:r>
      <w:r w:rsidR="009520E8">
        <w:fldChar w:fldCharType="begin" w:fldLock="1"/>
      </w:r>
      <w:r w:rsidR="0065270F">
        <w:instrText>ADDIN CSL_CITATION {"citationItems":[{"id":"ITEM-1","itemData":{"ISSN":"1018-3337","abstract":"Vols. 16-17 (Dec. 1988-Dec. 1989) of print version published under the title: The Cormorant.","author":[{"dropping-particle":"","family":"Reinhardt","given":"K.","non-dropping-particle":"","parse-names":false,"suffix":""},{"dropping-particle":"","family":"Hahn","given":"S","non-dropping-particle":"","parse-names":false,"suffix":""},{"dropping-particle":"","family":"Peter","given":"HU","non-dropping-particle":"","parse-names":false,"suffix":""},{"dropping-particle":"","family":"Wemhoff","given":"H","non-dropping-particle":"","parse-names":false,"suffix":""}],"container-title":"Marine Ornithology","id":"ITEM-1","issued":{"date-parts":[["1988","4","15"]]},"page":"7-19","publisher":"African Seabird Group/Pacific Seabird Group","title":"A review of the diets of the Southern Hemisphere skuas","type":"article-journal","volume":"28"},"uris":["http://www.mendeley.com/documents/?uuid=e5b37ed5-d40c-33e5-a726-5ccfce53194e"]},{"id":"ITEM-2","itemData":{"DOI":"10.1111/j.1469-7998.1981.tb01890.x","ISSN":"09528369","author":[{"dropping-particle":"","family":"Furness","given":"R. W.","non-dropping-particle":"","parse-names":false,"suffix":""},{"dropping-particle":"","family":"Hislop","given":"J. R. G.","non-dropping-particle":"","parse-names":false,"suffix":""}],"container-title":"Journal of Zoology","id":"ITEM-2","issue":"1","issued":{"date-parts":[["2009","8","20"]]},"page":"1-23","publisher":"Blackwell Publishing Ltd","title":"Diets and feeding ecology of Great skuas Catharacta skua during the","type":"article-journal","volume":"195"},"uris":["http://www.mendeley.com/documents/?uuid=d3287698-820d-38de-a7c0-2f1ae8ae6fd9"]}],"mendeley":{"formattedCitation":"(Furness and Hislop, 2009; Reinhardt et al., 1988)","plainTextFormattedCitation":"(Furness and Hislop, 2009; Reinhardt et al., 1988)","previouslyFormattedCitation":"(Furness and Hislop, 2009; Reinhardt et al., 1988)"},"properties":{"noteIndex":0},"schema":"https://github.com/citation-style-language/schema/raw/master/csl-citation.json"}</w:instrText>
      </w:r>
      <w:r w:rsidR="009520E8">
        <w:fldChar w:fldCharType="separate"/>
      </w:r>
      <w:r w:rsidR="0065270F" w:rsidRPr="0065270F">
        <w:rPr>
          <w:noProof/>
        </w:rPr>
        <w:t>(Furness and Hislop, 2009; Reinhardt et al., 1988)</w:t>
      </w:r>
      <w:r w:rsidR="009520E8">
        <w:fldChar w:fldCharType="end"/>
      </w:r>
      <w:r w:rsidR="00231362">
        <w:t xml:space="preserve">, while </w:t>
      </w:r>
      <w:r w:rsidR="00407134">
        <w:t>Kelp</w:t>
      </w:r>
      <w:r w:rsidR="00231362">
        <w:t xml:space="preserve"> gulls </w:t>
      </w:r>
      <w:r w:rsidR="00272255">
        <w:t xml:space="preserve">may </w:t>
      </w:r>
      <w:r w:rsidR="00222024">
        <w:t>forage</w:t>
      </w:r>
      <w:r w:rsidR="00231362">
        <w:t xml:space="preserve"> on live whales</w:t>
      </w:r>
      <w:r w:rsidR="00B9649E">
        <w:t xml:space="preserve"> </w:t>
      </w:r>
      <w:r>
        <w:fldChar w:fldCharType="begin" w:fldLock="1"/>
      </w:r>
      <w:r w:rsidR="00317534">
        <w:instrText>ADDIN CSL_CITATION {"citationItems":[{"id":"ITEM-1","itemData":{"DOI":"10.1111/j.1748-7692.1998.tb00693.x","ISSN":"0824-0469","author":[{"dropping-particle":"","family":"Rowntree","given":"V. J.","non-dropping-particle":"","parse-names":false,"suffix":""},{"dropping-particle":"","family":"Mcguinness","given":"P.","non-dropping-particle":"","parse-names":false,"suffix":""},{"dropping-particle":"","family":"Marshall","given":"K.","non-dropping-particle":"","parse-names":false,"suffix":""},{"dropping-particle":"","family":"Payne","given":"R.","non-dropping-particle":"","parse-names":false,"suffix":""},{"dropping-particle":"","family":"Sironi","given":"M.","non-dropping-particle":"","parse-names":false,"suffix":""},{"dropping-particle":"","family":"Seger","given":"J.","non-dropping-particle":"","parse-names":false,"suffix":""}],"container-title":"Marine Mammal Science","id":"ITEM-1","issue":"1","issued":{"date-parts":[["1998","1","1"]]},"page":"99-115","publisher":"Blackwell Publishing Ltd","title":"INCREASED HARASSMENT OF RIGHT WHALES (EUBALAENA AUSTRALIS) BY KELP GULLS (LARUS DOMINICANUS) AT PENINSULA VALDES, ARGENTINA","type":"article-journal","volume":"14"},"uris":["http://www.mendeley.com/documents/?uuid=5532fc6d-9a5d-3fad-b79c-a68aa7bbb6ec"]}],"mendeley":{"formattedCitation":"(Rowntree et al., 1998)","plainTextFormattedCitation":"(Rowntree et al., 1998)","previouslyFormattedCitation":"(Rowntree et al., 1998)"},"properties":{"noteIndex":0},"schema":"https://github.com/citation-style-language/schema/raw/master/csl-citation.json"}</w:instrText>
      </w:r>
      <w:r>
        <w:fldChar w:fldCharType="separate"/>
      </w:r>
      <w:r w:rsidR="00317534" w:rsidRPr="00317534">
        <w:rPr>
          <w:noProof/>
        </w:rPr>
        <w:t>(Rowntree et al., 1998)</w:t>
      </w:r>
      <w:r>
        <w:fldChar w:fldCharType="end"/>
      </w:r>
      <w:r w:rsidR="001A2B5E">
        <w:t xml:space="preserve"> and seal pups</w:t>
      </w:r>
      <w:r w:rsidR="00B9649E">
        <w:t xml:space="preserve"> </w:t>
      </w:r>
      <w:r>
        <w:fldChar w:fldCharType="begin" w:fldLock="1"/>
      </w:r>
      <w:r w:rsidR="00317534">
        <w:instrText>ADDIN CSL_CITATION {"citationItems":[{"id":"ITEM-1","itemData":{"DOI":"10.1098/rsos.170638","ISSN":"2054-5703","author":[{"dropping-particle":"","family":"Seguel","given":"Mauricio","non-dropping-particle":"","parse-names":false,"suffix":""},{"dropping-particle":"","family":"Muñoz","given":"Francisco","non-dropping-particle":"","parse-names":false,"suffix":""},{"dropping-particle":"","family":"Montalva","given":"Felipe","non-dropping-particle":"","parse-names":false,"suffix":""},{"dropping-particle":"","family":"Perez-Venegas","given":"Diego","non-dropping-particle":"","parse-names":false,"suffix":""},{"dropping-particle":"","family":"Pavés","given":"Héctor","non-dropping-particle":"","parse-names":false,"suffix":""},{"dropping-particle":"","family":"Gottdenker","given":"Nicole","non-dropping-particle":"","parse-names":false,"suffix":""}],"container-title":"Royal Society Open Science","id":"ITEM-1","issue":"7","issued":{"date-parts":[["2017","7","26"]]},"page":"170638","title":"Kelp and dolphin gulls cause perineal wounds in South American fur seal pups ( &lt;i&gt;Arctocephalus australis&lt;/i&gt; ) at Guafo Island, Chilean Patagonia","type":"article-journal","volume":"4"},"uris":["http://www.mendeley.com/documents/?uuid=ee7e53d5-8a7a-3ea7-b2ee-8d391a961d87"]}],"mendeley":{"formattedCitation":"(Seguel et al., 2017)","plainTextFormattedCitation":"(Seguel et al., 2017)","previouslyFormattedCitation":"(Seguel et al., 2017)"},"properties":{"noteIndex":0},"schema":"https://github.com/citation-style-language/schema/raw/master/csl-citation.json"}</w:instrText>
      </w:r>
      <w:r>
        <w:fldChar w:fldCharType="separate"/>
      </w:r>
      <w:r w:rsidR="00317534" w:rsidRPr="00317534">
        <w:rPr>
          <w:noProof/>
        </w:rPr>
        <w:t>(Seguel et al., 2017)</w:t>
      </w:r>
      <w:r>
        <w:fldChar w:fldCharType="end"/>
      </w:r>
      <w:r w:rsidR="009520E8">
        <w:t xml:space="preserve"> in Antarctica and on rodents in South America</w:t>
      </w:r>
      <w:r w:rsidR="00B9649E">
        <w:t xml:space="preserve"> </w:t>
      </w:r>
      <w:r w:rsidR="009520E8">
        <w:fldChar w:fldCharType="begin" w:fldLock="1"/>
      </w:r>
      <w:r w:rsidR="00317534">
        <w:instrText>ADDIN CSL_CITATION {"citationItems":[{"id":"ITEM-1","itemData":{"DOI":"10.2307/1522250","ISSN":"15244695","author":[{"dropping-particle":"","family":"Ruiz","given":"Jorge","non-dropping-particle":"","parse-names":false,"suffix":""},{"dropping-particle":"","family":"Simeone","given":"Alejandro","non-dropping-particle":"","parse-names":false,"suffix":""}],"container-title":"Waterbirds: The International Journal of Waterbird Biology","id":"ITEM-1","issue":"1","issued":{"date-parts":[["2001","4"]]},"page":"118","title":"Feeding by Kelp Gulls on Rodents during a Mouse Outbreak at an Inland Area in Southern Chile","type":"article-journal","volume":"24"},"uris":["http://www.mendeley.com/documents/?uuid=ed5261d5-a235-3276-830f-0959f5307a84"]}],"mendeley":{"formattedCitation":"(Ruiz and Simeone, 2001)","plainTextFormattedCitation":"(Ruiz and Simeone, 2001)","previouslyFormattedCitation":"(Ruiz and Simeone, 2001)"},"properties":{"noteIndex":0},"schema":"https://github.com/citation-style-language/schema/raw/master/csl-citation.json"}</w:instrText>
      </w:r>
      <w:r w:rsidR="009520E8">
        <w:fldChar w:fldCharType="separate"/>
      </w:r>
      <w:r w:rsidR="00317534" w:rsidRPr="00317534">
        <w:rPr>
          <w:noProof/>
        </w:rPr>
        <w:t>(Ruiz and Simeone, 2001)</w:t>
      </w:r>
      <w:r w:rsidR="009520E8">
        <w:fldChar w:fldCharType="end"/>
      </w:r>
      <w:r w:rsidR="00231362">
        <w:t xml:space="preserve">. </w:t>
      </w:r>
      <w:r w:rsidR="00172E05">
        <w:t>Both species may also exhibit cannibalistic behaviour</w:t>
      </w:r>
      <w:r w:rsidR="00CF5FB1">
        <w:t xml:space="preserve"> towards both chicks and adult</w:t>
      </w:r>
      <w:r w:rsidR="00C6620C">
        <w:t>s</w:t>
      </w:r>
      <w:r w:rsidR="00B9649E">
        <w:t xml:space="preserve"> </w:t>
      </w:r>
      <w:r w:rsidR="00E423CC">
        <w:fldChar w:fldCharType="begin" w:fldLock="1"/>
      </w:r>
      <w:r w:rsidR="0065270F">
        <w:instrText>ADDIN CSL_CITATION {"citationItems":[{"id":"ITEM-1","itemData":{"DOI":"10.1071/MU9930050","ISSN":"0158-4197","author":[{"dropping-particle":"","family":"Coulson","given":"Ruth","non-dropping-particle":"","parse-names":false,"suffix":""},{"dropping-particle":"","family":"Coulson","given":"Graeme","non-dropping-particle":"","parse-names":false,"suffix":""}],"container-title":"Emu - Austral Ornithology","id":"ITEM-1","issue":"1","issued":{"date-parts":[["1993","3","22"]]},"page":"50-53","publisher":"CSIRO PUBLISHING","title":"Diets of the Pacific Gull &lt;i&gt;Larus pacificus&lt;/i&gt; and the Kelp Gull &lt;i&gt;Larus dominicanus&lt;/i&gt; in Tasmania","type":"article-journal","volume":"93"},"uris":["http://www.mendeley.com/documents/?uuid=568e9fe3-6ce5-3120-88b7-6d62dba42f50"]},{"id":"ITEM-2","itemData":{"ISSN":"1018-3337","abstract":"Vols. 16-17 (Dec. 1988-Dec. 1989) of print version published under the title: The Cormorant.","author":[{"dropping-particle":"","family":"Reinhardt","given":"K.","non-dropping-particle":"","parse-names":false,"suffix":""},{"dropping-particle":"","family":"Hahn","given":"S","non-dropping-particle":"","parse-names":false,"suffix":""},{"dropping-particle":"","family":"Peter","given":"HU","non-dropping-particle":"","parse-names":false,"suffix":""},{"dropping-particle":"","family":"Wemhoff","given":"H","non-dropping-particle":"","parse-names":false,"suffix":""}],"container-title":"Marine Ornithology","id":"ITEM-2","issued":{"date-parts":[["1988","4","15"]]},"page":"7-19","publisher":"African Seabird Group/Pacific Seabird Group","title":"A review of the diets of the Southern Hemisphere skuas","type":"article-journal","volume":"28"},"uris":["http://www.mendeley.com/documents/?uuid=e5b37ed5-d40c-33e5-a726-5ccfce53194e"]}],"mendeley":{"formattedCitation":"(Coulson and Coulson, 1993; Reinhardt et al., 1988)","plainTextFormattedCitation":"(Coulson and Coulson, 1993; Reinhardt et al., 1988)","previouslyFormattedCitation":"(Coulson and Coulson, 1993; Reinhardt et al., 1988)"},"properties":{"noteIndex":0},"schema":"https://github.com/citation-style-language/schema/raw/master/csl-citation.json"}</w:instrText>
      </w:r>
      <w:r w:rsidR="00E423CC">
        <w:fldChar w:fldCharType="separate"/>
      </w:r>
      <w:r w:rsidR="0065270F" w:rsidRPr="0065270F">
        <w:rPr>
          <w:noProof/>
        </w:rPr>
        <w:t>(Coulson and Coulson, 1993; Reinhardt et al., 1988)</w:t>
      </w:r>
      <w:r w:rsidR="00E423CC">
        <w:fldChar w:fldCharType="end"/>
      </w:r>
      <w:r w:rsidR="00172E05">
        <w:t xml:space="preserve">. </w:t>
      </w:r>
    </w:p>
    <w:p w14:paraId="044FFB7E" w14:textId="47CD64A7" w:rsidR="00624C40" w:rsidRDefault="009700CF" w:rsidP="00E02605">
      <w:pPr>
        <w:widowControl w:val="0"/>
        <w:autoSpaceDE w:val="0"/>
        <w:autoSpaceDN w:val="0"/>
        <w:adjustRightInd w:val="0"/>
        <w:spacing w:line="360" w:lineRule="auto"/>
      </w:pPr>
      <w:r>
        <w:t>T</w:t>
      </w:r>
      <w:r w:rsidR="000A1AB3">
        <w:t xml:space="preserve">he </w:t>
      </w:r>
      <w:r w:rsidR="00A8222C">
        <w:t xml:space="preserve">first </w:t>
      </w:r>
      <w:r w:rsidR="000A1AB3">
        <w:t xml:space="preserve">research on POPs concentrations in migratory birds </w:t>
      </w:r>
      <w:r w:rsidR="001832EA">
        <w:t xml:space="preserve">in the </w:t>
      </w:r>
      <w:r w:rsidR="00E81747">
        <w:t>Antarctic</w:t>
      </w:r>
      <w:r w:rsidR="00A8222C">
        <w:t xml:space="preserve"> dates back to</w:t>
      </w:r>
      <w:r w:rsidR="00E02605">
        <w:t xml:space="preserve"> the 196</w:t>
      </w:r>
      <w:r w:rsidR="000A1AB3">
        <w:t>0s</w:t>
      </w:r>
      <w:r w:rsidR="00B9649E">
        <w:t xml:space="preserve"> </w:t>
      </w:r>
      <w:r w:rsidR="00E02605">
        <w:fldChar w:fldCharType="begin" w:fldLock="1"/>
      </w:r>
      <w:r w:rsidR="0065270F">
        <w:instrText>ADDIN CSL_CITATION {"citationItems":[{"id":"ITEM-1","itemData":{"DOI":"10.1038/2201098a0","ISSN":"0028-0836","abstract":"Polychlorinated Biphenyls in the Global Ecosystem","author":[{"dropping-particle":"","family":"Risebrough","given":"R. W.","non-dropping-particle":"","parse-names":false,"suffix":""},{"dropping-particle":"","family":"Rieche","given":"P.","non-dropping-particle":"","parse-names":false,"suffix":""},{"dropping-particle":"","family":"Peakalll","given":"D. B.","non-dropping-particle":"","parse-names":false,"suffix":""},{"dropping-particle":"","family":"Herman","given":"S. G.","non-dropping-particle":"","parse-names":false,"suffix":""},{"dropping-particle":"","family":"Kirven","given":"M. N.","non-dropping-particle":"","parse-names":false,"suffix":""}],"container-title":"Nature","id":"ITEM-1","issue":"5172","issued":{"date-parts":[["1968","12","14"]]},"page":"1098-1102","publisher":"Nature Publishing Group","title":"Polychlorinated Biphenyls in the Global Ecosystem","type":"article-journal","volume":"220"},"uris":["http://www.mendeley.com/documents/?uuid=c3462c27-fa3f-30ca-8be2-728984ab6152"]}],"mendeley":{"formattedCitation":"(Risebrough et al., 1968)","plainTextFormattedCitation":"(Risebrough et al., 1968)","previouslyFormattedCitation":"(RISEBROUGH et al., 1968)"},"properties":{"noteIndex":0},"schema":"https://github.com/citation-style-language/schema/raw/master/csl-citation.json"}</w:instrText>
      </w:r>
      <w:r w:rsidR="00E02605">
        <w:fldChar w:fldCharType="separate"/>
      </w:r>
      <w:r w:rsidR="0065270F" w:rsidRPr="0065270F">
        <w:rPr>
          <w:noProof/>
        </w:rPr>
        <w:t>(Risebrough et al., 1968)</w:t>
      </w:r>
      <w:r w:rsidR="00E02605">
        <w:fldChar w:fldCharType="end"/>
      </w:r>
      <w:r w:rsidR="000A1AB3">
        <w:t xml:space="preserve">, </w:t>
      </w:r>
      <w:r w:rsidR="0003115E">
        <w:t xml:space="preserve">however the data is often incomplete or </w:t>
      </w:r>
      <w:r w:rsidR="00063250">
        <w:t>sporadic</w:t>
      </w:r>
      <w:r w:rsidR="00A8222C">
        <w:t xml:space="preserve"> </w:t>
      </w:r>
      <w:r w:rsidR="00D9621E">
        <w:t xml:space="preserve">(see Appendix </w:t>
      </w:r>
      <w:r w:rsidR="003A3C06">
        <w:t>Table 1</w:t>
      </w:r>
      <w:r w:rsidR="00D9621E">
        <w:t xml:space="preserve"> for details). </w:t>
      </w:r>
      <w:r w:rsidR="00CA19B6">
        <w:t>For</w:t>
      </w:r>
      <w:r w:rsidR="00E81747">
        <w:t xml:space="preserve"> </w:t>
      </w:r>
      <w:r w:rsidR="00D9621E">
        <w:t>permanent</w:t>
      </w:r>
      <w:r w:rsidR="00E81747">
        <w:t xml:space="preserve"> Antarctic species, concentrations of POPs have </w:t>
      </w:r>
      <w:r w:rsidR="00D9621E">
        <w:t xml:space="preserve">been </w:t>
      </w:r>
      <w:r w:rsidR="00E81747">
        <w:t>shown to be declining</w:t>
      </w:r>
      <w:r w:rsidR="00D9621E">
        <w:t xml:space="preserve"> over</w:t>
      </w:r>
      <w:r w:rsidR="00E81747">
        <w:t xml:space="preserve"> the last decade, but it remains unknown whether this also applies to </w:t>
      </w:r>
      <w:r w:rsidR="00CF5FB1">
        <w:t>migratory</w:t>
      </w:r>
      <w:r w:rsidR="00E81747">
        <w:t xml:space="preserve"> species reaching Antarctica</w:t>
      </w:r>
      <w:r w:rsidR="00B9649E">
        <w:t xml:space="preserve"> </w:t>
      </w:r>
      <w:r w:rsidR="00CA19B6">
        <w:fldChar w:fldCharType="begin" w:fldLock="1"/>
      </w:r>
      <w:r w:rsidR="00317534">
        <w:instrText>ADDIN CSL_CITATION {"citationItems":[{"id":"ITEM-1","itemData":{"DOI":"10.1016/J.MARPOLBUL.2010.09.002","ISSN":"0025-326X","abstract":"We demonstrate that pelagic Antarctic seabirds show significant decreases in concentrations of some persistent organic pollutants. Trends in Adélie penguins and Southern fulmars fit in a general pattern revealed by a broad literature review. Downward trends are also visible in pelagic fish, contrasting sharply with steady or increasing concentrations in Antarctic benthic organisms. Transfer of contaminants between Antarctic pelagic and benthic food webs is associated with seasonal sea-ice dynamics which may influence the balance between the final receptors of contaminants under different climatic conditions. This complicates the predictability of future trends of emerging compounds in the Antarctic ecosystem, such as of the brominated compounds that we detected in Antarctic petrels. The discrepancy in trends between pelagic and benthic organisms shows that Antarctic biota are still final receptors of globally released organic contaminants and it remains questionable whether the total environmental burden of contaminants in the Antarctic ecosystem is declining.","author":[{"dropping-particle":"","family":"Brink","given":"Nico W.","non-dropping-particle":"van den","parse-names":false,"suffix":""},{"dropping-particle":"","family":"Riddle","given":"Martin J.","non-dropping-particle":"","parse-names":false,"suffix":""},{"dropping-particle":"","family":"Heuvel-Greve","given":"Martine","non-dropping-particle":"van den","parse-names":false,"suffix":""},{"dropping-particle":"","family":"Franeker","given":"Jan Andries","non-dropping-particle":"van","parse-names":false,"suffix":""}],"container-title":"Marine Pollution Bulletin","id":"ITEM-1","issue":"1","issued":{"date-parts":[["2011","1","1"]]},"page":"128-132","publisher":"Pergamon","title":"Contrasting time trends of organic contaminants in Antarctic pelagic and benthic food webs","type":"article-journal","volume":"62"},"uris":["http://www.mendeley.com/documents/?uuid=2c4fa908-a4b0-39a8-9b5f-de183fb269a8"]}],"mendeley":{"formattedCitation":"(van den Brink et al., 2011)","plainTextFormattedCitation":"(van den Brink et al., 2011)","previouslyFormattedCitation":"(van den Brink et al., 2011)"},"properties":{"noteIndex":0},"schema":"https://github.com/citation-style-language/schema/raw/master/csl-citation.json"}</w:instrText>
      </w:r>
      <w:r w:rsidR="00CA19B6">
        <w:fldChar w:fldCharType="separate"/>
      </w:r>
      <w:r w:rsidR="00317534" w:rsidRPr="00317534">
        <w:rPr>
          <w:noProof/>
        </w:rPr>
        <w:t>(van den Brink et al., 2011)</w:t>
      </w:r>
      <w:r w:rsidR="00CA19B6">
        <w:fldChar w:fldCharType="end"/>
      </w:r>
      <w:r w:rsidR="00CA19B6">
        <w:t>.</w:t>
      </w:r>
      <w:r w:rsidR="00304151">
        <w:t xml:space="preserve"> </w:t>
      </w:r>
      <w:r w:rsidR="002729E3">
        <w:t xml:space="preserve">Since </w:t>
      </w:r>
      <w:r w:rsidR="00425692">
        <w:t xml:space="preserve">the </w:t>
      </w:r>
      <w:r w:rsidR="002729E3">
        <w:t xml:space="preserve">1990s explicit studies were performed to compare </w:t>
      </w:r>
      <w:r w:rsidR="002729E3">
        <w:lastRenderedPageBreak/>
        <w:t xml:space="preserve">POPs in </w:t>
      </w:r>
      <w:r w:rsidR="001A29D8">
        <w:t xml:space="preserve">the </w:t>
      </w:r>
      <w:r w:rsidR="002729E3">
        <w:t xml:space="preserve">migratory </w:t>
      </w:r>
      <w:r w:rsidR="001A29D8">
        <w:t xml:space="preserve">Antarctic </w:t>
      </w:r>
      <w:r w:rsidR="002729E3">
        <w:t xml:space="preserve">birds to </w:t>
      </w:r>
      <w:r w:rsidR="001A29D8">
        <w:t xml:space="preserve">the </w:t>
      </w:r>
      <w:r w:rsidR="002729E3">
        <w:t>native Antarc</w:t>
      </w:r>
      <w:r w:rsidR="001A29D8">
        <w:t>tic non-flying birds (</w:t>
      </w:r>
      <w:r w:rsidR="00163DD6">
        <w:t>mainly</w:t>
      </w:r>
      <w:r w:rsidR="001A29D8">
        <w:t xml:space="preserve"> Adé</w:t>
      </w:r>
      <w:r w:rsidR="002729E3">
        <w:t>lie penguins)</w:t>
      </w:r>
      <w:r w:rsidR="00452A97" w:rsidRPr="00452A97">
        <w:t xml:space="preserve"> </w:t>
      </w:r>
      <w:r w:rsidR="00452A97">
        <w:fldChar w:fldCharType="begin" w:fldLock="1"/>
      </w:r>
      <w:r w:rsidR="00317534">
        <w:instrText>ADDIN CSL_CITATION {"citationItems":[{"id":"ITEM-1","itemData":{"DOI":"10.1021/acs.est.5b03181","ISSN":"0013-936X","author":[{"dropping-particle":"","family":"Kim","given":"Jun-Tae","non-dropping-particle":"","parse-names":false,"suffix":""},{"dropping-particle":"","family":"Son","given":"Min-Hui","non-dropping-particle":"","parse-names":false,"suffix":""},{"dropping-particle":"","family":"Kang","given":"Jung-Ho","non-dropping-particle":"","parse-names":false,"suffix":""},{"dropping-particle":"","family":"Kim","given":"Jeong-Hoon","non-dropping-particle":"","parse-names":false,"suffix":""},{"dropping-particle":"","family":"Jung","given":"Jin-Woo","non-dropping-particle":"","parse-names":false,"suffix":""},{"dropping-particle":"","family":"Chang","given":"Yoon-Seok","non-dropping-particle":"","parse-names":false,"suffix":""}],"container-title":"Environmental Science &amp; Technology","id":"ITEM-1","issue":"22","issued":{"date-parts":[["2015","11","17"]]},"page":"13628-13638","title":"Occurrence of Legacy and New Persistent Organic Pollutants in Avian Tissues from King George Island, Antarctica","type":"article-journal","volume":"49"},"uris":["http://www.mendeley.com/documents/?uuid=11a209b6-d574-33b0-9940-2e4fa6bf2c43"]},{"id":"ITEM-2","itemData":{"DOI":"10.1016/S0269-7491(97)00080-8","ISSN":"02697491","author":[{"dropping-particle":"","family":"Court","given":"G.S.","non-dropping-particle":"","parse-names":false,"suffix":""},{"dropping-particle":"","family":"Davis","given":"L.S.","non-dropping-particle":"","parse-names":false,"suffix":""},{"dropping-particle":"","family":"Focardi","given":"S.","non-dropping-particle":"","parse-names":false,"suffix":""},{"dropping-particle":"","family":"Bargargli","given":"R.","non-dropping-particle":"","parse-names":false,"suffix":""},{"dropping-particle":"","family":"Fossi","given":"C.","non-dropping-particle":"","parse-names":false,"suffix":""},{"dropping-particle":"","family":"Leonzio","given":"C.","non-dropping-particle":"","parse-names":false,"suffix":""},{"dropping-particle":"","family":"Marili","given":"L.","non-dropping-particle":"","parse-names":false,"suffix":""}],"container-title":"Environmental Pollution","id":"ITEM-2","issue":"3","issued":{"date-parts":[["1997"]]},"page":"295-301","title":"Chlorinated hydrocarbons in the tissues of South Polar Skuas (Catharacta maccormicki) and Adélie Penguins (Pygoscelis adeliea) from Ross Sea, Antarctica","type":"article-journal","volume":"97"},"uris":["http://www.mendeley.com/documents/?uuid=adf413ff-ce4b-3541-9be6-752cb82494de"]},{"id":"ITEM-3","itemData":{"DOI":"10.1016/j.marpolbul.2015.04.012","ISSN":"0025326X","PMID":"25912262","abstract":"Persistent organic pollutants (POPs), including polychlorinated biphenyls (PCBs) and polybrominated diphenyl ethers (PBDEs), are frequently detected in biota from Antarctica, whereas no data are available for their replacements, such as novel flame retardants (N-FRs). This study presented the occurrence of several N-FRs, PBDEs, and PCBs in tissue samples of an Antarctic rock cod (Trematomus bernacchii), a young gentoo penguin (Pygoscelis papua), and a brown skua (Stercorarius antarcticus) collected from King George Island. The total concentrations of N-FRs (ΣN-FRs; mean: 931 pg/g dry weight (dw)) were comparable to PBDEs (Σ8PBDEs; 681 pg/gdw), which were much lower than PCBs (ΣDL-PCBs; 12,800 pg/gdw). Overall, skua contained two to three orders of magnitude higher contamination than penguin and fish. In the future, more attention should be focused on the fate of N-FRs in Antarctica, where usages have increased since PBDEs were banned. To our knowledge, this is the first report of N-FRs in biota from Antarctica.","author":[{"dropping-particle":"","family":"Wolschke","given":"Hendrik","non-dropping-particle":"","parse-names":false,"suffix":""},{"dropping-particle":"","family":"Meng","given":"Xiang-Zhou","non-dropping-particle":"","parse-names":false,"suffix":""},{"dropping-particle":"","family":"Xie","given":"Zhiyong","non-dropping-particle":"","parse-names":false,"suffix":""},{"dropping-particle":"","family":"Ebinghaus","given":"Ralf","non-dropping-particle":"","parse-names":false,"suffix":""},{"dropping-particle":"","family":"Cai","given":"Minghong","non-dropping-particle":"","parse-names":false,"suffix":""}],"container-title":"Marine Pollution Bulletin","id":"ITEM-3","issue":"1-2","issued":{"date-parts":[["2015","7","15"]]},"page":"513-518","title":"Novel flame retardants (N-FRs), polybrominated diphenyl ethers (PBDEs) and dioxin-like polychlorinated biphenyls (DL-PCBs) in fish, penguin, and skua from King George Island, Antarctica","type":"article-journal","volume":"96"},"uris":["http://www.mendeley.com/documents/?uuid=51647cc3-8189-35e6-907e-e772cdedd685"]}],"mendeley":{"formattedCitation":"(Court et al., 1997; Kim et al., 2015; Wolschke et al., 2015)","plainTextFormattedCitation":"(Court et al., 1997; Kim et al., 2015; Wolschke et al., 2015)","previouslyFormattedCitation":"(Court et al., 1997; Kim et al., 2015; Wolschke et al., 2015)"},"properties":{"noteIndex":0},"schema":"https://github.com/citation-style-language/schema/raw/master/csl-citation.json"}</w:instrText>
      </w:r>
      <w:r w:rsidR="00452A97">
        <w:fldChar w:fldCharType="separate"/>
      </w:r>
      <w:r w:rsidR="00317534" w:rsidRPr="00317534">
        <w:rPr>
          <w:noProof/>
        </w:rPr>
        <w:t>(Court et al., 1997; Kim et al., 2015; Wolschke et al., 2015)</w:t>
      </w:r>
      <w:r w:rsidR="00452A97">
        <w:fldChar w:fldCharType="end"/>
      </w:r>
      <w:r w:rsidR="002729E3">
        <w:t>. The</w:t>
      </w:r>
      <w:r w:rsidR="001A29D8">
        <w:t>se</w:t>
      </w:r>
      <w:r w:rsidR="002729E3">
        <w:t xml:space="preserve"> studies </w:t>
      </w:r>
      <w:r w:rsidR="00D9621E">
        <w:t>reported</w:t>
      </w:r>
      <w:r w:rsidR="002729E3">
        <w:t xml:space="preserve"> that </w:t>
      </w:r>
      <w:r w:rsidR="00B9649E">
        <w:t>concentrations</w:t>
      </w:r>
      <w:r w:rsidR="002729E3">
        <w:t xml:space="preserve"> of POPs in the former are almost 2 times higher than in the latter. However, direct comparisons between birds of different migratory </w:t>
      </w:r>
      <w:r w:rsidR="00452A97">
        <w:t>routes</w:t>
      </w:r>
      <w:r w:rsidR="002729E3">
        <w:t xml:space="preserve"> are lacking. </w:t>
      </w:r>
      <w:r w:rsidR="00407134">
        <w:t>Skua</w:t>
      </w:r>
      <w:r w:rsidR="002729E3" w:rsidRPr="002729E3">
        <w:t xml:space="preserve">s </w:t>
      </w:r>
      <w:r w:rsidR="002729E3">
        <w:t>and Giant Petrels continue to be</w:t>
      </w:r>
      <w:r w:rsidR="002729E3" w:rsidRPr="002729E3">
        <w:t xml:space="preserve"> the most well-researched species among </w:t>
      </w:r>
      <w:r w:rsidR="00163DD6">
        <w:t xml:space="preserve">the </w:t>
      </w:r>
      <w:r w:rsidR="002729E3" w:rsidRPr="002729E3">
        <w:t>Antarctic marine predators on the topic of POPs contamination</w:t>
      </w:r>
      <w:r w:rsidR="00B9649E">
        <w:t xml:space="preserve"> </w:t>
      </w:r>
      <w:r w:rsidR="00CA13F6">
        <w:fldChar w:fldCharType="begin" w:fldLock="1"/>
      </w:r>
      <w:r w:rsidR="00317534">
        <w:instrText>ADDIN CSL_CITATION {"citationItems":[{"id":"ITEM-1","itemData":{"DOI":"10.1016/S0269-7491(97)00080-8","ISSN":"02697491","author":[{"dropping-particle":"","family":"Court","given":"G.S.","non-dropping-particle":"","parse-names":false,"suffix":""},{"dropping-particle":"","family":"Davis","given":"L.S.","non-dropping-particle":"","parse-names":false,"suffix":""},{"dropping-particle":"","family":"Focardi","given":"S.","non-dropping-particle":"","parse-names":false,"suffix":""},{"dropping-particle":"","family":"Bargargli","given":"R.","non-dropping-particle":"","parse-names":false,"suffix":""},{"dropping-particle":"","family":"Fossi","given":"C.","non-dropping-particle":"","parse-names":false,"suffix":""},{"dropping-particle":"","family":"Leonzio","given":"C.","non-dropping-particle":"","parse-names":false,"suffix":""},{"dropping-particle":"","family":"Marili","given":"L.","non-dropping-particle":"","parse-names":false,"suffix":""}],"container-title":"Environmental Pollution","id":"ITEM-1","issue":"3","issued":{"date-parts":[["1997"]]},"page":"295-301","title":"Chlorinated hydrocarbons in the tissues of South Polar Skuas (Catharacta maccormicki) and Adélie Penguins (Pygoscelis adeliea) from Ross Sea, Antarctica","type":"article-journal","volume":"97"},"uris":["http://www.mendeley.com/documents/?uuid=adf413ff-ce4b-3541-9be6-752cb82494de"]},{"id":"ITEM-2","itemData":{"DOI":"10.1016/j.envpol.2008.10.016","ISSN":"02697491","author":[{"dropping-particle":"","family":"Yogui","given":"G.T.","non-dropping-particle":"","parse-names":false,"suffix":""},{"dropping-particle":"","family":"Sericano","given":"J.L.","non-dropping-particle":"","parse-names":false,"suffix":""}],"container-title":"Environmental Pollution","id":"ITEM-2","issue":"3","issued":{"date-parts":[["2009","3"]]},"page":"975-980","title":"Levels and pattern of polybrominated diphenyl ethers in eggs of Antarctic seabirds: Endemic versus migratory species","type":"article-journal","volume":"157"},"uris":["http://www.mendeley.com/documents/?uuid=ed37ce1f-b867-3c71-a49b-ce98c3f5c974"]},{"id":"ITEM-3","itemData":{"DOI":"10.1016/j.envint.2011.05.017","ISSN":"01604120","author":[{"dropping-particle":"","family":"Corsolini","given":"Simonetta","non-dropping-particle":"","parse-names":false,"suffix":""},{"dropping-particle":"","family":"Borghesi","given":"Nicoletta","non-dropping-particle":"","parse-names":false,"suffix":""},{"dropping-particle":"","family":"Ademollo","given":"Nicoletta","non-dropping-particle":"","parse-names":false,"suffix":""},{"dropping-particle":"","family":"Focardi","given":"Silvano","non-dropping-particle":"","parse-names":false,"suffix":""}],"container-title":"Environment International","id":"ITEM-3","issue":"8","issued":{"date-parts":[["2011","11"]]},"page":"1329-1335","title":"Chlorinated biphenyls and pesticides in migrating and resident seabirds from East and West Antarctica","type":"article-journal","volume":"37"},"uris":["http://www.mendeley.com/documents/?uuid=eb72d211-3a78-3829-a957-0569e7fd8dbe"]},{"id":"ITEM-4","itemData":{"DOI":"10.1021/acs.est.5b03181","ISSN":"0013-936X","author":[{"dropping-particle":"","family":"Kim","given":"Jun-Tae","non-dropping-particle":"","parse-names":false,"suffix":""},{"dropping-particle":"","family":"Son","given":"Min-Hui","non-dropping-particle":"","parse-names":false,"suffix":""},{"dropping-particle":"","family":"Kang","given":"Jung-Ho","non-dropping-particle":"","parse-names":false,"suffix":""},{"dropping-particle":"","family":"Kim","given":"Jeong-Hoon","non-dropping-particle":"","parse-names":false,"suffix":""},{"dropping-particle":"","family":"Jung","given":"Jin-Woo","non-dropping-particle":"","parse-names":false,"suffix":""},{"dropping-particle":"","family":"Chang","given":"Yoon-Seok","non-dropping-particle":"","parse-names":false,"suffix":""}],"container-title":"Environmental Science &amp; Technology","id":"ITEM-4","issue":"22","issued":{"date-parts":[["2015","11","17"]]},"page":"13628-13638","title":"Occurrence of Legacy and New Persistent Organic Pollutants in Avian Tissues from King George Island, Antarctica","type":"article-journal","volume":"49"},"uris":["http://www.mendeley.com/documents/?uuid=11a209b6-d574-33b0-9940-2e4fa6bf2c43"]},{"id":"ITEM-5","itemData":{"DOI":"10.1016/j.envpol.2016.05.041","ISSN":"02697491","author":[{"dropping-particle":"","family":"Colabuono","given":"Fernanda I.","non-dropping-particle":"","parse-names":false,"suffix":""},{"dropping-particle":"","family":"Pol","given":"Stacy S.","non-dropping-particle":"Vander","parse-names":false,"suffix":""},{"dropping-particle":"","family":"Huncik","given":"Kevin M.","non-dropping-particle":"","parse-names":false,"suffix":""},{"dropping-particle":"","family":"Taniguchi","given":"Satie","non-dropping-particle":"","parse-names":false,"suffix":""},{"dropping-particle":"V.","family":"Petry","given":"Maria","non-dropping-particle":"","parse-names":false,"suffix":""},{"dropping-particle":"","family":"Kucklick","given":"John R.","non-dropping-particle":"","parse-names":false,"suffix":""},{"dropping-particle":"","family":"Montone","given":"Rosalinda C.","non-dropping-particle":"","parse-names":false,"suffix":""}],"container-title":"Environmental Pollution","id":"ITEM-5","issued":{"date-parts":[["2016","9"]]},"page":"38-45","title":"Persistent organic pollutants in blood samples of Southern Giant Petrels ( Macronectes giganteus ) from the South Shetland Islands, Antarctica","type":"article-journal","volume":"216"},"uris":["http://www.mendeley.com/documents/?uuid=764070f7-0981-3a19-b1cb-6ca1a4545f1f"]},{"id":"ITEM-6","itemData":{"DOI":"10.1016/J.ENVRES.2016.04.005","ISSN":"0013-9351","abstract":"Studies on Persistent Organic Pollutants (POPs) in Antarctic wildlife are scarce, and usually limited to a single locality. As a result, wildlife exposure to POPs across the Southern Ocean is poorly understood. In this study, we report the differential exposure of the major southern ocean scavengers, the giant petrels, to POPs across a wide latitudinal gradient. Selected POPs (PCBs, HCB, DDTs, PBDEs) and related compounds, such as Dechlorane Plus (DP), were analyzed in plasma of southern giant petrels (Macronectes giganteus) breeding on Livingston (62°S 61°W, Antarctica), Marion (46°S 37°E, sub-Antarctic), and Gough (40°S 10°W, cool temperate) islands. Northern giant petrels (Macronectes halli) from Marion Island were also studied. Stable isotope ratios of C and N (δ13C and δ15N) were used as dietary tracers of the marine habitat and trophic level, respectively. Breeding locality was a major factor explaining petrel exposure to POPs compared with species and sex. Significant relationships between δ13C values and POP burdens, at both inter- and intra-population levels, support latitudinal variations in feeding grounds as a key factor in explaining petrel pollutant burdens. Overall, pollutant levels in giant petrels decreased significantly with latitude, but the relative abundance (%) of the more volatile POPs increased towards Antarctica. DP was found at negligible levels compared with legacy POPs in Antarctic seabirds. Spatial POP patterns found in giant petrels match those predicted by global distribution models, and reinforce the hypothesis of atmospheric long-range transport as the main source of POPs in Antarctica. Our results confirm that wildlife movements out of the polar region markedly increase their exposure to POPs. Therefore, strategies for Antarctic wildlife conservation should consider spatial heterogeneity in exposure to marine pollution. Of particular relevance is the need to clarify the exposure of Antarctic predators to emerging contaminants that are not yet globally regulated.","author":[{"dropping-particle":"","family":"Roscales","given":"Jose L.","non-dropping-particle":"","parse-names":false,"suffix":""},{"dropping-particle":"","family":"González-Solís","given":"Jacob","non-dropping-particle":"","parse-names":false,"suffix":""},{"dropping-particle":"","family":"Zango","given":"Laura","non-dropping-particle":"","parse-names":false,"suffix":""},{"dropping-particle":"","family":"Ryan","given":"Peter G.","non-dropping-particle":"","parse-names":false,"suffix":""},{"dropping-particle":"","family":"Jiménez","given":"Begoña","non-dropping-particle":"","parse-names":false,"suffix":""}],"container-title":"Environmental Research","id":"ITEM-6","issued":{"date-parts":[["2016","7","1"]]},"page":"285-294","publisher":"Academic Press","title":"Latitudinal exposure to DDTs, HCB, PCBs, PBDEs and DP in giant petrels (Macronectes spp.) across the Southern Ocean","type":"article-journal","volume":"148"},"uris":["http://www.mendeley.com/documents/?uuid=83f4bfee-8909-3fe9-98b7-2c08f915a6dc"]},{"id":"ITEM-7","itemData":{"DOI":"10.1016/j.scitotenv.2016.07.080","ISSN":"00489697","author":[{"dropping-particle":"V.","family":"Mello","given":"Flávia","non-dropping-particle":"","parse-names":false,"suffix":""},{"dropping-particle":"","family":"Roscales","given":"Jose L.","non-dropping-particle":"","parse-names":false,"suffix":""},{"dropping-particle":"","family":"Guida","given":"Yago S.","non-dropping-particle":"","parse-names":false,"suffix":""},{"dropping-particle":"","family":"Menezes","given":"Jorge F.S.","non-dropping-particle":"","parse-names":false,"suffix":""},{"dropping-particle":"","family":"Vicente","given":"Alba","non-dropping-particle":"","parse-names":false,"suffix":""},{"dropping-particle":"","family":"Costa","given":"Erli S.","non-dropping-particle":"","parse-names":false,"suffix":""},{"dropping-particle":"","family":"Jiménez","given":"Begoña","non-dropping-particle":"","parse-names":false,"suffix":""},{"dropping-particle":"","family":"Torres","given":"João Paulo M.","non-dropping-particle":"","parse-names":false,"suffix":""}],"container-title":"Science of The Total Environment","id":"ITEM-7","issued":{"date-parts":[["2016","12"]]},"page":"1380-1389","title":"Relationship between legacy and emerging organic pollutants in Antarctic seabirds and their foraging ecology as shown by δ 13 C and δ 15 N","type":"article-journal","volume":"573"},"uris":["http://www.mendeley.com/documents/?uuid=69693526-8fa9-3596-a685-a5f2684b41e3"]},{"id":"ITEM-8","itemData":{"DOI":"10.1016/0143-1471(82)90079-4","ISSN":"0143-1471","abstract":"The concentrations of DDE, PCB, hexachlorobenzene (HCB) and mercury were determined in samples from chinstrap penguin Pygoscelis antarctica, macaroni penguin Eudyptes chrysolophus, snow petrel Pagodroma nivea, Cape pigeon Daption capense, southern fulmar Fulmarus glacialoides, south polar skua Catharacta maccormicki and brown skua Catharacta lonnbergi. The birds were taken in central parts of Vestjella in Dronning Maud Land in February 1977 and at Bouvetøya in the South Atlantic in February 1977 and January 1979. Low levels of DDE, PCB and HCB were found in the two species of penguins, snow petrel, Cape pigeon and southern fulmar, while significantly higher levels were found in south polar and brown skua. The lowest mercury levels were found in the two penguin species and snow petrel. Cape pigeon, southern fulmar and south polar skua form an intermediate group, while the highest mercury levels were found in brown skua. It is assumed that there is a connection between the present findings and the migration pattern of the different birds. The results seem to be in agreement with previous investigations.","author":[{"dropping-particle":"","family":"Norheim","given":"Gunnar","non-dropping-particle":"","parse-names":false,"suffix":""},{"dropping-particle":"","family":"Sømme","given":"Lauritz","non-dropping-particle":"","parse-names":false,"suffix":""},{"dropping-particle":"","family":"Holt","given":"Gunnar","non-dropping-particle":"","parse-names":false,"suffix":""}],"container-title":"Environmental Pollution Series A, Ecological and Biological","id":"ITEM-8","issue":"3","issued":{"date-parts":[["1982","7","1"]]},"page":"233-240","publisher":"Elsevier","title":"Mercury and persistent chlorinated hydrocarbons in antarctic birds from bouvetøya and dronning maud land","type":"article-journal","volume":"28"},"uris":["http://www.mendeley.com/documents/?uuid=eefa2e49-3228-3a31-8087-f682c70c958e"]}],"mendeley":{"formattedCitation":"(Colabuono et al., 2016; Corsolini et al., 2011; Court et al., 1997; Kim et al., 2015; Mello et al., 2016; Norheim et al., 1982; Roscales et al., 2016; Yogui and Sericano, 2009)","plainTextFormattedCitation":"(Colabuono et al., 2016; Corsolini et al., 2011; Court et al., 1997; Kim et al., 2015; Mello et al., 2016; Norheim et al., 1982; Roscales et al., 2016; Yogui and Sericano, 2009)","previouslyFormattedCitation":"(Colabuono et al., 2016; Corsolini et al., 2011; Court et al., 1997; Kim et al., 2015; Mello et al., 2016; Norheim et al., 1982; Roscales et al., 2016; Yogui and Sericano, 2009)"},"properties":{"noteIndex":0},"schema":"https://github.com/citation-style-language/schema/raw/master/csl-citation.json"}</w:instrText>
      </w:r>
      <w:r w:rsidR="00CA13F6">
        <w:fldChar w:fldCharType="separate"/>
      </w:r>
      <w:r w:rsidR="00317534" w:rsidRPr="00317534">
        <w:rPr>
          <w:noProof/>
        </w:rPr>
        <w:t>(Colabuono et al., 2016; Corsolini et al., 2011; Court et al., 1997; Kim et al., 2015; Mello et al., 2016; Norheim et al., 1982; Roscales et al., 2016; Yogui and Sericano, 2009)</w:t>
      </w:r>
      <w:r w:rsidR="00CA13F6">
        <w:fldChar w:fldCharType="end"/>
      </w:r>
      <w:r w:rsidR="002729E3" w:rsidRPr="002729E3">
        <w:t>,</w:t>
      </w:r>
      <w:r w:rsidR="002729E3">
        <w:t xml:space="preserve"> while information on others is </w:t>
      </w:r>
      <w:r w:rsidR="00D9621E">
        <w:t xml:space="preserve">more </w:t>
      </w:r>
      <w:r w:rsidR="00063250">
        <w:t>limited</w:t>
      </w:r>
      <w:r w:rsidR="00B9649E">
        <w:t xml:space="preserve"> </w:t>
      </w:r>
      <w:r w:rsidR="00063250">
        <w:fldChar w:fldCharType="begin" w:fldLock="1"/>
      </w:r>
      <w:r w:rsidR="00317534">
        <w:instrText>ADDIN CSL_CITATION {"citationItems":[{"id":"ITEM-1","itemData":{"DOI":"10.1017/S0954102012001149","ISSN":"0954-1020","author":[{"dropping-particle":"","family":"Cipro","given":"Caio V.Z.","non-dropping-particle":"","parse-names":false,"suffix":""},{"dropping-particle":"","family":"Colabuono","given":"Fernanda I.","non-dropping-particle":"","parse-names":false,"suffix":""},{"dropping-particle":"","family":"Taniguchi","given":"Satie","non-dropping-particle":"","parse-names":false,"suffix":""},{"dropping-particle":"","family":"Montone","given":"Rosalinda Carmela","non-dropping-particle":"","parse-names":false,"suffix":""}],"container-title":"Antarctic Science","id":"ITEM-1","issue":"04","issued":{"date-parts":[["2013","8","11"]]},"page":"545-552","title":"Persistent organic pollutants in bird, fish and invertebrate samples from King George Island, Antarctica","type":"article-journal","volume":"25"},"uris":["http://www.mendeley.com/documents/?uuid=f47d6330-23be-3fd7-9426-f050d8e611a6"]},{"id":"ITEM-2","itemData":{"DOI":"10.1016/J.SCITOTENV.2015.11.114","ISSN":"0048-9697","abstract":"Trace elements (n=14) and persistent organic pollutants (POPs, n=30) were measured in blood, liver, kidney, muscle and feathers of 10 Antarctic prions (Pachyptila desolata) from Kerguelen Islands, southern Indian Ocean, in order to assess their concentrations, tissue distribution, and inter-tissue and inter-contaminant relationships. Liver, kidney and feathers presented the highest burdens of arsenic, cadmium and mercury, respectively. Concentrations of cadmium, copper, iron, and zinc correlated in liver and muscle, suggesting that uptake and pathways of metabolism and storage were similar for these elements. The major POPs were 4,4′-DDE, mirex, PCB-153 and PCB-138. The concentrations and tissue distribution patterns of environmental contaminants were overall in accordance with previous results in other seabirds. Conversely, some Antarctic prions showed surprisingly high concentrations of BDE-209. This compound has been rarely observed in seabirds before, and its presence in Antarctic prions could be due to the species feeding habits or to the ingestion of plastic debris. Overall, the study shows that relatively lower trophic level seabirds (zooplankton-eaters) breeding in the remote southern Indian Ocean are exposed to a wide range of environmental contaminants, in particular cadmium, selenium and some emerging-POPs, which merits further toxicological investigations.","author":[{"dropping-particle":"","family":"Fromant","given":"Aymeric","non-dropping-particle":"","parse-names":false,"suffix":""},{"dropping-particle":"","family":"Carravieri","given":"Alice","non-dropping-particle":"","parse-names":false,"suffix":""},{"dropping-particle":"","family":"Bustamante","given":"Paco","non-dropping-particle":"","parse-names":false,"suffix":""},{"dropping-particle":"","family":"Labadie","given":"Pierre","non-dropping-particle":"","parse-names":false,"suffix":""},{"dropping-particle":"","family":"Budzinski","given":"Hélène","non-dropping-particle":"","parse-names":false,"suffix":""},{"dropping-particle":"","family":"Peluhet","given":"Laurent","non-dropping-particle":"","parse-names":false,"suffix":""},{"dropping-particle":"","family":"Churlaud","given":"Carine","non-dropping-particle":"","parse-names":false,"suffix":""},{"dropping-particle":"","family":"Chastel","given":"Olivier","non-dropping-particle":"","parse-names":false,"suffix":""},{"dropping-particle":"","family":"Cherel","given":"Yves","non-dropping-particle":"","parse-names":false,"suffix":""}],"container-title":"Science of The Total Environment","id":"ITEM-2","issued":{"date-parts":[["2016","2","15"]]},"page":"754-764","publisher":"Elsevier","title":"Wide range of metallic and organic contaminants in various tissues of the Antarctic prion, a planktonophagous seabird from the Southern Ocean","type":"article-journal","volume":"544"},"uris":["http://www.mendeley.com/documents/?uuid=0d769821-1b0f-3582-9b18-f91d27afbd1f"]},{"id":"ITEM-3","itemData":{"DOI":"10.1016/S0048-9697(97)05440-5","ISSN":"00489697","author":[{"dropping-particle":"","family":"Brink","given":"N.W.","non-dropping-particle":"Van den","parse-names":false,"suffix":""}],"container-title":"Science of The Total Environment","id":"ITEM-3","issue":"1","issued":{"date-parts":[["1997","5"]]},"page":"43-50","title":"Directed transport of volatile organochlorine pollutants to polar regions: the effect on the contamination pattern of Antarctic seabirds","type":"article-journal","volume":"198"},"uris":["http://www.mendeley.com/documents/?uuid=f9aa376b-22a9-358c-b9e7-0b14386586b6"]}],"mendeley":{"formattedCitation":"(Cipro et al., 2013; Fromant et al., 2016; Van den Brink, 1997)","plainTextFormattedCitation":"(Cipro et al., 2013; Fromant et al., 2016; Van den Brink, 1997)","previouslyFormattedCitation":"(Cipro et al., 2013; Fromant et al., 2016; Van den Brink, 1997)"},"properties":{"noteIndex":0},"schema":"https://github.com/citation-style-language/schema/raw/master/csl-citation.json"}</w:instrText>
      </w:r>
      <w:r w:rsidR="00063250">
        <w:fldChar w:fldCharType="separate"/>
      </w:r>
      <w:r w:rsidR="00317534" w:rsidRPr="00317534">
        <w:rPr>
          <w:noProof/>
        </w:rPr>
        <w:t>(Cipro et al., 2013; Fromant et al., 2016; Van den Brink, 1997)</w:t>
      </w:r>
      <w:r w:rsidR="00063250">
        <w:fldChar w:fldCharType="end"/>
      </w:r>
      <w:r w:rsidR="002729E3">
        <w:t xml:space="preserve">.   </w:t>
      </w:r>
    </w:p>
    <w:p w14:paraId="0B6FC72D" w14:textId="4A0E79CA" w:rsidR="00FF14F3" w:rsidRDefault="00F10D3C" w:rsidP="00E02605">
      <w:pPr>
        <w:widowControl w:val="0"/>
        <w:autoSpaceDE w:val="0"/>
        <w:autoSpaceDN w:val="0"/>
        <w:adjustRightInd w:val="0"/>
        <w:spacing w:line="360" w:lineRule="auto"/>
      </w:pPr>
      <w:r>
        <w:t xml:space="preserve">In the current study we report a wide range of POPs in different tissues of </w:t>
      </w:r>
      <w:r w:rsidR="000A0793">
        <w:t xml:space="preserve">opportunistically obtained </w:t>
      </w:r>
      <w:r w:rsidR="00407134">
        <w:t>Skua</w:t>
      </w:r>
      <w:r>
        <w:t xml:space="preserve"> and </w:t>
      </w:r>
      <w:r w:rsidR="00407134">
        <w:t>Kelp</w:t>
      </w:r>
      <w:r>
        <w:t xml:space="preserve"> gull specimen. </w:t>
      </w:r>
      <w:r w:rsidR="00547D0C">
        <w:t>T</w:t>
      </w:r>
      <w:r w:rsidR="00347F59">
        <w:t xml:space="preserve">his is the first </w:t>
      </w:r>
      <w:r w:rsidR="00C12320">
        <w:t>article</w:t>
      </w:r>
      <w:r w:rsidR="00347F59">
        <w:t xml:space="preserve"> to do so in </w:t>
      </w:r>
      <w:r w:rsidR="00063250">
        <w:t xml:space="preserve">various tissues of </w:t>
      </w:r>
      <w:r w:rsidR="00407134">
        <w:t>Kelp</w:t>
      </w:r>
      <w:r w:rsidR="00347F59">
        <w:t xml:space="preserve"> gulls. </w:t>
      </w:r>
      <w:r w:rsidR="00707DD1">
        <w:t xml:space="preserve">The data will provide important </w:t>
      </w:r>
      <w:r w:rsidR="00B90C24">
        <w:t xml:space="preserve">insights </w:t>
      </w:r>
      <w:r w:rsidR="00707DD1">
        <w:t xml:space="preserve">to the task of monitoring of POPs in Antarctic birds. </w:t>
      </w:r>
      <w:r w:rsidR="00ED0EF9">
        <w:t xml:space="preserve">  </w:t>
      </w:r>
      <w:r w:rsidR="009700CF">
        <w:t xml:space="preserve"> </w:t>
      </w:r>
    </w:p>
    <w:p w14:paraId="5A38B7E0" w14:textId="77777777" w:rsidR="002A0B5D" w:rsidRPr="002A0B5D" w:rsidRDefault="002A0B5D" w:rsidP="002A0B5D">
      <w:pPr>
        <w:pStyle w:val="ListParagraph"/>
        <w:numPr>
          <w:ilvl w:val="0"/>
          <w:numId w:val="1"/>
        </w:numPr>
      </w:pPr>
      <w:r w:rsidRPr="002A0B5D">
        <w:t>Material and methods</w:t>
      </w:r>
    </w:p>
    <w:p w14:paraId="4CF304DC" w14:textId="77777777" w:rsidR="002A0B5D" w:rsidRPr="002A0B5D" w:rsidRDefault="002A0B5D" w:rsidP="00A5221E">
      <w:pPr>
        <w:spacing w:line="360" w:lineRule="auto"/>
      </w:pPr>
      <w:r>
        <w:t xml:space="preserve">2. </w:t>
      </w:r>
      <w:r w:rsidRPr="002A0B5D">
        <w:t>1 Sample collection and preparation.</w:t>
      </w:r>
    </w:p>
    <w:p w14:paraId="220E48C3" w14:textId="36B02E86" w:rsidR="002A0B5D" w:rsidRPr="002A0B5D" w:rsidRDefault="002A0B5D" w:rsidP="00A5221E">
      <w:pPr>
        <w:spacing w:line="360" w:lineRule="auto"/>
      </w:pPr>
      <w:r w:rsidRPr="002A0B5D">
        <w:t xml:space="preserve">Three corpses of </w:t>
      </w:r>
      <w:r w:rsidR="00547D0C">
        <w:t xml:space="preserve">South Polar Skua </w:t>
      </w:r>
      <w:r w:rsidR="00B90C24" w:rsidRPr="00B90C24">
        <w:rPr>
          <w:lang w:val="en"/>
        </w:rPr>
        <w:t>(</w:t>
      </w:r>
      <w:r w:rsidR="00B90C24" w:rsidRPr="00B90C24">
        <w:rPr>
          <w:i/>
          <w:iCs/>
          <w:lang w:val="en"/>
        </w:rPr>
        <w:t>C</w:t>
      </w:r>
      <w:r w:rsidR="00657939">
        <w:rPr>
          <w:i/>
          <w:iCs/>
          <w:lang w:val="en"/>
        </w:rPr>
        <w:t>.</w:t>
      </w:r>
      <w:r w:rsidR="00B90C24" w:rsidRPr="00B90C24">
        <w:rPr>
          <w:i/>
          <w:iCs/>
          <w:lang w:val="en"/>
        </w:rPr>
        <w:t xml:space="preserve"> maccormicki</w:t>
      </w:r>
      <w:r w:rsidR="00B90C24" w:rsidRPr="00B90C24">
        <w:t xml:space="preserve">) and </w:t>
      </w:r>
      <w:r w:rsidR="00407134">
        <w:t>Kelp</w:t>
      </w:r>
      <w:r w:rsidR="00B90C24" w:rsidRPr="00B90C24">
        <w:t xml:space="preserve"> gulls (</w:t>
      </w:r>
      <w:r w:rsidR="00B90C24" w:rsidRPr="00B90C24">
        <w:rPr>
          <w:i/>
          <w:iCs/>
        </w:rPr>
        <w:t>L</w:t>
      </w:r>
      <w:r w:rsidR="00657939">
        <w:rPr>
          <w:i/>
          <w:iCs/>
        </w:rPr>
        <w:t>.</w:t>
      </w:r>
      <w:r w:rsidR="00B90C24" w:rsidRPr="00B90C24">
        <w:rPr>
          <w:i/>
          <w:iCs/>
        </w:rPr>
        <w:t xml:space="preserve"> </w:t>
      </w:r>
      <w:r w:rsidR="00B85270" w:rsidRPr="00B90C24">
        <w:rPr>
          <w:i/>
          <w:iCs/>
        </w:rPr>
        <w:t>dominicanus</w:t>
      </w:r>
      <w:r w:rsidR="00B85270" w:rsidRPr="00B90C24">
        <w:t xml:space="preserve">) </w:t>
      </w:r>
      <w:r w:rsidR="00B85270" w:rsidRPr="002A0B5D">
        <w:t>were</w:t>
      </w:r>
      <w:r w:rsidRPr="002A0B5D">
        <w:t xml:space="preserve"> opportunistically </w:t>
      </w:r>
      <w:r w:rsidR="00785F24">
        <w:t>collected</w:t>
      </w:r>
      <w:r w:rsidR="00785F24" w:rsidRPr="002A0B5D">
        <w:t xml:space="preserve"> </w:t>
      </w:r>
      <w:r w:rsidR="0088774A">
        <w:t>on</w:t>
      </w:r>
      <w:r w:rsidRPr="002A0B5D">
        <w:t xml:space="preserve"> Rothera </w:t>
      </w:r>
      <w:r w:rsidR="0088774A">
        <w:t>Point</w:t>
      </w:r>
      <w:r w:rsidRPr="002A0B5D">
        <w:t xml:space="preserve"> </w:t>
      </w:r>
      <w:r w:rsidR="0088774A">
        <w:t>(</w:t>
      </w:r>
      <w:r w:rsidRPr="002A0B5D">
        <w:t>67°35'8"S</w:t>
      </w:r>
      <w:r w:rsidR="0088774A">
        <w:t>,</w:t>
      </w:r>
      <w:r w:rsidRPr="002A0B5D">
        <w:t xml:space="preserve"> 68°7'59"W, </w:t>
      </w:r>
      <w:r w:rsidR="00C36EE4">
        <w:t>Fig</w:t>
      </w:r>
      <w:r w:rsidRPr="002A0B5D">
        <w:t xml:space="preserve">. 1) and </w:t>
      </w:r>
      <w:r w:rsidR="00A1585D">
        <w:t>nearby</w:t>
      </w:r>
      <w:r w:rsidR="00A1585D" w:rsidRPr="002A0B5D">
        <w:t xml:space="preserve"> </w:t>
      </w:r>
      <w:r w:rsidRPr="002A0B5D">
        <w:t xml:space="preserve">islands </w:t>
      </w:r>
      <w:r w:rsidR="00D9621E">
        <w:t>in</w:t>
      </w:r>
      <w:r w:rsidR="00A1585D">
        <w:t xml:space="preserve"> </w:t>
      </w:r>
      <w:r w:rsidRPr="002A0B5D">
        <w:t xml:space="preserve">Ryder Bay during the austral summer of 2016-2017. Only adult birds </w:t>
      </w:r>
      <w:r w:rsidR="00A1585D">
        <w:t xml:space="preserve">found dead </w:t>
      </w:r>
      <w:r w:rsidRPr="002A0B5D">
        <w:t>were collected, with the main cause of death determined to be collision</w:t>
      </w:r>
      <w:r w:rsidR="0088774A">
        <w:t>s</w:t>
      </w:r>
      <w:r w:rsidRPr="002A0B5D">
        <w:t xml:space="preserve"> with masts or buildings. The corpses were stored and transported at -20°C until further analysis in the laboratory</w:t>
      </w:r>
      <w:r w:rsidR="000A0D5B">
        <w:t xml:space="preserve"> in the </w:t>
      </w:r>
      <w:r w:rsidR="00D55BE3">
        <w:t>N</w:t>
      </w:r>
      <w:r w:rsidR="000A0D5B">
        <w:t>etherlands</w:t>
      </w:r>
      <w:r w:rsidRPr="002A0B5D">
        <w:t>.  During necropsies</w:t>
      </w:r>
      <w:r w:rsidR="00785F24">
        <w:t>,</w:t>
      </w:r>
      <w:r w:rsidRPr="002A0B5D">
        <w:t xml:space="preserve"> samples of liver, muscle</w:t>
      </w:r>
      <w:r w:rsidR="00A1585D">
        <w:t xml:space="preserve"> and</w:t>
      </w:r>
      <w:r w:rsidRPr="002A0B5D">
        <w:t xml:space="preserve"> subcutaneous fat</w:t>
      </w:r>
      <w:r w:rsidR="00A1585D">
        <w:t xml:space="preserve"> </w:t>
      </w:r>
      <w:r w:rsidRPr="002A0B5D">
        <w:t xml:space="preserve">were collected </w:t>
      </w:r>
      <w:r w:rsidR="0088774A">
        <w:t xml:space="preserve">where </w:t>
      </w:r>
      <w:r w:rsidR="00A1585D">
        <w:t xml:space="preserve">possible, </w:t>
      </w:r>
      <w:r w:rsidRPr="002A0B5D">
        <w:t xml:space="preserve">and </w:t>
      </w:r>
      <w:r w:rsidR="00A1585D">
        <w:t xml:space="preserve">stored </w:t>
      </w:r>
      <w:r w:rsidRPr="002A0B5D">
        <w:t>in hexane pre-cleaned 60ml amber glass vials. Due to scavengers, birds were found in different</w:t>
      </w:r>
      <w:r w:rsidR="00A1585D">
        <w:t xml:space="preserve"> </w:t>
      </w:r>
      <w:r w:rsidR="0088774A">
        <w:t>physical states</w:t>
      </w:r>
      <w:r w:rsidRPr="002A0B5D">
        <w:t xml:space="preserve">, and therefore, it was not possible to sample all the </w:t>
      </w:r>
      <w:r w:rsidR="00275B67">
        <w:t>targeted</w:t>
      </w:r>
      <w:r w:rsidRPr="002A0B5D">
        <w:t xml:space="preserve"> organs in each specimen.</w:t>
      </w:r>
    </w:p>
    <w:p w14:paraId="190A1657" w14:textId="1FF5983C" w:rsidR="002A0B5D" w:rsidRPr="002A0B5D" w:rsidRDefault="007C64E6" w:rsidP="002A0B5D">
      <w:pPr>
        <w:jc w:val="center"/>
      </w:pPr>
      <w:r>
        <w:rPr>
          <w:noProof/>
          <w:lang w:eastAsia="en-GB"/>
        </w:rPr>
        <w:drawing>
          <wp:inline distT="0" distB="0" distL="0" distR="0" wp14:anchorId="2AEC27CE" wp14:editId="40BFDB35">
            <wp:extent cx="4816475" cy="1823085"/>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6475" cy="1823085"/>
                    </a:xfrm>
                    <a:prstGeom prst="rect">
                      <a:avLst/>
                    </a:prstGeom>
                    <a:noFill/>
                  </pic:spPr>
                </pic:pic>
              </a:graphicData>
            </a:graphic>
          </wp:inline>
        </w:drawing>
      </w:r>
    </w:p>
    <w:p w14:paraId="3307D59B" w14:textId="2BDDE933" w:rsidR="002A0B5D" w:rsidRPr="002A0B5D" w:rsidRDefault="002A0B5D" w:rsidP="002A0B5D">
      <w:pPr>
        <w:jc w:val="center"/>
      </w:pPr>
      <w:r w:rsidRPr="002A0B5D">
        <w:t>Fig</w:t>
      </w:r>
      <w:r w:rsidR="00C36EE4">
        <w:t>ure</w:t>
      </w:r>
      <w:r w:rsidRPr="002A0B5D">
        <w:t>1</w:t>
      </w:r>
      <w:r w:rsidR="00C36EE4">
        <w:t>.</w:t>
      </w:r>
      <w:r w:rsidRPr="002A0B5D">
        <w:t xml:space="preserve"> Location of Rothera research station on the </w:t>
      </w:r>
      <w:r w:rsidR="00004B5C">
        <w:t xml:space="preserve">Antarctic continent (left) and </w:t>
      </w:r>
      <w:r w:rsidR="0088774A">
        <w:t>on Adelaide Island</w:t>
      </w:r>
      <w:r w:rsidR="00004B5C">
        <w:t xml:space="preserve"> (right)</w:t>
      </w:r>
      <w:r w:rsidR="0098437E">
        <w:t>.</w:t>
      </w:r>
    </w:p>
    <w:p w14:paraId="4E9A7885" w14:textId="77777777" w:rsidR="002A0B5D" w:rsidRPr="002A0B5D" w:rsidRDefault="002A0B5D" w:rsidP="002A0B5D">
      <w:pPr>
        <w:jc w:val="center"/>
      </w:pPr>
    </w:p>
    <w:p w14:paraId="170E5EA9" w14:textId="77777777" w:rsidR="002A0B5D" w:rsidRPr="002A0B5D" w:rsidRDefault="002A0B5D" w:rsidP="00A5221E">
      <w:pPr>
        <w:spacing w:line="360" w:lineRule="auto"/>
      </w:pPr>
      <w:r>
        <w:t xml:space="preserve">2. </w:t>
      </w:r>
      <w:r w:rsidRPr="002A0B5D">
        <w:t>2 Chemical analysis.</w:t>
      </w:r>
    </w:p>
    <w:p w14:paraId="1D5232CB" w14:textId="77777777" w:rsidR="002A0B5D" w:rsidRPr="002A0B5D" w:rsidRDefault="002A0B5D" w:rsidP="0042290D">
      <w:pPr>
        <w:spacing w:line="360" w:lineRule="auto"/>
      </w:pPr>
      <w:r w:rsidRPr="002A0B5D">
        <w:t xml:space="preserve">The whole procedure </w:t>
      </w:r>
      <w:r w:rsidR="00B32A32">
        <w:t xml:space="preserve">is based on </w:t>
      </w:r>
      <w:r w:rsidRPr="002A0B5D">
        <w:t>the EN 15741:2009</w:t>
      </w:r>
      <w:r w:rsidR="006104E2">
        <w:t xml:space="preserve"> </w:t>
      </w:r>
      <w:r w:rsidR="00866D43">
        <w:fldChar w:fldCharType="begin" w:fldLock="1"/>
      </w:r>
      <w:r w:rsidR="00317534">
        <w:instrText>ADDIN CSL_CITATION {"citationItems":[{"id":"ITEM-1","itemData":{"abstract":"This European Standard is applicable to the determination of polychlorinated dibenzo-p-dioxins (PCDDs), polychlorinated dibenzofurans (PCDFs), (together termed ‘dioxins’ (PCDD/Fs)) and dioxin-like PCBs and non dioxin-like PCBs (dl-PCBs and ndl-PCBs) in animal feeding stuffs. Collaborative studies have been carried out. The method is suitable for the determination of dioxins, dl-PCBs and ndl-PCBs at the appropriate MRL in compound feed and ingredients e.g. oil, mineral clay. The method is applicable to samples containing residues of one or more of the following dioxins, dioxin-like PCBs and indicator PCBs. The limit of quantification (LOQ) for the relevant individual congeners of dioxins/furans is 0,05 pg/g (OCDD/F = 0,1 pg/g), of non-ortho PCBs 0,05 pg/g, of mono-ortho PCBs 10 pg/g and of indicator PCBs 100 pg/g. For determination of dioxins and dioxin-like PCBs, the procedure can be used as confirmatory method as defined by Commission Regulation (EC) No 152/2009 for dioxins and dl-PCB in feed [1]. Confirmatory methods are high-resolution gas chromatography/high resolution mass spectrometry (HRGC/HRMS) methods. If only the analysis of indicator PCBs is required, a GC-LRMS method can be used (e.g. EN 15741 Animal feeding stuffs - Determination of OC-pesticides and PCBs by GC/MS [7] and EN 15742 Animal feeding stuffs - Determination of OC-pesticides and PCBs by GC/ECD [8]) provided that appropriate analytical performance criteria are met in the relevant range for the matrix of interest. This European Standard is split into four modules each describing a part of the whole procedure (see Figure 1 and Figure 2) to be followed: a)\tModule A:\tDescription of standards which might be used; b)\tModule B:\tDescription of extraction procedures; c)\tModule C:\tDescription of clean up procedures; d)\tModule D: GC/HRMS determination. Each module describes a part of the whole method as well as, when applicable, alternatives which should be equivalent. Each module has to be regarded as an example. Combining modules and/or alternatives gives a highly flexible procedure which is \"performance based\". It is permitted to modify the method if all performance criteria laid down in Commission Regulation (EC) No 152/2009 [1] are met. Any deviation of the described method, combination of modules needs to be recorded as part of the QA/QC procedures of accredited laboratories and should be available on request.","author":[{"dropping-particle":"","family":"European Committee for Standardization CEN/TC 327","given":"","non-dropping-particle":"","parse-names":false,"suffix":""}],"id":"ITEM-1","issued":{"date-parts":[["2012"]]},"title":"EN 16215:2012. Animal feeding stuffs - Determination of dioxins and dioxin-like PCBs by GC/HRMS and of indicator PCBs by GC/HRMS","type":"article"},"uris":["http://www.mendeley.com/documents/?uuid=7b4694df-56cf-3400-92be-957691947586"]}],"mendeley":{"formattedCitation":"(European Committee for Standardization CEN/TC 327, 2012)","plainTextFormattedCitation":"(European Committee for Standardization CEN/TC 327, 2012)","previouslyFormattedCitation":"(European Committee for Standardization CEN/TC 327, 2012)"},"properties":{"noteIndex":0},"schema":"https://github.com/citation-style-language/schema/raw/master/csl-citation.json"}</w:instrText>
      </w:r>
      <w:r w:rsidR="00866D43">
        <w:fldChar w:fldCharType="separate"/>
      </w:r>
      <w:r w:rsidR="00317534" w:rsidRPr="00317534">
        <w:rPr>
          <w:noProof/>
        </w:rPr>
        <w:t>(European Committee for Standardization CEN/TC 327, 2012)</w:t>
      </w:r>
      <w:r w:rsidR="00866D43">
        <w:fldChar w:fldCharType="end"/>
      </w:r>
      <w:r w:rsidR="006104E2">
        <w:t xml:space="preserve"> method </w:t>
      </w:r>
      <w:r w:rsidRPr="002A0B5D">
        <w:t>with some adjustments during the extraction step</w:t>
      </w:r>
      <w:r w:rsidR="00A471C9">
        <w:t xml:space="preserve"> (details in Appendix 2A)</w:t>
      </w:r>
      <w:r w:rsidRPr="002A0B5D">
        <w:t xml:space="preserve">. </w:t>
      </w:r>
      <w:r w:rsidR="00B32A32">
        <w:t>In short</w:t>
      </w:r>
      <w:r w:rsidR="00612C9A">
        <w:t>,</w:t>
      </w:r>
      <w:r w:rsidR="00B32A32">
        <w:t xml:space="preserve"> the procedure </w:t>
      </w:r>
      <w:r w:rsidR="00612C9A">
        <w:t xml:space="preserve">was </w:t>
      </w:r>
      <w:r w:rsidR="00B32A32">
        <w:t xml:space="preserve">as follows: </w:t>
      </w:r>
      <w:r w:rsidRPr="002A0B5D">
        <w:t xml:space="preserve">After homogenization, 2 to 6g of sample </w:t>
      </w:r>
      <w:r w:rsidR="00B32A32">
        <w:t>was</w:t>
      </w:r>
      <w:r w:rsidR="00B32A32" w:rsidRPr="002A0B5D">
        <w:t xml:space="preserve"> </w:t>
      </w:r>
      <w:r w:rsidRPr="002A0B5D">
        <w:t xml:space="preserve">transferred into </w:t>
      </w:r>
      <w:r w:rsidR="00751CD5">
        <w:t xml:space="preserve">hexane </w:t>
      </w:r>
      <w:r w:rsidRPr="002A0B5D">
        <w:t xml:space="preserve">pre-cleaned 60ml amber glass tubes, and spiked with </w:t>
      </w:r>
      <w:r w:rsidRPr="002A0B5D">
        <w:rPr>
          <w:vertAlign w:val="superscript"/>
        </w:rPr>
        <w:t>13</w:t>
      </w:r>
      <w:r w:rsidRPr="002A0B5D">
        <w:t>C</w:t>
      </w:r>
      <w:r w:rsidRPr="002A0B5D">
        <w:rPr>
          <w:vertAlign w:val="subscript"/>
        </w:rPr>
        <w:t>12</w:t>
      </w:r>
      <w:r w:rsidRPr="002A0B5D">
        <w:t xml:space="preserve"> standards. MiliQ water was added until the total </w:t>
      </w:r>
      <w:r w:rsidR="00A471C9">
        <w:t xml:space="preserve">sample </w:t>
      </w:r>
      <w:r w:rsidRPr="002A0B5D">
        <w:t xml:space="preserve">volume </w:t>
      </w:r>
      <w:r w:rsidR="00A471C9">
        <w:t>was</w:t>
      </w:r>
      <w:r w:rsidRPr="002A0B5D">
        <w:t xml:space="preserve"> 13ml. </w:t>
      </w:r>
      <w:r w:rsidR="00B32A32">
        <w:t xml:space="preserve">After this </w:t>
      </w:r>
      <w:r w:rsidRPr="002A0B5D">
        <w:t xml:space="preserve">10ml of ethyl acetate </w:t>
      </w:r>
      <w:r w:rsidR="00B32A32">
        <w:t>was</w:t>
      </w:r>
      <w:r w:rsidRPr="002A0B5D">
        <w:t xml:space="preserve"> added, and the mixture was vigorously shaken in an overhead shaker for at least 10 minutes. </w:t>
      </w:r>
      <w:r w:rsidR="00A471C9">
        <w:t>This</w:t>
      </w:r>
      <w:r w:rsidRPr="002A0B5D">
        <w:t xml:space="preserve"> was followed by </w:t>
      </w:r>
      <w:r w:rsidR="00A471C9">
        <w:t>the</w:t>
      </w:r>
      <w:r w:rsidRPr="002A0B5D">
        <w:t xml:space="preserve"> addition of a mix of 2g of sodium chloride and 4g of magnesium sulphate. The samples were then centrifuged for at least 10 minutes at </w:t>
      </w:r>
      <w:r w:rsidR="00B90C24">
        <w:t>350G</w:t>
      </w:r>
      <w:r w:rsidRPr="002A0B5D">
        <w:t xml:space="preserve">. The ethyl acetate supernatant was </w:t>
      </w:r>
      <w:r w:rsidR="00AA6117">
        <w:t xml:space="preserve">then </w:t>
      </w:r>
      <w:r w:rsidRPr="002A0B5D">
        <w:t xml:space="preserve">transferred into a Turbovap® tube, and the </w:t>
      </w:r>
      <w:r w:rsidRPr="002A0B5D">
        <w:lastRenderedPageBreak/>
        <w:t xml:space="preserve">procedure was repeated 2 times, starting from the addition of 10ml of ethyl acetate, so that the total extract volume </w:t>
      </w:r>
      <w:r w:rsidR="00AA6117">
        <w:t>at the end of the process was</w:t>
      </w:r>
      <w:r w:rsidRPr="002A0B5D">
        <w:t xml:space="preserve"> 30ml. </w:t>
      </w:r>
      <w:r w:rsidR="00AB03D5">
        <w:t>The samples were then</w:t>
      </w:r>
      <w:r w:rsidR="00785F24">
        <w:t xml:space="preserve"> concentrated to </w:t>
      </w:r>
      <w:r w:rsidRPr="002A0B5D">
        <w:t>1ml, and carefully transferred to new pre-cleaned 60ml amber glass tubes. 27ml of hexane and 10g of 40% acidic silica were added</w:t>
      </w:r>
      <w:r w:rsidR="00785F24">
        <w:t xml:space="preserve"> to each sample</w:t>
      </w:r>
      <w:r w:rsidRPr="002A0B5D">
        <w:t xml:space="preserve"> and left overnight. </w:t>
      </w:r>
      <w:r w:rsidR="00AA6117">
        <w:t>T</w:t>
      </w:r>
      <w:r w:rsidRPr="002A0B5D">
        <w:t>he hexane fraction was</w:t>
      </w:r>
      <w:r w:rsidR="00AA6117">
        <w:t xml:space="preserve"> then</w:t>
      </w:r>
      <w:r w:rsidRPr="002A0B5D">
        <w:t xml:space="preserve"> transferred to a hexane pre-cleaned Turbovap® tube, and evaporated to 1ml</w:t>
      </w:r>
      <w:r w:rsidR="00AA6117">
        <w:t>,</w:t>
      </w:r>
      <w:r w:rsidR="00B32A32">
        <w:t xml:space="preserve"> after </w:t>
      </w:r>
      <w:r w:rsidR="00AB03D5">
        <w:t>which the</w:t>
      </w:r>
      <w:r w:rsidRPr="002A0B5D">
        <w:t xml:space="preserve"> sample was </w:t>
      </w:r>
      <w:r w:rsidR="00F15562">
        <w:t xml:space="preserve">passed through a </w:t>
      </w:r>
      <w:r w:rsidRPr="002A0B5D">
        <w:t>clean-up column which consisted of 1g of activated silica and 8g of 40% acidic silica</w:t>
      </w:r>
      <w:r w:rsidR="00785F24">
        <w:t xml:space="preserve">. The sample was </w:t>
      </w:r>
      <w:r w:rsidRPr="002A0B5D">
        <w:t>eluted with 25ml of hexane</w:t>
      </w:r>
      <w:r w:rsidR="00B32A32">
        <w:t xml:space="preserve"> and </w:t>
      </w:r>
      <w:r w:rsidR="005100ED">
        <w:t xml:space="preserve">subsequently </w:t>
      </w:r>
      <w:r w:rsidRPr="002A0B5D">
        <w:t xml:space="preserve">by a mixture of 18ml hexane </w:t>
      </w:r>
      <w:r w:rsidR="009573F9">
        <w:t xml:space="preserve">and </w:t>
      </w:r>
      <w:r w:rsidRPr="002A0B5D">
        <w:t>12ml dichloromethane.  The resulting solvent mixture was evaporated in a Turbovap® to 1ml, and a solvent exchange to iso-octane was performed. The resulting 1ml of extract in iso-octane was then stored at -20</w:t>
      </w:r>
      <w:r w:rsidR="00D67361">
        <w:t>°C</w:t>
      </w:r>
      <w:r w:rsidRPr="002A0B5D">
        <w:t xml:space="preserve"> until measurement</w:t>
      </w:r>
      <w:r w:rsidR="00D67361">
        <w:t>s of PC</w:t>
      </w:r>
      <w:r w:rsidR="00F83A2F">
        <w:t>Bs</w:t>
      </w:r>
      <w:r w:rsidR="00D67361">
        <w:t>, PBDE</w:t>
      </w:r>
      <w:r w:rsidR="00F83A2F">
        <w:t>s</w:t>
      </w:r>
      <w:r w:rsidR="00D67361">
        <w:t xml:space="preserve"> and OCP</w:t>
      </w:r>
      <w:r w:rsidR="00F83A2F">
        <w:t>s</w:t>
      </w:r>
      <w:r w:rsidR="00D67361">
        <w:t xml:space="preserve"> were made</w:t>
      </w:r>
      <w:r w:rsidRPr="002A0B5D">
        <w:t xml:space="preserve">.        </w:t>
      </w:r>
    </w:p>
    <w:p w14:paraId="75734E77" w14:textId="77777777" w:rsidR="002A0B5D" w:rsidRDefault="002A0B5D" w:rsidP="00A5221E">
      <w:pPr>
        <w:spacing w:line="360" w:lineRule="auto"/>
      </w:pPr>
      <w:r w:rsidRPr="002A0B5D">
        <w:t xml:space="preserve">Table 1 presents the full list of POPs analysed in this study. </w:t>
      </w:r>
    </w:p>
    <w:p w14:paraId="63961853" w14:textId="77777777" w:rsidR="00A5221E" w:rsidRPr="002A0B5D" w:rsidRDefault="00A5221E" w:rsidP="00A5221E">
      <w:pPr>
        <w:spacing w:line="360" w:lineRule="auto"/>
      </w:pPr>
    </w:p>
    <w:p w14:paraId="103013FA" w14:textId="77777777" w:rsidR="002A0B5D" w:rsidRPr="002A0B5D" w:rsidRDefault="002A0B5D" w:rsidP="002A0B5D">
      <w:pPr>
        <w:jc w:val="right"/>
      </w:pPr>
      <w:r w:rsidRPr="002A0B5D">
        <w:t xml:space="preserve">Table 1.Chemical compounds analysed in the current study. </w:t>
      </w:r>
    </w:p>
    <w:tbl>
      <w:tblPr>
        <w:tblW w:w="3397" w:type="dxa"/>
        <w:jc w:val="center"/>
        <w:tblLook w:val="04A0" w:firstRow="1" w:lastRow="0" w:firstColumn="1" w:lastColumn="0" w:noHBand="0" w:noVBand="1"/>
      </w:tblPr>
      <w:tblGrid>
        <w:gridCol w:w="960"/>
        <w:gridCol w:w="960"/>
        <w:gridCol w:w="1477"/>
      </w:tblGrid>
      <w:tr w:rsidR="002A0B5D" w:rsidRPr="002A0B5D" w14:paraId="6DDD099F" w14:textId="77777777" w:rsidTr="00B32A3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B1FE9" w14:textId="77777777" w:rsidR="002A0B5D" w:rsidRPr="002A0B5D" w:rsidRDefault="002A0B5D" w:rsidP="002A0B5D">
            <w:pPr>
              <w:spacing w:after="0" w:line="240" w:lineRule="auto"/>
              <w:jc w:val="center"/>
              <w:rPr>
                <w:rFonts w:ascii="Calibri" w:eastAsia="Times New Roman" w:hAnsi="Calibri" w:cs="Times New Roman"/>
                <w:b/>
                <w:bCs/>
                <w:color w:val="000000"/>
                <w:szCs w:val="17"/>
                <w:lang w:eastAsia="en-GB"/>
              </w:rPr>
            </w:pPr>
            <w:r w:rsidRPr="002A0B5D">
              <w:rPr>
                <w:rFonts w:ascii="Calibri" w:eastAsia="Times New Roman" w:hAnsi="Calibri" w:cs="Times New Roman"/>
                <w:b/>
                <w:bCs/>
                <w:color w:val="000000"/>
                <w:szCs w:val="17"/>
                <w:lang w:eastAsia="en-GB"/>
              </w:rPr>
              <w:t>PCBs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83E910" w14:textId="77777777" w:rsidR="002A0B5D" w:rsidRPr="002A0B5D" w:rsidRDefault="002A0B5D" w:rsidP="002A0B5D">
            <w:pPr>
              <w:spacing w:after="0" w:line="240" w:lineRule="auto"/>
              <w:jc w:val="center"/>
              <w:rPr>
                <w:rFonts w:ascii="Calibri" w:eastAsia="Times New Roman" w:hAnsi="Calibri" w:cs="Times New Roman"/>
                <w:b/>
                <w:bCs/>
                <w:color w:val="000000"/>
                <w:szCs w:val="17"/>
                <w:lang w:eastAsia="en-GB"/>
              </w:rPr>
            </w:pPr>
            <w:r w:rsidRPr="002A0B5D">
              <w:rPr>
                <w:rFonts w:ascii="Calibri" w:eastAsia="Times New Roman" w:hAnsi="Calibri" w:cs="Times New Roman"/>
                <w:b/>
                <w:bCs/>
                <w:color w:val="000000"/>
                <w:szCs w:val="17"/>
                <w:lang w:eastAsia="en-GB"/>
              </w:rPr>
              <w:t>PBDEs</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14:paraId="4C90E639" w14:textId="77777777" w:rsidR="002A0B5D" w:rsidRPr="002A0B5D" w:rsidRDefault="002A0B5D" w:rsidP="002A0B5D">
            <w:pPr>
              <w:spacing w:after="0" w:line="240" w:lineRule="auto"/>
              <w:jc w:val="center"/>
              <w:rPr>
                <w:rFonts w:ascii="Calibri" w:eastAsia="Times New Roman" w:hAnsi="Calibri" w:cs="Times New Roman"/>
                <w:b/>
                <w:bCs/>
                <w:color w:val="000000"/>
                <w:szCs w:val="17"/>
                <w:lang w:eastAsia="en-GB"/>
              </w:rPr>
            </w:pPr>
            <w:r w:rsidRPr="002A0B5D">
              <w:rPr>
                <w:rFonts w:ascii="Calibri" w:eastAsia="Times New Roman" w:hAnsi="Calibri" w:cs="Times New Roman"/>
                <w:b/>
                <w:bCs/>
                <w:color w:val="000000"/>
                <w:szCs w:val="17"/>
                <w:lang w:eastAsia="en-GB"/>
              </w:rPr>
              <w:t>OCPs</w:t>
            </w:r>
          </w:p>
        </w:tc>
      </w:tr>
      <w:tr w:rsidR="002A0B5D" w:rsidRPr="002A0B5D" w14:paraId="44DC986D"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53C70EB3"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28</w:t>
            </w:r>
          </w:p>
        </w:tc>
        <w:tc>
          <w:tcPr>
            <w:tcW w:w="960" w:type="dxa"/>
            <w:tcBorders>
              <w:top w:val="nil"/>
              <w:left w:val="single" w:sz="4" w:space="0" w:color="auto"/>
              <w:bottom w:val="nil"/>
              <w:right w:val="single" w:sz="4" w:space="0" w:color="auto"/>
            </w:tcBorders>
            <w:shd w:val="clear" w:color="auto" w:fill="auto"/>
            <w:noWrap/>
            <w:vAlign w:val="bottom"/>
            <w:hideMark/>
          </w:tcPr>
          <w:p w14:paraId="168BBF46"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BDE-47</w:t>
            </w:r>
          </w:p>
        </w:tc>
        <w:tc>
          <w:tcPr>
            <w:tcW w:w="1477" w:type="dxa"/>
            <w:tcBorders>
              <w:top w:val="nil"/>
              <w:left w:val="nil"/>
              <w:bottom w:val="nil"/>
              <w:right w:val="single" w:sz="4" w:space="0" w:color="auto"/>
            </w:tcBorders>
            <w:shd w:val="clear" w:color="auto" w:fill="auto"/>
            <w:noWrap/>
            <w:vAlign w:val="bottom"/>
            <w:hideMark/>
          </w:tcPr>
          <w:p w14:paraId="0A359688"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HCB</w:t>
            </w:r>
          </w:p>
        </w:tc>
      </w:tr>
      <w:tr w:rsidR="002A0B5D" w:rsidRPr="002A0B5D" w14:paraId="7F3F6882"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5DD07034"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52</w:t>
            </w:r>
          </w:p>
        </w:tc>
        <w:tc>
          <w:tcPr>
            <w:tcW w:w="960" w:type="dxa"/>
            <w:tcBorders>
              <w:top w:val="nil"/>
              <w:left w:val="single" w:sz="4" w:space="0" w:color="auto"/>
              <w:bottom w:val="nil"/>
              <w:right w:val="single" w:sz="4" w:space="0" w:color="auto"/>
            </w:tcBorders>
            <w:shd w:val="clear" w:color="auto" w:fill="auto"/>
            <w:noWrap/>
            <w:vAlign w:val="bottom"/>
            <w:hideMark/>
          </w:tcPr>
          <w:p w14:paraId="206D563B"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BDE-66</w:t>
            </w:r>
          </w:p>
        </w:tc>
        <w:tc>
          <w:tcPr>
            <w:tcW w:w="1477" w:type="dxa"/>
            <w:tcBorders>
              <w:top w:val="nil"/>
              <w:left w:val="nil"/>
              <w:bottom w:val="nil"/>
              <w:right w:val="single" w:sz="4" w:space="0" w:color="auto"/>
            </w:tcBorders>
            <w:shd w:val="clear" w:color="auto" w:fill="auto"/>
            <w:noWrap/>
            <w:vAlign w:val="bottom"/>
            <w:hideMark/>
          </w:tcPr>
          <w:p w14:paraId="1D91D905"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HCH-α</w:t>
            </w:r>
          </w:p>
        </w:tc>
      </w:tr>
      <w:tr w:rsidR="002A0B5D" w:rsidRPr="002A0B5D" w14:paraId="521E4198"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3E993F4F"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101</w:t>
            </w:r>
          </w:p>
        </w:tc>
        <w:tc>
          <w:tcPr>
            <w:tcW w:w="960" w:type="dxa"/>
            <w:tcBorders>
              <w:top w:val="nil"/>
              <w:left w:val="single" w:sz="4" w:space="0" w:color="auto"/>
              <w:bottom w:val="nil"/>
              <w:right w:val="single" w:sz="4" w:space="0" w:color="auto"/>
            </w:tcBorders>
            <w:shd w:val="clear" w:color="auto" w:fill="auto"/>
            <w:noWrap/>
            <w:vAlign w:val="bottom"/>
            <w:hideMark/>
          </w:tcPr>
          <w:p w14:paraId="181E8BC0"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BDE-85</w:t>
            </w:r>
          </w:p>
        </w:tc>
        <w:tc>
          <w:tcPr>
            <w:tcW w:w="1477" w:type="dxa"/>
            <w:tcBorders>
              <w:top w:val="nil"/>
              <w:left w:val="nil"/>
              <w:bottom w:val="nil"/>
              <w:right w:val="single" w:sz="4" w:space="0" w:color="auto"/>
            </w:tcBorders>
            <w:shd w:val="clear" w:color="auto" w:fill="auto"/>
            <w:noWrap/>
            <w:vAlign w:val="bottom"/>
            <w:hideMark/>
          </w:tcPr>
          <w:p w14:paraId="66E3F441"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HCH-γ</w:t>
            </w:r>
          </w:p>
        </w:tc>
      </w:tr>
      <w:tr w:rsidR="002A0B5D" w:rsidRPr="002A0B5D" w14:paraId="7CF66087"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6DC75835"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105</w:t>
            </w:r>
          </w:p>
        </w:tc>
        <w:tc>
          <w:tcPr>
            <w:tcW w:w="960" w:type="dxa"/>
            <w:tcBorders>
              <w:top w:val="nil"/>
              <w:left w:val="single" w:sz="4" w:space="0" w:color="auto"/>
              <w:bottom w:val="nil"/>
              <w:right w:val="single" w:sz="4" w:space="0" w:color="auto"/>
            </w:tcBorders>
            <w:shd w:val="clear" w:color="auto" w:fill="auto"/>
            <w:noWrap/>
            <w:vAlign w:val="bottom"/>
            <w:hideMark/>
          </w:tcPr>
          <w:p w14:paraId="138FC9FD"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BDE-99</w:t>
            </w:r>
          </w:p>
        </w:tc>
        <w:tc>
          <w:tcPr>
            <w:tcW w:w="1477" w:type="dxa"/>
            <w:tcBorders>
              <w:top w:val="nil"/>
              <w:left w:val="nil"/>
              <w:bottom w:val="nil"/>
              <w:right w:val="single" w:sz="4" w:space="0" w:color="auto"/>
            </w:tcBorders>
            <w:shd w:val="clear" w:color="auto" w:fill="auto"/>
            <w:noWrap/>
            <w:vAlign w:val="bottom"/>
            <w:hideMark/>
          </w:tcPr>
          <w:p w14:paraId="0E44B592"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HCH-β</w:t>
            </w:r>
          </w:p>
        </w:tc>
      </w:tr>
      <w:tr w:rsidR="002A0B5D" w:rsidRPr="002A0B5D" w14:paraId="50FA5099"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12E2079E"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114</w:t>
            </w:r>
          </w:p>
        </w:tc>
        <w:tc>
          <w:tcPr>
            <w:tcW w:w="960" w:type="dxa"/>
            <w:tcBorders>
              <w:top w:val="nil"/>
              <w:left w:val="single" w:sz="4" w:space="0" w:color="auto"/>
              <w:bottom w:val="nil"/>
              <w:right w:val="single" w:sz="4" w:space="0" w:color="auto"/>
            </w:tcBorders>
            <w:shd w:val="clear" w:color="auto" w:fill="auto"/>
            <w:noWrap/>
            <w:vAlign w:val="bottom"/>
            <w:hideMark/>
          </w:tcPr>
          <w:p w14:paraId="044AF385"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BDE-100</w:t>
            </w:r>
          </w:p>
        </w:tc>
        <w:tc>
          <w:tcPr>
            <w:tcW w:w="1477" w:type="dxa"/>
            <w:tcBorders>
              <w:top w:val="nil"/>
              <w:left w:val="nil"/>
              <w:bottom w:val="nil"/>
              <w:right w:val="single" w:sz="4" w:space="0" w:color="auto"/>
            </w:tcBorders>
            <w:shd w:val="clear" w:color="auto" w:fill="auto"/>
            <w:noWrap/>
            <w:vAlign w:val="bottom"/>
            <w:hideMark/>
          </w:tcPr>
          <w:p w14:paraId="4A6CF4DB"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HCH-δ</w:t>
            </w:r>
          </w:p>
        </w:tc>
      </w:tr>
      <w:tr w:rsidR="002A0B5D" w:rsidRPr="002A0B5D" w14:paraId="0C6EA0E1"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2DF2CBA9"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118</w:t>
            </w:r>
          </w:p>
        </w:tc>
        <w:tc>
          <w:tcPr>
            <w:tcW w:w="960" w:type="dxa"/>
            <w:tcBorders>
              <w:top w:val="nil"/>
              <w:left w:val="single" w:sz="4" w:space="0" w:color="auto"/>
              <w:bottom w:val="nil"/>
              <w:right w:val="single" w:sz="4" w:space="0" w:color="auto"/>
            </w:tcBorders>
            <w:shd w:val="clear" w:color="auto" w:fill="auto"/>
            <w:noWrap/>
            <w:vAlign w:val="bottom"/>
            <w:hideMark/>
          </w:tcPr>
          <w:p w14:paraId="567BD036"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BDE-138</w:t>
            </w:r>
          </w:p>
        </w:tc>
        <w:tc>
          <w:tcPr>
            <w:tcW w:w="1477" w:type="dxa"/>
            <w:tcBorders>
              <w:top w:val="nil"/>
              <w:left w:val="nil"/>
              <w:bottom w:val="nil"/>
              <w:right w:val="single" w:sz="4" w:space="0" w:color="auto"/>
            </w:tcBorders>
            <w:shd w:val="clear" w:color="auto" w:fill="auto"/>
            <w:noWrap/>
            <w:vAlign w:val="bottom"/>
            <w:hideMark/>
          </w:tcPr>
          <w:p w14:paraId="66EF7BD6"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Heptachlor</w:t>
            </w:r>
          </w:p>
        </w:tc>
      </w:tr>
      <w:tr w:rsidR="002A0B5D" w:rsidRPr="002A0B5D" w14:paraId="08B92057"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0B1E8CF1"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123</w:t>
            </w:r>
          </w:p>
        </w:tc>
        <w:tc>
          <w:tcPr>
            <w:tcW w:w="960" w:type="dxa"/>
            <w:tcBorders>
              <w:top w:val="nil"/>
              <w:left w:val="single" w:sz="4" w:space="0" w:color="auto"/>
              <w:bottom w:val="nil"/>
              <w:right w:val="single" w:sz="4" w:space="0" w:color="auto"/>
            </w:tcBorders>
            <w:shd w:val="clear" w:color="auto" w:fill="auto"/>
            <w:noWrap/>
            <w:vAlign w:val="bottom"/>
            <w:hideMark/>
          </w:tcPr>
          <w:p w14:paraId="2E11ABAE"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BDE-153</w:t>
            </w:r>
          </w:p>
        </w:tc>
        <w:tc>
          <w:tcPr>
            <w:tcW w:w="1477" w:type="dxa"/>
            <w:tcBorders>
              <w:top w:val="nil"/>
              <w:left w:val="nil"/>
              <w:bottom w:val="nil"/>
              <w:right w:val="single" w:sz="4" w:space="0" w:color="auto"/>
            </w:tcBorders>
            <w:shd w:val="clear" w:color="auto" w:fill="auto"/>
            <w:noWrap/>
            <w:vAlign w:val="bottom"/>
            <w:hideMark/>
          </w:tcPr>
          <w:p w14:paraId="76F3F98A"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op'-DDE</w:t>
            </w:r>
          </w:p>
        </w:tc>
      </w:tr>
      <w:tr w:rsidR="002A0B5D" w:rsidRPr="002A0B5D" w14:paraId="5C9C6B5A"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411A712A"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138</w:t>
            </w:r>
          </w:p>
        </w:tc>
        <w:tc>
          <w:tcPr>
            <w:tcW w:w="960" w:type="dxa"/>
            <w:tcBorders>
              <w:top w:val="nil"/>
              <w:left w:val="single" w:sz="4" w:space="0" w:color="auto"/>
              <w:bottom w:val="nil"/>
              <w:right w:val="single" w:sz="4" w:space="0" w:color="auto"/>
            </w:tcBorders>
            <w:shd w:val="clear" w:color="auto" w:fill="auto"/>
            <w:noWrap/>
            <w:vAlign w:val="bottom"/>
            <w:hideMark/>
          </w:tcPr>
          <w:p w14:paraId="2E741DA5"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BDE-154</w:t>
            </w:r>
          </w:p>
        </w:tc>
        <w:tc>
          <w:tcPr>
            <w:tcW w:w="1477" w:type="dxa"/>
            <w:tcBorders>
              <w:top w:val="nil"/>
              <w:left w:val="nil"/>
              <w:bottom w:val="nil"/>
              <w:right w:val="single" w:sz="4" w:space="0" w:color="auto"/>
            </w:tcBorders>
            <w:shd w:val="clear" w:color="auto" w:fill="auto"/>
            <w:noWrap/>
            <w:vAlign w:val="bottom"/>
            <w:hideMark/>
          </w:tcPr>
          <w:p w14:paraId="37A1FE10"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trans-Chlordane</w:t>
            </w:r>
          </w:p>
        </w:tc>
      </w:tr>
      <w:tr w:rsidR="002A0B5D" w:rsidRPr="002A0B5D" w14:paraId="4FC21243"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77CF36BB"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153</w:t>
            </w:r>
          </w:p>
        </w:tc>
        <w:tc>
          <w:tcPr>
            <w:tcW w:w="960" w:type="dxa"/>
            <w:tcBorders>
              <w:top w:val="nil"/>
              <w:left w:val="single" w:sz="4" w:space="0" w:color="auto"/>
              <w:bottom w:val="nil"/>
              <w:right w:val="single" w:sz="4" w:space="0" w:color="auto"/>
            </w:tcBorders>
            <w:shd w:val="clear" w:color="auto" w:fill="auto"/>
            <w:noWrap/>
            <w:vAlign w:val="bottom"/>
            <w:hideMark/>
          </w:tcPr>
          <w:p w14:paraId="6373985F"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BDE-183</w:t>
            </w:r>
          </w:p>
        </w:tc>
        <w:tc>
          <w:tcPr>
            <w:tcW w:w="1477" w:type="dxa"/>
            <w:tcBorders>
              <w:top w:val="nil"/>
              <w:left w:val="nil"/>
              <w:bottom w:val="nil"/>
              <w:right w:val="single" w:sz="4" w:space="0" w:color="auto"/>
            </w:tcBorders>
            <w:shd w:val="clear" w:color="auto" w:fill="auto"/>
            <w:noWrap/>
            <w:vAlign w:val="bottom"/>
            <w:hideMark/>
          </w:tcPr>
          <w:p w14:paraId="64A958D7"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cis-Chlordane</w:t>
            </w:r>
          </w:p>
        </w:tc>
      </w:tr>
      <w:tr w:rsidR="002A0B5D" w:rsidRPr="002A0B5D" w14:paraId="16BC2D3B"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63436C3B"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156</w:t>
            </w:r>
          </w:p>
        </w:tc>
        <w:tc>
          <w:tcPr>
            <w:tcW w:w="960" w:type="dxa"/>
            <w:tcBorders>
              <w:top w:val="nil"/>
              <w:left w:val="single" w:sz="4" w:space="0" w:color="auto"/>
              <w:bottom w:val="nil"/>
              <w:right w:val="single" w:sz="4" w:space="0" w:color="auto"/>
            </w:tcBorders>
            <w:shd w:val="clear" w:color="auto" w:fill="auto"/>
            <w:noWrap/>
            <w:vAlign w:val="bottom"/>
            <w:hideMark/>
          </w:tcPr>
          <w:p w14:paraId="2C9BEFBF"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 </w:t>
            </w:r>
          </w:p>
        </w:tc>
        <w:tc>
          <w:tcPr>
            <w:tcW w:w="1477" w:type="dxa"/>
            <w:tcBorders>
              <w:top w:val="nil"/>
              <w:left w:val="nil"/>
              <w:bottom w:val="nil"/>
              <w:right w:val="single" w:sz="4" w:space="0" w:color="auto"/>
            </w:tcBorders>
            <w:shd w:val="clear" w:color="auto" w:fill="auto"/>
            <w:noWrap/>
            <w:vAlign w:val="bottom"/>
            <w:hideMark/>
          </w:tcPr>
          <w:p w14:paraId="754943D5"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pp'-DDE</w:t>
            </w:r>
          </w:p>
        </w:tc>
      </w:tr>
      <w:tr w:rsidR="002A0B5D" w:rsidRPr="002A0B5D" w14:paraId="297979A9"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4C1FE4CF"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157</w:t>
            </w:r>
          </w:p>
        </w:tc>
        <w:tc>
          <w:tcPr>
            <w:tcW w:w="960" w:type="dxa"/>
            <w:tcBorders>
              <w:top w:val="nil"/>
              <w:left w:val="single" w:sz="4" w:space="0" w:color="auto"/>
              <w:bottom w:val="nil"/>
              <w:right w:val="single" w:sz="4" w:space="0" w:color="auto"/>
            </w:tcBorders>
            <w:shd w:val="clear" w:color="auto" w:fill="auto"/>
            <w:noWrap/>
            <w:vAlign w:val="bottom"/>
            <w:hideMark/>
          </w:tcPr>
          <w:p w14:paraId="7E99B1C3"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 </w:t>
            </w:r>
          </w:p>
        </w:tc>
        <w:tc>
          <w:tcPr>
            <w:tcW w:w="1477" w:type="dxa"/>
            <w:tcBorders>
              <w:top w:val="nil"/>
              <w:left w:val="nil"/>
              <w:bottom w:val="nil"/>
              <w:right w:val="single" w:sz="4" w:space="0" w:color="auto"/>
            </w:tcBorders>
            <w:shd w:val="clear" w:color="auto" w:fill="auto"/>
            <w:noWrap/>
            <w:vAlign w:val="bottom"/>
            <w:hideMark/>
          </w:tcPr>
          <w:p w14:paraId="69457A80"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Endosulfan-α</w:t>
            </w:r>
          </w:p>
        </w:tc>
      </w:tr>
      <w:tr w:rsidR="002A0B5D" w:rsidRPr="002A0B5D" w14:paraId="40BFB8F7"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343D1738"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167</w:t>
            </w:r>
          </w:p>
        </w:tc>
        <w:tc>
          <w:tcPr>
            <w:tcW w:w="960" w:type="dxa"/>
            <w:tcBorders>
              <w:top w:val="nil"/>
              <w:left w:val="single" w:sz="4" w:space="0" w:color="auto"/>
              <w:bottom w:val="nil"/>
              <w:right w:val="single" w:sz="4" w:space="0" w:color="auto"/>
            </w:tcBorders>
            <w:shd w:val="clear" w:color="auto" w:fill="auto"/>
            <w:noWrap/>
            <w:vAlign w:val="bottom"/>
            <w:hideMark/>
          </w:tcPr>
          <w:p w14:paraId="26B09C7B"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 </w:t>
            </w:r>
          </w:p>
        </w:tc>
        <w:tc>
          <w:tcPr>
            <w:tcW w:w="1477" w:type="dxa"/>
            <w:tcBorders>
              <w:top w:val="nil"/>
              <w:left w:val="nil"/>
              <w:bottom w:val="nil"/>
              <w:right w:val="single" w:sz="4" w:space="0" w:color="auto"/>
            </w:tcBorders>
            <w:shd w:val="clear" w:color="auto" w:fill="auto"/>
            <w:noWrap/>
            <w:vAlign w:val="bottom"/>
            <w:hideMark/>
          </w:tcPr>
          <w:p w14:paraId="606FEC0E"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 xml:space="preserve">op'-DDD </w:t>
            </w:r>
          </w:p>
        </w:tc>
      </w:tr>
      <w:tr w:rsidR="002A0B5D" w:rsidRPr="002A0B5D" w14:paraId="208434A2"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1627BA71"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180</w:t>
            </w:r>
          </w:p>
        </w:tc>
        <w:tc>
          <w:tcPr>
            <w:tcW w:w="960" w:type="dxa"/>
            <w:tcBorders>
              <w:top w:val="nil"/>
              <w:left w:val="single" w:sz="4" w:space="0" w:color="auto"/>
              <w:bottom w:val="nil"/>
              <w:right w:val="single" w:sz="4" w:space="0" w:color="auto"/>
            </w:tcBorders>
            <w:shd w:val="clear" w:color="auto" w:fill="auto"/>
            <w:noWrap/>
            <w:vAlign w:val="bottom"/>
            <w:hideMark/>
          </w:tcPr>
          <w:p w14:paraId="0D284B4F"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 </w:t>
            </w:r>
          </w:p>
        </w:tc>
        <w:tc>
          <w:tcPr>
            <w:tcW w:w="1477" w:type="dxa"/>
            <w:tcBorders>
              <w:top w:val="nil"/>
              <w:left w:val="nil"/>
              <w:bottom w:val="nil"/>
              <w:right w:val="single" w:sz="4" w:space="0" w:color="auto"/>
            </w:tcBorders>
            <w:shd w:val="clear" w:color="auto" w:fill="auto"/>
            <w:noWrap/>
            <w:vAlign w:val="bottom"/>
            <w:hideMark/>
          </w:tcPr>
          <w:p w14:paraId="5DDDC966"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op'-DDT</w:t>
            </w:r>
          </w:p>
        </w:tc>
      </w:tr>
      <w:tr w:rsidR="002A0B5D" w:rsidRPr="002A0B5D" w14:paraId="26350863"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0AE3F7E2"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PCB 189</w:t>
            </w:r>
          </w:p>
        </w:tc>
        <w:tc>
          <w:tcPr>
            <w:tcW w:w="960" w:type="dxa"/>
            <w:tcBorders>
              <w:top w:val="nil"/>
              <w:left w:val="single" w:sz="4" w:space="0" w:color="auto"/>
              <w:bottom w:val="nil"/>
              <w:right w:val="single" w:sz="4" w:space="0" w:color="auto"/>
            </w:tcBorders>
            <w:shd w:val="clear" w:color="auto" w:fill="auto"/>
            <w:noWrap/>
            <w:vAlign w:val="bottom"/>
            <w:hideMark/>
          </w:tcPr>
          <w:p w14:paraId="66A94216"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 </w:t>
            </w:r>
          </w:p>
        </w:tc>
        <w:tc>
          <w:tcPr>
            <w:tcW w:w="1477" w:type="dxa"/>
            <w:tcBorders>
              <w:top w:val="nil"/>
              <w:left w:val="nil"/>
              <w:bottom w:val="nil"/>
              <w:right w:val="single" w:sz="4" w:space="0" w:color="auto"/>
            </w:tcBorders>
            <w:shd w:val="clear" w:color="auto" w:fill="auto"/>
            <w:noWrap/>
            <w:vAlign w:val="bottom"/>
            <w:hideMark/>
          </w:tcPr>
          <w:p w14:paraId="06592D8C"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pp'-TDE(DDD)</w:t>
            </w:r>
          </w:p>
        </w:tc>
      </w:tr>
      <w:tr w:rsidR="002A0B5D" w:rsidRPr="002A0B5D" w14:paraId="2A1EAD14" w14:textId="77777777" w:rsidTr="00B32A32">
        <w:trPr>
          <w:trHeight w:val="300"/>
          <w:jc w:val="center"/>
        </w:trPr>
        <w:tc>
          <w:tcPr>
            <w:tcW w:w="960" w:type="dxa"/>
            <w:tcBorders>
              <w:top w:val="nil"/>
              <w:left w:val="single" w:sz="4" w:space="0" w:color="auto"/>
              <w:bottom w:val="nil"/>
              <w:right w:val="nil"/>
            </w:tcBorders>
            <w:shd w:val="clear" w:color="auto" w:fill="auto"/>
            <w:noWrap/>
            <w:vAlign w:val="bottom"/>
            <w:hideMark/>
          </w:tcPr>
          <w:p w14:paraId="5B8F7E1A"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 </w:t>
            </w:r>
          </w:p>
        </w:tc>
        <w:tc>
          <w:tcPr>
            <w:tcW w:w="960" w:type="dxa"/>
            <w:tcBorders>
              <w:top w:val="nil"/>
              <w:left w:val="single" w:sz="4" w:space="0" w:color="auto"/>
              <w:bottom w:val="nil"/>
              <w:right w:val="single" w:sz="4" w:space="0" w:color="auto"/>
            </w:tcBorders>
            <w:shd w:val="clear" w:color="auto" w:fill="auto"/>
            <w:noWrap/>
            <w:vAlign w:val="bottom"/>
            <w:hideMark/>
          </w:tcPr>
          <w:p w14:paraId="2AE597DE"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 </w:t>
            </w:r>
          </w:p>
        </w:tc>
        <w:tc>
          <w:tcPr>
            <w:tcW w:w="1477" w:type="dxa"/>
            <w:tcBorders>
              <w:top w:val="nil"/>
              <w:left w:val="nil"/>
              <w:bottom w:val="nil"/>
              <w:right w:val="single" w:sz="4" w:space="0" w:color="auto"/>
            </w:tcBorders>
            <w:shd w:val="clear" w:color="auto" w:fill="auto"/>
            <w:noWrap/>
            <w:vAlign w:val="bottom"/>
          </w:tcPr>
          <w:p w14:paraId="44FFF31E"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pp'-DDT</w:t>
            </w:r>
          </w:p>
        </w:tc>
      </w:tr>
      <w:tr w:rsidR="002A0B5D" w:rsidRPr="002A0B5D" w14:paraId="7F92628C" w14:textId="77777777" w:rsidTr="00B32A32">
        <w:trPr>
          <w:trHeight w:val="300"/>
          <w:jc w:val="center"/>
        </w:trPr>
        <w:tc>
          <w:tcPr>
            <w:tcW w:w="960" w:type="dxa"/>
            <w:tcBorders>
              <w:top w:val="nil"/>
              <w:left w:val="single" w:sz="4" w:space="0" w:color="auto"/>
              <w:bottom w:val="single" w:sz="4" w:space="0" w:color="auto"/>
              <w:right w:val="nil"/>
            </w:tcBorders>
            <w:shd w:val="clear" w:color="auto" w:fill="auto"/>
            <w:noWrap/>
            <w:vAlign w:val="bottom"/>
            <w:hideMark/>
          </w:tcPr>
          <w:p w14:paraId="75E2904F"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C721CF"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r w:rsidRPr="002A0B5D">
              <w:rPr>
                <w:rFonts w:ascii="Calibri" w:eastAsia="Times New Roman" w:hAnsi="Calibri" w:cs="Times New Roman"/>
                <w:color w:val="000000"/>
                <w:szCs w:val="17"/>
                <w:lang w:eastAsia="en-GB"/>
              </w:rPr>
              <w:t> </w:t>
            </w:r>
          </w:p>
        </w:tc>
        <w:tc>
          <w:tcPr>
            <w:tcW w:w="1477" w:type="dxa"/>
            <w:tcBorders>
              <w:top w:val="nil"/>
              <w:left w:val="nil"/>
              <w:bottom w:val="single" w:sz="4" w:space="0" w:color="auto"/>
              <w:right w:val="single" w:sz="4" w:space="0" w:color="auto"/>
            </w:tcBorders>
            <w:shd w:val="clear" w:color="auto" w:fill="auto"/>
            <w:noWrap/>
            <w:vAlign w:val="bottom"/>
          </w:tcPr>
          <w:p w14:paraId="6568C675" w14:textId="77777777" w:rsidR="002A0B5D" w:rsidRPr="002A0B5D" w:rsidRDefault="002A0B5D" w:rsidP="002A0B5D">
            <w:pPr>
              <w:spacing w:after="0" w:line="240" w:lineRule="auto"/>
              <w:rPr>
                <w:rFonts w:ascii="Calibri" w:eastAsia="Times New Roman" w:hAnsi="Calibri" w:cs="Times New Roman"/>
                <w:color w:val="000000"/>
                <w:szCs w:val="17"/>
                <w:lang w:eastAsia="en-GB"/>
              </w:rPr>
            </w:pPr>
          </w:p>
        </w:tc>
      </w:tr>
    </w:tbl>
    <w:p w14:paraId="2DDB9237" w14:textId="77777777" w:rsidR="002A0B5D" w:rsidRPr="002A0B5D" w:rsidRDefault="002A0B5D" w:rsidP="002A0B5D"/>
    <w:p w14:paraId="5B851D79" w14:textId="77777777" w:rsidR="00AE3EB8" w:rsidRDefault="00AE3EB8" w:rsidP="00A5221E">
      <w:pPr>
        <w:spacing w:line="360" w:lineRule="auto"/>
      </w:pPr>
    </w:p>
    <w:p w14:paraId="1CC88E77" w14:textId="77777777" w:rsidR="002A0B5D" w:rsidRPr="002A0B5D" w:rsidRDefault="002A0B5D" w:rsidP="00A5221E">
      <w:pPr>
        <w:spacing w:line="360" w:lineRule="auto"/>
      </w:pPr>
      <w:r w:rsidRPr="002A0B5D">
        <w:t xml:space="preserve">PCBs and PBDES were </w:t>
      </w:r>
      <w:r w:rsidR="00B32A32">
        <w:t>quantified</w:t>
      </w:r>
      <w:r w:rsidR="00B32A32" w:rsidRPr="002A0B5D">
        <w:t xml:space="preserve"> </w:t>
      </w:r>
      <w:r w:rsidRPr="002A0B5D">
        <w:t xml:space="preserve">by a Magnetic Sector Autospec GC-HRMS from Waters (Manchester, UK) equipped with an Agilent 6890 GC (Santa Clara, USA). Because of practical constraints OCPs were measured by </w:t>
      </w:r>
      <w:r w:rsidR="00B32A32">
        <w:t>an</w:t>
      </w:r>
      <w:r w:rsidRPr="002A0B5D">
        <w:t xml:space="preserve"> Agilent 7010B Triple Quadrupole coupled with an Agilent 7890 GC (Santa Clara, USA).</w:t>
      </w:r>
      <w:r w:rsidR="00D67361">
        <w:t xml:space="preserve"> A</w:t>
      </w:r>
      <w:r w:rsidRPr="002A0B5D">
        <w:t xml:space="preserve"> DB-5MS 60m × 0.25mm × 0.25μm fused silica capillary column </w:t>
      </w:r>
      <w:r w:rsidR="00D67361">
        <w:t>(</w:t>
      </w:r>
      <w:r w:rsidRPr="002A0B5D">
        <w:t>Agilent J&amp;W</w:t>
      </w:r>
      <w:r w:rsidR="00D67361">
        <w:t>,</w:t>
      </w:r>
      <w:r w:rsidRPr="002A0B5D">
        <w:t xml:space="preserve"> Folson, USA) was used for PCB analysis, while</w:t>
      </w:r>
      <w:r w:rsidR="00D67361">
        <w:t xml:space="preserve"> a</w:t>
      </w:r>
      <w:r w:rsidRPr="002A0B5D">
        <w:t xml:space="preserve"> CL-Pesticide 30m x 0.25mm x 0.25μm </w:t>
      </w:r>
      <w:r w:rsidR="00D67361">
        <w:t>column</w:t>
      </w:r>
      <w:r w:rsidRPr="002A0B5D">
        <w:t xml:space="preserve"> </w:t>
      </w:r>
      <w:r w:rsidR="00D67361">
        <w:t>(</w:t>
      </w:r>
      <w:r w:rsidRPr="002A0B5D">
        <w:t>Restek</w:t>
      </w:r>
      <w:r w:rsidR="00D67361">
        <w:t>,</w:t>
      </w:r>
      <w:r w:rsidRPr="002A0B5D">
        <w:t xml:space="preserve"> Bellefonte, USA) </w:t>
      </w:r>
      <w:r w:rsidR="00B32A32">
        <w:t>was fitted for the analysis of</w:t>
      </w:r>
      <w:r w:rsidRPr="002A0B5D">
        <w:t xml:space="preserve"> PBDEs and OCPs. The measurements were conducted at RIKILT laboratories in Wageningen, the Netherlands. </w:t>
      </w:r>
      <w:r w:rsidR="00B32A32">
        <w:t xml:space="preserve">For further details on the GC-methods see </w:t>
      </w:r>
      <w:r w:rsidRPr="002A0B5D">
        <w:t xml:space="preserve">Appendix 2B. </w:t>
      </w:r>
      <w:r w:rsidR="00B32A32">
        <w:t>L</w:t>
      </w:r>
      <w:r w:rsidRPr="002A0B5D">
        <w:t>imit</w:t>
      </w:r>
      <w:r w:rsidR="00B32A32">
        <w:t>s</w:t>
      </w:r>
      <w:r w:rsidRPr="002A0B5D">
        <w:t xml:space="preserve"> of quantification (LOQ) w</w:t>
      </w:r>
      <w:r w:rsidR="00B32A32">
        <w:t>ere</w:t>
      </w:r>
      <w:r w:rsidRPr="002A0B5D">
        <w:t xml:space="preserve"> set </w:t>
      </w:r>
      <w:r w:rsidR="0042290D">
        <w:t xml:space="preserve">for each individual compound </w:t>
      </w:r>
      <w:r w:rsidRPr="002A0B5D">
        <w:t xml:space="preserve">as </w:t>
      </w:r>
      <w:r w:rsidR="006617DA">
        <w:t xml:space="preserve">the </w:t>
      </w:r>
      <w:r w:rsidR="00235FCE">
        <w:t>lowest quantifiable standard</w:t>
      </w:r>
      <w:r w:rsidRPr="002A0B5D">
        <w:t xml:space="preserve">, while the limit of detection (LOD) was calculated as 3 times the concentration of the compound in the extract of the corresponding blank sample. </w:t>
      </w:r>
      <w:r w:rsidR="00D67361">
        <w:t>C</w:t>
      </w:r>
      <w:r w:rsidRPr="002A0B5D">
        <w:t>oncentrations in samples were not adjusted for blanks n</w:t>
      </w:r>
      <w:r w:rsidR="00235FCE">
        <w:t>or corrected for recovery rates, however all values are reported in Appendix 2C.</w:t>
      </w:r>
      <w:r w:rsidRPr="002A0B5D">
        <w:t xml:space="preserve"> The lipid content was determined gravimetrically on a fraction of each sample after extraction.  </w:t>
      </w:r>
    </w:p>
    <w:p w14:paraId="550E2719" w14:textId="77777777" w:rsidR="002A0B5D" w:rsidRPr="002A0B5D" w:rsidRDefault="002A0B5D" w:rsidP="00A5221E">
      <w:pPr>
        <w:spacing w:line="360" w:lineRule="auto"/>
      </w:pPr>
      <w:r>
        <w:lastRenderedPageBreak/>
        <w:t xml:space="preserve">2. </w:t>
      </w:r>
      <w:r w:rsidRPr="002A0B5D">
        <w:t>3 QA/QC.</w:t>
      </w:r>
    </w:p>
    <w:p w14:paraId="1AFEC8F2" w14:textId="77777777" w:rsidR="00624C40" w:rsidRDefault="002A0B5D" w:rsidP="00A5221E">
      <w:pPr>
        <w:spacing w:line="360" w:lineRule="auto"/>
      </w:pPr>
      <w:r w:rsidRPr="002A0B5D">
        <w:t xml:space="preserve">Each measurement batch contained 7 </w:t>
      </w:r>
      <w:r w:rsidR="00E74821">
        <w:t>tissue</w:t>
      </w:r>
      <w:r w:rsidRPr="002A0B5D">
        <w:t xml:space="preserve"> samples, a procedural blank and sample of </w:t>
      </w:r>
      <w:r w:rsidR="0042290D">
        <w:t>a</w:t>
      </w:r>
      <w:r w:rsidR="0042290D" w:rsidRPr="002A0B5D">
        <w:t xml:space="preserve"> </w:t>
      </w:r>
      <w:r w:rsidRPr="002A0B5D">
        <w:t xml:space="preserve">certified reference material (SRM 1947, National Institute of Standards and Technology). The samples were considered valid if the recoveries of all internal standards were </w:t>
      </w:r>
      <w:r w:rsidR="00630C1F">
        <w:t xml:space="preserve"> 50%-150%</w:t>
      </w:r>
      <w:r w:rsidRPr="002A0B5D">
        <w:t xml:space="preserve"> and the difference between measured and estimated SRM concentrations was &lt;</w:t>
      </w:r>
      <w:r w:rsidR="000D4570">
        <w:t>50</w:t>
      </w:r>
      <w:r w:rsidRPr="002A0B5D">
        <w:t xml:space="preserve">%. </w:t>
      </w:r>
      <w:r w:rsidR="00B11B79">
        <w:t>The detailed QA data is shown in Appendix 3.</w:t>
      </w:r>
    </w:p>
    <w:p w14:paraId="3B6F9DBE" w14:textId="77777777" w:rsidR="002A0B5D" w:rsidRPr="002A0B5D" w:rsidRDefault="002A0B5D" w:rsidP="00A5221E">
      <w:pPr>
        <w:spacing w:line="360" w:lineRule="auto"/>
      </w:pPr>
      <w:r>
        <w:t xml:space="preserve">2. </w:t>
      </w:r>
      <w:r w:rsidRPr="002A0B5D">
        <w:t>4 Data treatment.</w:t>
      </w:r>
    </w:p>
    <w:p w14:paraId="440353D8" w14:textId="6377D148" w:rsidR="00182F5D" w:rsidRDefault="00030749" w:rsidP="00A5221E">
      <w:pPr>
        <w:spacing w:line="360" w:lineRule="auto"/>
      </w:pPr>
      <w:r>
        <w:t xml:space="preserve">The low </w:t>
      </w:r>
      <w:r w:rsidR="00E74821">
        <w:t>number</w:t>
      </w:r>
      <w:r>
        <w:t xml:space="preserve"> (1-3 per specific tissue</w:t>
      </w:r>
      <w:r w:rsidR="000571C0">
        <w:t>s</w:t>
      </w:r>
      <w:r w:rsidR="00313A38">
        <w:t xml:space="preserve"> per </w:t>
      </w:r>
      <w:r w:rsidR="00CB0601">
        <w:t>specimen</w:t>
      </w:r>
      <w:r>
        <w:t>) of samples di</w:t>
      </w:r>
      <w:r w:rsidR="002A2FC0">
        <w:t xml:space="preserve">d not allow for a comprehensive </w:t>
      </w:r>
      <w:r>
        <w:t xml:space="preserve">interpretation of results </w:t>
      </w:r>
      <w:r w:rsidR="00785F24">
        <w:t xml:space="preserve">based on </w:t>
      </w:r>
      <w:r>
        <w:t>statistical tests</w:t>
      </w:r>
      <w:r w:rsidR="00313A38">
        <w:t>. T</w:t>
      </w:r>
      <w:r>
        <w:t xml:space="preserve">herefore further analysis and discussion </w:t>
      </w:r>
      <w:r w:rsidR="00182F5D">
        <w:t xml:space="preserve">chiefly </w:t>
      </w:r>
      <w:r>
        <w:t xml:space="preserve">refer to the obtained values </w:t>
      </w:r>
      <w:r w:rsidR="00182F5D">
        <w:t xml:space="preserve">mostly </w:t>
      </w:r>
      <w:r>
        <w:t>in</w:t>
      </w:r>
      <w:r w:rsidR="00BE31F0">
        <w:t xml:space="preserve"> a</w:t>
      </w:r>
      <w:r>
        <w:t xml:space="preserve"> </w:t>
      </w:r>
      <w:r w:rsidR="00313A38">
        <w:t xml:space="preserve">descriptive </w:t>
      </w:r>
      <w:r>
        <w:t>manner</w:t>
      </w:r>
      <w:r w:rsidR="00182F5D">
        <w:t>.</w:t>
      </w:r>
      <w:r>
        <w:t xml:space="preserve"> </w:t>
      </w:r>
      <w:r w:rsidR="00182F5D">
        <w:t xml:space="preserve">The only exception are the samples of muscles, </w:t>
      </w:r>
      <w:r w:rsidR="00E74821">
        <w:t xml:space="preserve">where </w:t>
      </w:r>
      <w:r w:rsidR="00182F5D">
        <w:t xml:space="preserve">3 </w:t>
      </w:r>
      <w:r w:rsidR="00E74821">
        <w:t xml:space="preserve">samples were collected </w:t>
      </w:r>
      <w:r w:rsidR="00182F5D">
        <w:t xml:space="preserve">for both </w:t>
      </w:r>
      <w:r w:rsidR="00407134">
        <w:t>Skua</w:t>
      </w:r>
      <w:r w:rsidR="00182F5D">
        <w:t xml:space="preserve">s and </w:t>
      </w:r>
      <w:r w:rsidR="00407134">
        <w:t xml:space="preserve">Kelp </w:t>
      </w:r>
      <w:r w:rsidR="00182F5D">
        <w:t>gulls</w:t>
      </w:r>
      <w:r w:rsidR="00FE3CDE">
        <w:t xml:space="preserve"> each</w:t>
      </w:r>
      <w:r w:rsidR="00E74821">
        <w:t>,</w:t>
      </w:r>
      <w:r w:rsidR="00F942E6">
        <w:t xml:space="preserve"> and therefore they could be </w:t>
      </w:r>
      <w:r w:rsidR="00657939">
        <w:t>analysed statistically</w:t>
      </w:r>
      <w:r w:rsidR="00F942E6">
        <w:t xml:space="preserve">. </w:t>
      </w:r>
      <w:r w:rsidR="00182F5D" w:rsidRPr="00182F5D">
        <w:t>Mann–Whitney–Wilcoxon (MWW</w:t>
      </w:r>
      <w:r w:rsidR="00182F5D">
        <w:t>) test</w:t>
      </w:r>
      <w:r w:rsidR="00F942E6">
        <w:t>s</w:t>
      </w:r>
      <w:r w:rsidR="00E74821">
        <w:t xml:space="preserve"> </w:t>
      </w:r>
      <w:r w:rsidR="00F942E6">
        <w:t>were</w:t>
      </w:r>
      <w:r w:rsidR="00E74821">
        <w:t xml:space="preserve"> conducted</w:t>
      </w:r>
      <w:r w:rsidR="00182F5D">
        <w:t xml:space="preserve"> on the</w:t>
      </w:r>
      <w:r w:rsidR="00FE3CDE">
        <w:t>m</w:t>
      </w:r>
      <w:r w:rsidR="00B72F7A">
        <w:t xml:space="preserve"> </w:t>
      </w:r>
      <w:r w:rsidR="00182F5D">
        <w:t>using the Real Statistics© package in Microsoft Excel</w:t>
      </w:r>
      <w:r w:rsidR="00FE3CDE">
        <w:t xml:space="preserve"> with the null hypothesis being </w:t>
      </w:r>
      <w:r w:rsidR="00657939">
        <w:t xml:space="preserve">that </w:t>
      </w:r>
      <w:r w:rsidR="00FE3CDE">
        <w:t xml:space="preserve">the sums of concentrations of PCBs, DDTs and PBDEs in </w:t>
      </w:r>
      <w:r w:rsidR="00657939">
        <w:t xml:space="preserve">did not different between </w:t>
      </w:r>
      <w:r w:rsidR="00FE3CDE">
        <w:t>Skuas and Kelp gulls</w:t>
      </w:r>
      <w:r w:rsidR="00182F5D">
        <w:t xml:space="preserve">.  The results of the test are presented in Appendix </w:t>
      </w:r>
      <w:r w:rsidR="006C6A28">
        <w:t>4</w:t>
      </w:r>
      <w:r w:rsidR="00182F5D">
        <w:t xml:space="preserve">. </w:t>
      </w:r>
    </w:p>
    <w:p w14:paraId="4EB46CCB" w14:textId="77777777" w:rsidR="002A2FC0" w:rsidRDefault="00BE31F0" w:rsidP="00A5221E">
      <w:pPr>
        <w:spacing w:line="360" w:lineRule="auto"/>
      </w:pPr>
      <w:r>
        <w:t xml:space="preserve">The </w:t>
      </w:r>
      <w:r w:rsidR="00C910C5">
        <w:t xml:space="preserve">mean </w:t>
      </w:r>
      <w:r>
        <w:t xml:space="preserve">values were calculated in cases when more than one sample was available per specific tissue in </w:t>
      </w:r>
      <w:r w:rsidR="00287BDC">
        <w:t xml:space="preserve">a </w:t>
      </w:r>
      <w:r>
        <w:t>specie</w:t>
      </w:r>
      <w:r w:rsidR="00402B26">
        <w:t>s</w:t>
      </w:r>
      <w:r>
        <w:t xml:space="preserve">.  </w:t>
      </w:r>
      <w:r w:rsidR="005E73D3">
        <w:t xml:space="preserve">The </w:t>
      </w:r>
      <w:r w:rsidR="00A0295D">
        <w:t xml:space="preserve">standard deviation (SD) values were calculated </w:t>
      </w:r>
      <w:r w:rsidR="00FA37C6">
        <w:t xml:space="preserve">only for </w:t>
      </w:r>
      <w:r w:rsidR="00A15746">
        <w:t>instances</w:t>
      </w:r>
      <w:r w:rsidR="00FA37C6">
        <w:t xml:space="preserve"> with </w:t>
      </w:r>
      <w:r w:rsidR="00A0295D">
        <w:t xml:space="preserve">3 </w:t>
      </w:r>
      <w:r w:rsidR="00B45D94">
        <w:t>samples</w:t>
      </w:r>
      <w:r w:rsidR="00A15746">
        <w:t xml:space="preserve"> present</w:t>
      </w:r>
      <w:r w:rsidR="00B45D94">
        <w:t xml:space="preserve">. </w:t>
      </w:r>
      <w:r w:rsidR="00030749">
        <w:t xml:space="preserve">    </w:t>
      </w:r>
    </w:p>
    <w:p w14:paraId="7ABE9417" w14:textId="77777777" w:rsidR="002A2FC0" w:rsidRDefault="002A2FC0" w:rsidP="002A0B5D"/>
    <w:p w14:paraId="7C442938" w14:textId="77777777" w:rsidR="00385541" w:rsidRDefault="002A2FC0" w:rsidP="00855634">
      <w:pPr>
        <w:spacing w:line="360" w:lineRule="auto"/>
      </w:pPr>
      <w:r>
        <w:br w:type="page"/>
      </w:r>
    </w:p>
    <w:p w14:paraId="5DEE34B7" w14:textId="06A49EF0" w:rsidR="00385541" w:rsidRDefault="00624C40" w:rsidP="00385541">
      <w:pPr>
        <w:spacing w:line="360" w:lineRule="auto"/>
      </w:pPr>
      <w:r w:rsidRPr="00D308F1">
        <w:rPr>
          <w:noProof/>
          <w:u w:val="single"/>
          <w:lang w:eastAsia="en-GB"/>
        </w:rPr>
        <mc:AlternateContent>
          <mc:Choice Requires="wps">
            <w:drawing>
              <wp:anchor distT="45720" distB="45720" distL="114300" distR="114300" simplePos="0" relativeHeight="251672576" behindDoc="0" locked="0" layoutInCell="1" allowOverlap="1" wp14:anchorId="52B36F11" wp14:editId="48B8B93D">
                <wp:simplePos x="0" y="0"/>
                <wp:positionH relativeFrom="margin">
                  <wp:align>left</wp:align>
                </wp:positionH>
                <wp:positionV relativeFrom="paragraph">
                  <wp:posOffset>-586848</wp:posOffset>
                </wp:positionV>
                <wp:extent cx="3000375" cy="1404620"/>
                <wp:effectExtent l="0" t="0" r="952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noFill/>
                          <a:miter lim="800000"/>
                          <a:headEnd/>
                          <a:tailEnd/>
                        </a:ln>
                      </wps:spPr>
                      <wps:txbx>
                        <w:txbxContent>
                          <w:p w14:paraId="375C85C1" w14:textId="77777777" w:rsidR="00927324" w:rsidRDefault="00927324">
                            <w:r>
                              <w:t>3. Results and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05F71A" id="_x0000_t202" coordsize="21600,21600" o:spt="202" path="m,l,21600r21600,l21600,xe">
                <v:stroke joinstyle="miter"/>
                <v:path gradientshapeok="t" o:connecttype="rect"/>
              </v:shapetype>
              <v:shape id="Text Box 2" o:spid="_x0000_s1026" type="#_x0000_t202" style="position:absolute;margin-left:0;margin-top:-46.2pt;width:236.25pt;height:110.6pt;z-index:251672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" stroked="f">
                <v:textbox style="mso-fit-shape-to-text:t">
                  <w:txbxContent>
                    <w:p w:rsidR="00927324" w:rsidRDefault="00927324">
                      <w:r>
                        <w:t>3. Results and discussion</w:t>
                      </w:r>
                    </w:p>
                  </w:txbxContent>
                </v:textbox>
                <w10:wrap anchorx="margin"/>
              </v:shape>
            </w:pict>
          </mc:Fallback>
        </mc:AlternateContent>
      </w:r>
      <w:r w:rsidR="00385541">
        <w:t xml:space="preserve">Concentrations of POPs across different tissues in a single organism may be similar due to lipid-mediated exchange of contaminants between tissues. In the current study </w:t>
      </w:r>
      <w:r w:rsidR="00E74821">
        <w:t xml:space="preserve">there were higher concentrations of PCBs and OCPs in </w:t>
      </w:r>
      <w:r w:rsidR="00385541">
        <w:t xml:space="preserve">muscles and livers of </w:t>
      </w:r>
      <w:r w:rsidR="00407134">
        <w:t>Skua</w:t>
      </w:r>
      <w:r w:rsidR="00385541">
        <w:t xml:space="preserve">s than </w:t>
      </w:r>
      <w:r w:rsidR="00C31F8C">
        <w:t xml:space="preserve">in </w:t>
      </w:r>
      <w:r w:rsidR="00385541">
        <w:t>fat</w:t>
      </w:r>
      <w:r w:rsidR="00B9649E">
        <w:t xml:space="preserve"> </w:t>
      </w:r>
      <w:r w:rsidR="00385541">
        <w:fldChar w:fldCharType="begin" w:fldLock="1"/>
      </w:r>
      <w:r w:rsidR="00317534">
        <w:instrText>ADDIN CSL_CITATION {"citationItems":[{"id":"ITEM-1","itemData":{"DOI":"10.1016/S0045-6535(99)00279-9","ISSN":"0045-6535","abstract":"The adipose tissue:blood partition coefficient (PCat:b) refers to the ratio of chemical concentration or solubility in adipose tissue and blood. The solubility of a chemical in adipose tissue or whole blood is equal to the sum total of its solubility in lipid and water fractions of these matrices. For highly lipophilic organic chemicals (HLOCs, i.e., chemicals with log n-octanol:water partition coefficients (PCo:w) greater than four), their solubility in the water fractions of both tissue and blood is negligible, and therefore their solubility in lipid fractions of tissue and blood alone determines PCat:b. Since the numerical value representing chemical solubility in lipids is likely to be the same for both blood lipids and adipose tissue lipids, the PCat:b values should be hypothetically, equal to the ratio of lipid content of adipose tissue and blood. The objective of the present study was therefore to verify whether the PCat:bs of HLOCs (volatile organics, dioxins, PCBs, PBBs, DDT) are equal to the ratio of adipose tissue and blood lipid levels. The data on lipid content of rat and human blood and adipose tissues were obtained from the literature. The calculated tissue:blood lipid ratios were comparable to the human and rat PCat:b of volatile organic chemicals, dioxins, PCBs, PBBs and/or DDT obtained from the literature. These results then suggest that, regardless of the identity and PCo:w of HLOCs, their PCat:b is equal to the ratio of lipid in adipose tissues and blood.","author":[{"dropping-particle":"","family":"Haddad","given":"Sami","non-dropping-particle":"","parse-names":false,"suffix":""},{"dropping-particle":"","family":"Poulin","given":"Patrick","non-dropping-particle":"","parse-names":false,"suffix":""},{"dropping-particle":"","family":"Krishnan","given":"Kannan","non-dropping-particle":"","parse-names":false,"suffix":""}],"container-title":"Chemosphere","id":"ITEM-1","issue":"8","issued":{"date-parts":[["2000","4","1"]]},"page":"839-843","publisher":"Pergamon","title":"Relative lipid content as the sole mechanistic determinant of the adipose tissue:blood partition coefficients of highly lipophilic organic chemicals","type":"article-journal","volume":"40"},"uris":["http://www.mendeley.com/documents/?uuid=97a17510-ccc6-35ec-98a1-385e8fc96363"]}],"mendeley":{"formattedCitation":"(Haddad et al., 2000)","plainTextFormattedCitation":"(Haddad et al., 2000)","previouslyFormattedCitation":"(Haddad et al., 2000)"},"properties":{"noteIndex":0},"schema":"https://github.com/citation-style-language/schema/raw/master/csl-citation.json"}</w:instrText>
      </w:r>
      <w:r w:rsidR="00385541">
        <w:fldChar w:fldCharType="separate"/>
      </w:r>
      <w:r w:rsidR="00317534" w:rsidRPr="00317534">
        <w:rPr>
          <w:noProof/>
        </w:rPr>
        <w:t>(Haddad et al., 2000)</w:t>
      </w:r>
      <w:r w:rsidR="00385541">
        <w:fldChar w:fldCharType="end"/>
      </w:r>
      <w:r w:rsidR="00385541">
        <w:t xml:space="preserve">. Although </w:t>
      </w:r>
      <w:r w:rsidR="00E74821">
        <w:t>similar</w:t>
      </w:r>
      <w:r w:rsidR="00385541">
        <w:t xml:space="preserve"> patterns were reported for non-Antarctic birds</w:t>
      </w:r>
      <w:r w:rsidR="00B9649E">
        <w:t xml:space="preserve"> </w:t>
      </w:r>
      <w:r w:rsidR="00385541">
        <w:fldChar w:fldCharType="begin" w:fldLock="1"/>
      </w:r>
      <w:r w:rsidR="00317534">
        <w:instrText>ADDIN CSL_CITATION {"citationItems":[{"id":"ITEM-1","itemData":{"DOI":"10.1016/J.SCITOTENV.2017.08.323","ISSN":"0048-9697","abstract":"Several persistent organic pollutants, including polychlorinated dibenzo-p-dioxins and dibenzofurans (PCDD/Fs), polychlorinated biphenyls (PCBs), polybrominated diphenyl ethers (PBDEs) and organochlorine pesticides (OCPs), were comprehensively investigated in the egg, muscle and liver samples of Kentish Plover (Charadrius alexandrines) collected from Cangzhou Wetland in western Bohai Bay, China. DDTs were the most abundant contaminants (35.4–9853ngg−1 lipid weight, lw), followed by HCHs, PCBs, PBDEs and HCB. PCDD/Fs exhibited the lowest concentrations in all tissues (8.74–4763pgg−1 lw). PCBs and PCDD/Fs were dominated by penta- and hexa-homologs, and PBDEs mostly consisted of the signature congeners of BDE formulations, such as BDE-209, −47, −153 and −99. Significant correlations were found between the lipid-normalized concentrations in muscle and liver (r: 0.37–0.90, p&lt;0.05) and no significant differences (p&lt;0.05), indicating the homogenous distribution of POPs in tissue lipids at steady state. The ratios of concentrations in muscle and liver (M/L) ranged from 0.20 to 1.51, and higher ratios of M/L were found for those compounds with log Kow in the range of 6.5–7.0, suggesting the preferential accumulation of mid-halogenated compounds in muscle. Significant correlations were generally observed between the concentrations in egg and the maternal tissue (p&lt;0.05). The concentration ratios of egg to liver (E/L) were in the range of 0.10–1.24 except for p,p’-DDT (12.7), and compounds with log Kow of 6.5–7.0 exhibited higher E/L ratios, suggesting the selective maternal transfer of mid-halogenated compounds.","author":[{"dropping-particle":"","family":"Zheng","given":"Shucheng","non-dropping-particle":"","parse-names":false,"suffix":""},{"dropping-particle":"","family":"Wang","given":"Pu","non-dropping-particle":"","parse-names":false,"suffix":""},{"dropping-particle":"","family":"Sun","given":"Huizhong","non-dropping-particle":"","parse-names":false,"suffix":""},{"dropping-particle":"","family":"Matsiko","given":"Julius","non-dropping-particle":"","parse-names":false,"suffix":""},{"dropping-particle":"","family":"Hao","given":"Yanfen","non-dropping-particle":"","parse-names":false,"suffix":""},{"dropping-particle":"","family":"Meng","given":"Derong","non-dropping-particle":"","parse-names":false,"suffix":""},{"dropping-particle":"","family":"Li","given":"Yingming","non-dropping-particle":"","parse-names":false,"suffix":""},{"dropping-particle":"","family":"Zhang","given":"Guogang","non-dropping-particle":"","parse-names":false,"suffix":""},{"dropping-particle":"","family":"Zhang","given":"Qinghua","non-dropping-particle":"","parse-names":false,"suffix":""},{"dropping-particle":"","family":"Jiang","given":"Guibin","non-dropping-particle":"","parse-names":false,"suffix":""}],"container-title":"Science of The Total Environment","id":"ITEM-1","issued":{"date-parts":[["2018","1","15"]]},"page":"1105-1113","publisher":"Elsevier","title":"Tissue distribution and maternal transfer of persistent organic pollutants in Kentish Plovers (Charadrius alexandrines) from Cangzhou Wetland, Bohai Bay, China","type":"article-journal","volume":"612"},"uris":["http://www.mendeley.com/documents/?uuid=7cf5ced1-fb67-3aac-9d8a-a0ca5009aa72"]},{"id":"ITEM-2","itemData":{"DOI":"10.1016/J.ENVPOL.2005.05.008","ISSN":"0269-7491","abstract":"Liver and muscle samples from 7 species of aquatic and terrestrial predatory birds from Flanders (Belgium) were analysed for polychlorinated biphenyls (PCBs), polybrominated diphenylethers (PBDEs) and organochlorine pesticides (OCPs). PCBs were the predominant compounds in our samples, which showed highest concentrations in the liver of barn owl (Tyto alba) and sparrowhawk (Accipiter nisus) (up to 1000μg/g lipid weight). PBDEs could be determined in most samples at lower concentrations than PCBs (up to 64μg/g lipid in sparrowhawk liver). Sparrowhawks had the highest levels of hexachlorobenzene, DDTs and PBDEs. In contrast, kestrels (Falco tinnunculus) had relatively low levels of most measured organochlorines. BDE 47 was the most abundant congener in heron (Ardea cinerea) and grebe (Podiceps cristatus), while BDE 47, 99 and 153 were equally important in the terrestrial species. BDE 183 and BDE 209 were only measured in the terrestrial birds. These results indicate that terrestrial birds may be more exposed to higher brominated BDE congeners than aquatic species.","author":[{"dropping-particle":"","family":"Jaspers","given":"V.L.B.","non-dropping-particle":"","parse-names":false,"suffix":""},{"dropping-particle":"","family":"Covaci","given":"A.","non-dropping-particle":"","parse-names":false,"suffix":""},{"dropping-particle":"","family":"Voorspoels","given":"S.","non-dropping-particle":"","parse-names":false,"suffix":""},{"dropping-particle":"","family":"Dauwe","given":"T.","non-dropping-particle":"","parse-names":false,"suffix":""},{"dropping-particle":"","family":"Eens","given":"M.","non-dropping-particle":"","parse-names":false,"suffix":""},{"dropping-particle":"","family":"Schepens","given":"P.","non-dropping-particle":"","parse-names":false,"suffix":""}],"container-title":"Environmental Pollution","id":"ITEM-2","issue":"2","issued":{"date-parts":[["2006","1","1"]]},"page":"340-352","publisher":"Elsevier","title":"Brominated flame retardants and organochlorine pollutants in aquatic and terrestrial predatory birds of Belgium: levels, patterns, tissue distribution and condition factors","type":"article-journal","volume":"139"},"uris":["http://www.mendeley.com/documents/?uuid=1a941096-803c-38f9-92dc-21e8fc4bd158"]}],"mendeley":{"formattedCitation":"(Jaspers et al., 2006; Zheng et al., 2018)","plainTextFormattedCitation":"(Jaspers et al., 2006; Zheng et al., 2018)","previouslyFormattedCitation":"(Jaspers et al., 2006; Zheng et al., 2018)"},"properties":{"noteIndex":0},"schema":"https://github.com/citation-style-language/schema/raw/master/csl-citation.json"}</w:instrText>
      </w:r>
      <w:r w:rsidR="00385541">
        <w:fldChar w:fldCharType="separate"/>
      </w:r>
      <w:r w:rsidR="00317534" w:rsidRPr="00317534">
        <w:rPr>
          <w:noProof/>
        </w:rPr>
        <w:t>(Jaspers et al., 2006; Zheng et al., 2018)</w:t>
      </w:r>
      <w:r w:rsidR="00385541">
        <w:fldChar w:fldCharType="end"/>
      </w:r>
      <w:r w:rsidR="00385541">
        <w:t>, the most probable explanations are that the bird specimens  were found in different stages of decomposition and natural variability</w:t>
      </w:r>
      <w:r w:rsidR="00B9649E">
        <w:t xml:space="preserve"> </w:t>
      </w:r>
      <w:r w:rsidR="00385541">
        <w:fldChar w:fldCharType="begin" w:fldLock="1"/>
      </w:r>
      <w:r w:rsidR="00317534">
        <w:instrText>ADDIN CSL_CITATION {"citationItems":[{"id":"ITEM-1","itemData":{"DOI":"10.1016/J.ENVPOL.2017.05.053","ISSN":"0269-7491","abstract":"Seabirds integrate bioaccumulative contaminants via food intake and have revealed geographical trends of contamination in a variety of ecosystems. Pre-fledging seabird chicks are particularly interesting as bioindicators of chemical contamination, because concentrations in their tissues reflect primarily dietary sources from the local environment. Here we measured 14 trace elements and 18 persistent organic pollutants (POPs) in blood of chicks of skuas that breed in four sites encompassing a large latitudinal range within the southern Indian Ocean, from Antarctica (Adélie Land, south polar skua Catharacta maccormicki), through subantarctic areas (Crozet and Kerguelen Islands, brown skua C. lonnbergi), to the subtropics (Amsterdam Island, C. lonnbergi). Stables isotopes of carbon (δ13C, feeding habitat) and nitrogen (δ15N, trophic position) were also measured to control for the influence of feeding habits on contaminant burdens. Concentrations of mercury (Hg) and selenium (Se) were very high at all the four sites, with Amsterdam birds having the highest concentrations ever reported in chicks worldwide (4.0 ± 0.8 and 646 ± 123 μg g−1 dry weight, respectively). Blood Hg concentrations showed a clear latitudinal pattern, increasing from chicks in Antarctica to chicks in the subantarctic and subtropical islands. Interestingly, blood Se concentrations showed similar between-population differences to Hg, suggesting its involvement in protective mechanisms against Hg toxicity. Chicks’ POPs pattern was largely dominated by organochlorine pesticides, in particular DDT metabolites and hexachlorobenzene (HCB). Skua chicks from subantarctic islands presented high concentrations and diversity of POPs. By contrast, chicks from the Antarctic site overall had the lowest concentrations and diversity of both metallic and organic contaminants, with the exception of HCB and arsenic. Skua populations from these sites, being naturally exposed to different quantities of contaminants, are potentially good models for testing toxic effects in developing chicks in the wild.","author":[{"dropping-particle":"","family":"Carravieri","given":"Alice","non-dropping-particle":"","parse-names":false,"suffix":""},{"dropping-particle":"","family":"Cherel","given":"Yves","non-dropping-particle":"","parse-names":false,"suffix":""},{"dropping-particle":"","family":"Brault-Favrou","given":"Maud","non-dropping-particle":"","parse-names":false,"suffix":""},{"dropping-particle":"","family":"Churlaud","given":"Carine","non-dropping-particle":"","parse-names":false,"suffix":""},{"dropping-particle":"","family":"Peluhet","given":"Laurent","non-dropping-particle":"","parse-names":false,"suffix":""},{"dropping-particle":"","family":"Labadie","given":"Pierre","non-dropping-particle":"","parse-names":false,"suffix":""},{"dropping-particle":"","family":"Budzinski","given":"Hélène","non-dropping-particle":"","parse-names":false,"suffix":""},{"dropping-particle":"","family":"Chastel","given":"Olivier","non-dropping-particle":"","parse-names":false,"suffix":""},{"dropping-particle":"","family":"Bustamante","given":"Paco","non-dropping-particle":"","parse-names":false,"suffix":""}],"container-title":"Environmental Pollution","id":"ITEM-1","issued":{"date-parts":[["2017","9","1"]]},"page":"464-473","publisher":"Elsevier","title":"From Antarctica to the subtropics: Contrasted geographical concentrations of selenium, mercury, and persistent organic pollutants in skua chicks (Catharacta spp.)","type":"article-journal","volume":"228"},"uris":["http://www.mendeley.com/documents/?uuid=9f336c96-b9bd-36ee-a4c9-4ebf6cda901a"]}],"mendeley":{"formattedCitation":"(Carravieri et al., 2017)","plainTextFormattedCitation":"(Carravieri et al., 2017)","previouslyFormattedCitation":"(Carravieri et al., 2017)"},"properties":{"noteIndex":0},"schema":"https://github.com/citation-style-language/schema/raw/master/csl-citation.json"}</w:instrText>
      </w:r>
      <w:r w:rsidR="00385541">
        <w:fldChar w:fldCharType="separate"/>
      </w:r>
      <w:r w:rsidR="00317534" w:rsidRPr="00317534">
        <w:rPr>
          <w:noProof/>
        </w:rPr>
        <w:t>(Carravieri et al., 2017)</w:t>
      </w:r>
      <w:r w:rsidR="00385541">
        <w:fldChar w:fldCharType="end"/>
      </w:r>
      <w:r w:rsidR="00385541">
        <w:t xml:space="preserve">. </w:t>
      </w:r>
    </w:p>
    <w:p w14:paraId="16693590" w14:textId="77777777" w:rsidR="0004670E" w:rsidRPr="004D43CA" w:rsidRDefault="005420A4" w:rsidP="004D43CA">
      <w:pPr>
        <w:spacing w:line="360" w:lineRule="auto"/>
        <w:rPr>
          <w:u w:val="single"/>
        </w:rPr>
      </w:pPr>
      <w:r>
        <w:rPr>
          <w:noProof/>
          <w:lang w:eastAsia="en-GB"/>
        </w:rPr>
        <w:drawing>
          <wp:anchor distT="0" distB="0" distL="114300" distR="114300" simplePos="0" relativeHeight="251648000" behindDoc="0" locked="0" layoutInCell="1" allowOverlap="1" wp14:anchorId="71A73FBC" wp14:editId="384502B0">
            <wp:simplePos x="0" y="0"/>
            <wp:positionH relativeFrom="margin">
              <wp:posOffset>1808899</wp:posOffset>
            </wp:positionH>
            <wp:positionV relativeFrom="paragraph">
              <wp:posOffset>48188</wp:posOffset>
            </wp:positionV>
            <wp:extent cx="2639683" cy="2785110"/>
            <wp:effectExtent l="0" t="0" r="8890"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4D43CA">
        <w:rPr>
          <w:noProof/>
          <w:lang w:eastAsia="en-GB"/>
        </w:rPr>
        <w:drawing>
          <wp:anchor distT="0" distB="0" distL="114300" distR="114300" simplePos="0" relativeHeight="251651072" behindDoc="0" locked="0" layoutInCell="1" allowOverlap="1" wp14:anchorId="4A84E949" wp14:editId="67F67D11">
            <wp:simplePos x="0" y="0"/>
            <wp:positionH relativeFrom="page">
              <wp:posOffset>5055666</wp:posOffset>
            </wp:positionH>
            <wp:positionV relativeFrom="paragraph">
              <wp:posOffset>90122</wp:posOffset>
            </wp:positionV>
            <wp:extent cx="2450465" cy="2594344"/>
            <wp:effectExtent l="0" t="0" r="6985"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55634">
        <w:rPr>
          <w:noProof/>
          <w:lang w:eastAsia="en-GB"/>
        </w:rPr>
        <w:drawing>
          <wp:anchor distT="0" distB="0" distL="114300" distR="114300" simplePos="0" relativeHeight="251644928" behindDoc="0" locked="0" layoutInCell="1" allowOverlap="1" wp14:anchorId="7628F66D" wp14:editId="1C829A1A">
            <wp:simplePos x="0" y="0"/>
            <wp:positionH relativeFrom="page">
              <wp:posOffset>191386</wp:posOffset>
            </wp:positionH>
            <wp:positionV relativeFrom="paragraph">
              <wp:posOffset>143126</wp:posOffset>
            </wp:positionV>
            <wp:extent cx="2520315" cy="2860158"/>
            <wp:effectExtent l="0" t="0" r="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4670E" w:rsidRPr="004D43CA">
        <w:rPr>
          <w:u w:val="single"/>
        </w:rPr>
        <w:t>PCBs</w:t>
      </w:r>
    </w:p>
    <w:p w14:paraId="5D388A10" w14:textId="77777777" w:rsidR="002A2FC0" w:rsidRDefault="002A2FC0" w:rsidP="002A0B5D"/>
    <w:p w14:paraId="5D155CDB" w14:textId="77777777" w:rsidR="002A2FC0" w:rsidRDefault="002A2FC0"/>
    <w:p w14:paraId="17981D9F" w14:textId="77777777" w:rsidR="002A2FC0" w:rsidRDefault="002A2FC0"/>
    <w:p w14:paraId="41B50AFE" w14:textId="77777777" w:rsidR="002A2FC0" w:rsidRDefault="002A2FC0"/>
    <w:p w14:paraId="59738EE2" w14:textId="77777777" w:rsidR="002A2FC0" w:rsidRDefault="002A2FC0"/>
    <w:p w14:paraId="413D616C" w14:textId="77777777" w:rsidR="0004670E" w:rsidRDefault="0004670E"/>
    <w:p w14:paraId="6ACF4698" w14:textId="77777777" w:rsidR="002A2FC0" w:rsidRDefault="002A2FC0"/>
    <w:p w14:paraId="2CD437AC" w14:textId="77777777" w:rsidR="00C13CF1" w:rsidRDefault="00C13CF1" w:rsidP="00D308F1">
      <w:pPr>
        <w:jc w:val="center"/>
      </w:pPr>
    </w:p>
    <w:p w14:paraId="64687E19" w14:textId="77777777" w:rsidR="002A45FB" w:rsidRDefault="002A45FB" w:rsidP="00D308F1">
      <w:pPr>
        <w:jc w:val="center"/>
      </w:pPr>
    </w:p>
    <w:p w14:paraId="17BA8344" w14:textId="77777777" w:rsidR="004D43CA" w:rsidRDefault="004D43CA" w:rsidP="00D308F1">
      <w:pPr>
        <w:jc w:val="center"/>
      </w:pPr>
    </w:p>
    <w:p w14:paraId="694A76AE" w14:textId="548097C0" w:rsidR="0004670E" w:rsidRDefault="0004670E" w:rsidP="00D308F1">
      <w:pPr>
        <w:jc w:val="center"/>
      </w:pPr>
      <w:r w:rsidRPr="0004670E">
        <w:t>Figure 2. Concentrations (</w:t>
      </w:r>
      <w:r w:rsidR="00B84429">
        <w:t>mean</w:t>
      </w:r>
      <w:r w:rsidR="00B84429" w:rsidRPr="0004670E">
        <w:t xml:space="preserve"> </w:t>
      </w:r>
      <w:r w:rsidRPr="0004670E">
        <w:t xml:space="preserve">and standard deviations </w:t>
      </w:r>
      <w:r w:rsidR="00313A38">
        <w:t xml:space="preserve">back-transformed from </w:t>
      </w:r>
      <w:r w:rsidRPr="0004670E">
        <w:t xml:space="preserve">log-transformed data) of PCBs in muscles, livers and subcutaneous fat of </w:t>
      </w:r>
      <w:r w:rsidR="00407134">
        <w:t>Skua</w:t>
      </w:r>
      <w:r w:rsidRPr="0004670E">
        <w:t xml:space="preserve">s (blue bars) and </w:t>
      </w:r>
      <w:r w:rsidR="00407134">
        <w:t>Kelp</w:t>
      </w:r>
      <w:r w:rsidRPr="0004670E">
        <w:t xml:space="preserve"> gulls (orange bars and dots (</w:t>
      </w:r>
      <w:r w:rsidR="00CF159B" w:rsidRPr="00CF159B">
        <w:t>in cases where only 1 sample was available</w:t>
      </w:r>
      <w:r w:rsidRPr="0004670E">
        <w:t>)). Note that log scale is used ubiquitously.</w:t>
      </w:r>
    </w:p>
    <w:p w14:paraId="68B7ED24" w14:textId="77777777" w:rsidR="0004670E" w:rsidRDefault="0004670E"/>
    <w:p w14:paraId="7311688C" w14:textId="33167B92" w:rsidR="00EF22D6" w:rsidRDefault="0004670E" w:rsidP="00AE0C3B">
      <w:pPr>
        <w:spacing w:line="360" w:lineRule="auto"/>
      </w:pPr>
      <w:r>
        <w:t>Concentrations of PCBs (</w:t>
      </w:r>
      <w:r w:rsidR="00C36EE4">
        <w:t>Fig</w:t>
      </w:r>
      <w:r>
        <w:t xml:space="preserve">.2) are </w:t>
      </w:r>
      <w:r w:rsidR="009F3C9F">
        <w:t xml:space="preserve">generally </w:t>
      </w:r>
      <w:r>
        <w:t>higher in subcutaneous fat and livers than in muscles for</w:t>
      </w:r>
      <w:r w:rsidRPr="00E27F57">
        <w:t xml:space="preserve"> both species.</w:t>
      </w:r>
      <w:r>
        <w:t xml:space="preserve"> The patterns of individual congeners, nevertheless, appear quite similar with a </w:t>
      </w:r>
      <w:r w:rsidR="009F3C9F">
        <w:t>predominance of</w:t>
      </w:r>
      <w:r>
        <w:t xml:space="preserve"> hexa- and hepta-CBs, i.e. PCB 153, PCB 180 and PCB 138. Among tri-, tetra- and hepta-CBs the highest concentrations are attributed to PCB 118. </w:t>
      </w:r>
      <w:r w:rsidR="00AE0C3B">
        <w:t>The predominance of hexa-</w:t>
      </w:r>
      <w:r w:rsidR="00AE0C3B" w:rsidRPr="00973543">
        <w:t xml:space="preserve"> </w:t>
      </w:r>
      <w:r w:rsidR="00AE0C3B">
        <w:t xml:space="preserve">and </w:t>
      </w:r>
      <w:r w:rsidR="00AE0C3B" w:rsidRPr="00973543">
        <w:t>hepta-</w:t>
      </w:r>
      <w:r w:rsidR="00AE0C3B">
        <w:t xml:space="preserve">CBs in both </w:t>
      </w:r>
      <w:r w:rsidR="00407134">
        <w:t>Skua</w:t>
      </w:r>
      <w:r w:rsidR="00AE0C3B">
        <w:t xml:space="preserve">s and </w:t>
      </w:r>
      <w:r w:rsidR="00407134">
        <w:t xml:space="preserve">Kelp </w:t>
      </w:r>
      <w:r w:rsidR="00AE0C3B">
        <w:t xml:space="preserve">gulls agrees with many preceding studies for various Antarctic marine birds (including </w:t>
      </w:r>
      <w:r w:rsidR="00407134">
        <w:t>Skua</w:t>
      </w:r>
      <w:r w:rsidR="00AE0C3B">
        <w:t>s)</w:t>
      </w:r>
      <w:r w:rsidR="00AE0C3B" w:rsidRPr="00615097">
        <w:t xml:space="preserve"> </w:t>
      </w:r>
      <w:r w:rsidR="00AE0C3B">
        <w:fldChar w:fldCharType="begin" w:fldLock="1"/>
      </w:r>
      <w:r w:rsidR="00317534">
        <w:instrText>ADDIN CSL_CITATION {"citationItems":[{"id":"ITEM-1","itemData":{"DOI":"10.1016/j.envint.2011.05.017","ISSN":"01604120","author":[{"dropping-particle":"","family":"Corsolini","given":"Simonetta","non-dropping-particle":"","parse-names":false,"suffix":""},{"dropping-particle":"","family":"Borghesi","given":"Nicoletta","non-dropping-particle":"","parse-names":false,"suffix":""},{"dropping-particle":"","family":"Ademollo","given":"Nicoletta","non-dropping-particle":"","parse-names":false,"suffix":""},{"dropping-particle":"","family":"Focardi","given":"Silvano","non-dropping-particle":"","parse-names":false,"suffix":""}],"container-title":"Environment International","id":"ITEM-1","issue":"8","issued":{"date-parts":[["2011","11"]]},"page":"1329-1335","title":"Chlorinated biphenyls and pesticides in migrating and resident seabirds from East and West Antarctica","type":"article-journal","volume":"37"},"uris":["http://www.mendeley.com/documents/?uuid=eb72d211-3a78-3829-a957-0569e7fd8dbe"]},{"id":"ITEM-2","itemData":{"DOI":"10.1016/j.chemosphere.2017.07.054","ISSN":"00456535","author":[{"dropping-particle":"","family":"Corsolini","given":"Simonetta","non-dropping-particle":"","parse-names":false,"suffix":""},{"dropping-particle":"","family":"Ademollo","given":"Nicoletta","non-dropping-particle":"","parse-names":false,"suffix":""},{"dropping-particle":"","family":"Martellini","given":"Tania","non-dropping-particle":"","parse-names":false,"suffix":""},{"dropping-particle":"","family":"Randazzo","given":"Demetrio","non-dropping-particle":"","parse-names":false,"suffix":""},{"dropping-particle":"","family":"Vacchi","given":"Marino","non-dropping-particle":"","parse-names":false,"suffix":""},{"dropping-particle":"","family":"Cincinelli","given":"Alessandra","non-dropping-particle":"","parse-names":false,"suffix":""}],"container-title":"Chemosphere","id":"ITEM-2","issued":{"date-parts":[["2017","10"]]},"page":"699-708","title":"Legacy persistent organic pollutants including PBDEs in the trophic web of the Ross Sea (Antarctica)","type":"article-journal","volume":"185"},"uris":["http://www.mendeley.com/documents/?uuid=6c920ada-dfe7-3e76-b663-fbf0fbc95413"]},{"id":"ITEM-3","itemData":{"DOI":"10.1016/j.scitotenv.2016.07.080","ISSN":"00489697","author":[{"dropping-particle":"V.","family":"Mello","given":"Flávia","non-dropping-particle":"","parse-names":false,"suffix":""},{"dropping-particle":"","family":"Roscales","given":"Jose L.","non-dropping-particle":"","parse-names":false,"suffix":""},{"dropping-particle":"","family":"Guida","given":"Yago S.","non-dropping-particle":"","parse-names":false,"suffix":""},{"dropping-particle":"","family":"Menezes","given":"Jorge F.S.","non-dropping-particle":"","parse-names":false,"suffix":""},{"dropping-particle":"","family":"Vicente","given":"Alba","non-dropping-particle":"","parse-names":false,"suffix":""},{"dropping-particle":"","family":"Costa","given":"Erli S.","non-dropping-particle":"","parse-names":false,"suffix":""},{"dropping-particle":"","family":"Jiménez","given":"Begoña","non-dropping-particle":"","parse-names":false,"suffix":""},{"dropping-particle":"","family":"Torres","given":"João Paulo M.","non-dropping-particle":"","parse-names":false,"suffix":""}],"container-title":"Science of The Total Environment","id":"ITEM-3","issued":{"date-parts":[["2016","12"]]},"page":"1380-1389","title":"Relationship between legacy and emerging organic pollutants in Antarctic seabirds and their foraging ecology as shown by δ 13 C and δ 15 N","type":"article-journal","volume":"573"},"uris":["http://www.mendeley.com/documents/?uuid=69693526-8fa9-3596-a685-a5f2684b41e3"]},{"id":"ITEM-4","itemData":{"DOI":"10.1016/J.ENVRES.2016.04.005","ISSN":"0013-9351","abstract":"Studies on Persistent Organic Pollutants (POPs) in Antarctic wildlife are scarce, and usually limited to a single locality. As a result, wildlife exposure to POPs across the Southern Ocean is poorly understood. In this study, we report the differential exposure of the major southern ocean scavengers, the giant petrels, to POPs across a wide latitudinal gradient. Selected POPs (PCBs, HCB, DDTs, PBDEs) and related compounds, such as Dechlorane Plus (DP), were analyzed in plasma of southern giant petrels (Macronectes giganteus) breeding on Livingston (62°S 61°W, Antarctica), Marion (46°S 37°E, sub-Antarctic), and Gough (40°S 10°W, cool temperate) islands. Northern giant petrels (Macronectes halli) from Marion Island were also studied. Stable isotope ratios of C and N (δ13C and δ15N) were used as dietary tracers of the marine habitat and trophic level, respectively. Breeding locality was a major factor explaining petrel exposure to POPs compared with species and sex. Significant relationships between δ13C values and POP burdens, at both inter- and intra-population levels, support latitudinal variations in feeding grounds as a key factor in explaining petrel pollutant burdens. Overall, pollutant levels in giant petrels decreased significantly with latitude, but the relative abundance (%) of the more volatile POPs increased towards Antarctica. DP was found at negligible levels compared with legacy POPs in Antarctic seabirds. Spatial POP patterns found in giant petrels match those predicted by global distribution models, and reinforce the hypothesis of atmospheric long-range transport as the main source of POPs in Antarctica. Our results confirm that wildlife movements out of the polar region markedly increase their exposure to POPs. Therefore, strategies for Antarctic wildlife conservation should consider spatial heterogeneity in exposure to marine pollution. Of particular relevance is the need to clarify the exposure of Antarctic predators to emerging contaminants that are not yet globally regulated.","author":[{"dropping-particle":"","family":"Roscales","given":"Jose L.","non-dropping-particle":"","parse-names":false,"suffix":""},{"dropping-particle":"","family":"González-Solís","given":"Jacob","non-dropping-particle":"","parse-names":false,"suffix":""},{"dropping-particle":"","family":"Zango","given":"Laura","non-dropping-particle":"","parse-names":false,"suffix":""},{"dropping-particle":"","family":"Ryan","given":"Peter G.","non-dropping-particle":"","parse-names":false,"suffix":""},{"dropping-particle":"","family":"Jiménez","given":"Begoña","non-dropping-particle":"","parse-names":false,"suffix":""}],"container-title":"Environmental Research","id":"ITEM-4","issued":{"date-parts":[["2016","7","1"]]},"page":"285-294","publisher":"Academic Press","title":"Latitudinal exposure to DDTs, HCB, PCBs, PBDEs and DP in giant petrels (Macronectes spp.) across the Southern Ocean","type":"article-journal","volume":"148"},"uris":["http://www.mendeley.com/documents/?uuid=83f4bfee-8909-3fe9-98b7-2c08f915a6dc"]}],"mendeley":{"formattedCitation":"(Corsolini et al., 2017, 2011; Mello et al., 2016; Roscales et al., 2016)","plainTextFormattedCitation":"(Corsolini et al., 2017, 2011; Mello et al., 2016; Roscales et al., 2016)","previouslyFormattedCitation":"(Corsolini et al., 2017, 2011; Mello et al., 2016; Roscales et al., 2016)"},"properties":{"noteIndex":0},"schema":"https://github.com/citation-style-language/schema/raw/master/csl-citation.json"}</w:instrText>
      </w:r>
      <w:r w:rsidR="00AE0C3B">
        <w:fldChar w:fldCharType="separate"/>
      </w:r>
      <w:r w:rsidR="00317534" w:rsidRPr="00317534">
        <w:rPr>
          <w:noProof/>
        </w:rPr>
        <w:t>(Corsolini et al., 2017, 2011; Mello et al., 2016; Roscales et al., 2016)</w:t>
      </w:r>
      <w:r w:rsidR="00AE0C3B">
        <w:fldChar w:fldCharType="end"/>
      </w:r>
      <w:r w:rsidR="00571D6A">
        <w:t xml:space="preserve">, although </w:t>
      </w:r>
      <w:r w:rsidR="00AE6B8B">
        <w:t xml:space="preserve">this may not observed for </w:t>
      </w:r>
      <w:r w:rsidR="0057741D">
        <w:t>p</w:t>
      </w:r>
      <w:r w:rsidR="003845D7">
        <w:t>e</w:t>
      </w:r>
      <w:r w:rsidR="0057741D">
        <w:t>nguins</w:t>
      </w:r>
      <w:r w:rsidR="00AE6B8B">
        <w:fldChar w:fldCharType="begin" w:fldLock="1"/>
      </w:r>
      <w:r w:rsidR="00317534">
        <w:instrText>ADDIN CSL_CITATION {"citationItems":[{"id":"ITEM-1","itemData":{"DOI":"10.1016/S0048-9697(97)05440-5","ISSN":"00489697","author":[{"dropping-particle":"","family":"Brink","given":"N.W.","non-dropping-particle":"Van den","parse-names":false,"suffix":""}],"container-title":"Science of The Total Environment","id":"ITEM-1","issue":"1","issued":{"date-parts":[["1997","5"]]},"page":"43-50","title":"Directed transport of volatile organochlorine pollutants to polar regions: the effect on the contamination pattern of Antarctic seabirds","type":"article-journal","volume":"198"},"uris":["http://www.mendeley.com/documents/?uuid=f9aa376b-22a9-358c-b9e7-0b14386586b6"]}],"mendeley":{"formattedCitation":"(Van den Brink, 1997)","plainTextFormattedCitation":"(Van den Brink, 1997)","previouslyFormattedCitation":"(Van den Brink, 1997)"},"properties":{"noteIndex":0},"schema":"https://github.com/citation-style-language/schema/raw/master/csl-citation.json"}</w:instrText>
      </w:r>
      <w:r w:rsidR="00AE6B8B">
        <w:fldChar w:fldCharType="separate"/>
      </w:r>
      <w:r w:rsidR="00317534" w:rsidRPr="00317534">
        <w:rPr>
          <w:noProof/>
        </w:rPr>
        <w:t>(Van den Brink, 1997)</w:t>
      </w:r>
      <w:r w:rsidR="00AE6B8B">
        <w:fldChar w:fldCharType="end"/>
      </w:r>
      <w:r w:rsidR="00AE0C3B">
        <w:t xml:space="preserve">. </w:t>
      </w:r>
      <w:r w:rsidR="00007B50">
        <w:t xml:space="preserve">This outcome may </w:t>
      </w:r>
      <w:r w:rsidR="00CF495F">
        <w:t>arise</w:t>
      </w:r>
      <w:r w:rsidR="00007B50">
        <w:t xml:space="preserve"> from</w:t>
      </w:r>
      <w:r w:rsidR="00AE0C3B">
        <w:t xml:space="preserve"> characteristics of </w:t>
      </w:r>
      <w:r w:rsidR="00007B50">
        <w:t xml:space="preserve">the </w:t>
      </w:r>
      <w:r w:rsidR="00AE0C3B">
        <w:t xml:space="preserve">metabolism of PCBs by avian species, which allows them to eliminate </w:t>
      </w:r>
      <w:r w:rsidR="009F3C9F">
        <w:t xml:space="preserve">lower chlorinated </w:t>
      </w:r>
      <w:r w:rsidR="00AE0C3B">
        <w:t xml:space="preserve">PCBs faster than the </w:t>
      </w:r>
      <w:r w:rsidR="009F3C9F">
        <w:t xml:space="preserve">higher chlorinated </w:t>
      </w:r>
      <w:r w:rsidR="00AE0C3B">
        <w:t xml:space="preserve">ones </w:t>
      </w:r>
      <w:r w:rsidR="00AE0C3B">
        <w:fldChar w:fldCharType="begin" w:fldLock="1"/>
      </w:r>
      <w:r w:rsidR="00317534">
        <w:instrText>ADDIN CSL_CITATION {"citationItems":[{"id":"ITEM-1","itemData":{"DOI":"10.1016/J.CHEMOSPHERE.2004.06.015","ISSN":"0045-6535","abstract":"During one to three consecutive periods of 2 weeks, broiler chickens (n=108) received test diets to which different amounts of PCBs (7 congeners) were added. The relationship between exposure time and accumulation of individual congeners in different chicken tissues, such as breast, thigh and abdominal fat tissue, was observed. In all tissues, the vast majority of the PCB accumulation occurred during the first 2 weeks of exposure. After that, PCB concentrations only increased in the abdominal fat tissue of the animals. The individual PCBs were distributed differently in the various tissues. While CBs 28, 118, 138, 153 and 180 accumulated in the chickens, CBs 52 and 101 were metabolized, but no methyl sulphone metabolites of these congeners could be detected. Our results provide information on the absorption, tissue distribution and biotransformation of the individual PCB congeners and confirm the structure–activity relationships for metabolism of PCBs in birds, which are different from those in fish or mammalian species.","author":[{"dropping-particle":"","family":"Maervoet","given":"J.","non-dropping-particle":"","parse-names":false,"suffix":""},{"dropping-particle":"","family":"Chu","given":"S.G.","non-dropping-particle":"","parse-names":false,"suffix":""},{"dropping-particle":"","family":"Vos","given":"","non-dropping-particle":"De","parse-names":false,"suffix":""},{"dropping-particle":"","family":"Covaci","given":"A.","non-dropping-particle":"","parse-names":false,"suffix":""},{"dropping-particle":"","family":"Voorspoels","given":"S.","non-dropping-particle":"","parse-names":false,"suffix":""},{"dropping-particle":"","family":"Schrijver","given":"","non-dropping-particle":"De","parse-names":false,"suffix":""},{"dropping-particle":"","family":"Schepens","given":"P.","non-dropping-particle":"","parse-names":false,"suffix":""}],"container-title":"Chemosphere","id":"ITEM-1","issue":"1","issued":{"date-parts":[["2004","10","1"]]},"page":"61-66","publisher":"Pergamon","title":"Accumulation and tissue distribution of selected polychlorinated biphenyl congeners in chickens","type":"article-journal","volume":"57"},"uris":["http://www.mendeley.com/documents/?uuid=154e9648-2f78-34aa-a058-344b12fcd1bc"]},{"id":"ITEM-2","itemData":{"DOI":"10.1016/S0269-7491(97)00080-8","ISSN":"02697491","author":[{"dropping-particle":"","family":"Court","given":"G.S.","non-dropping-particle":"","parse-names":false,"suffix":""},{"dropping-particle":"","family":"Davis","given":"L.S.","non-dropping-particle":"","parse-names":false,"suffix":""},{"dropping-particle":"","family":"Focardi","given":"S.","non-dropping-particle":"","parse-names":false,"suffix":""},{"dropping-particle":"","family":"Bargargli","given":"R.","non-dropping-particle":"","parse-names":false,"suffix":""},{"dropping-particle":"","family":"Fossi","given":"C.","non-dropping-particle":"","parse-names":false,"suffix":""},{"dropping-particle":"","family":"Leonzio","given":"C.","non-dropping-particle":"","parse-names":false,"suffix":""},{"dropping-particle":"","family":"Marili","given":"L.","non-dropping-particle":"","parse-names":false,"suffix":""}],"container-title":"Environmental Pollution","id":"ITEM-2","issue":"3","issued":{"date-parts":[["1997"]]},"page":"295-301","title":"Chlorinated hydrocarbons in the tissues of South Polar Skuas (Catharacta maccormicki) and Adélie Penguins (Pygoscelis adeliea) from Ross Sea, Antarctica","type":"article-journal","volume":"97"},"uris":["http://www.mendeley.com/documents/?uuid=adf413ff-ce4b-3541-9be6-752cb82494de"]}],"mendeley":{"formattedCitation":"(Court et al., 1997; Maervoet et al., 2004)","plainTextFormattedCitation":"(Court et al., 1997; Maervoet et al., 2004)","previouslyFormattedCitation":"(Court et al., 1997; Maervoet et al., 2004)"},"properties":{"noteIndex":0},"schema":"https://github.com/citation-style-language/schema/raw/master/csl-citation.json"}</w:instrText>
      </w:r>
      <w:r w:rsidR="00AE0C3B">
        <w:fldChar w:fldCharType="separate"/>
      </w:r>
      <w:r w:rsidR="00317534" w:rsidRPr="00317534">
        <w:rPr>
          <w:noProof/>
        </w:rPr>
        <w:t>(Court et al., 1997; Maervoet et al., 2004)</w:t>
      </w:r>
      <w:r w:rsidR="00AE0C3B">
        <w:fldChar w:fldCharType="end"/>
      </w:r>
      <w:r w:rsidR="00AE0C3B">
        <w:t xml:space="preserve">. </w:t>
      </w:r>
      <w:r w:rsidR="00B72F7A">
        <w:t xml:space="preserve">No statistically significant differences were found </w:t>
      </w:r>
      <w:r w:rsidR="003656C1">
        <w:t>among</w:t>
      </w:r>
      <w:r w:rsidR="00B72F7A">
        <w:t xml:space="preserve"> concentrations</w:t>
      </w:r>
      <w:r w:rsidR="003656C1">
        <w:t xml:space="preserve"> of PCBs</w:t>
      </w:r>
      <w:r w:rsidR="00B72F7A">
        <w:t xml:space="preserve"> in the muscles of the two species (Appendix 4).</w:t>
      </w:r>
    </w:p>
    <w:p w14:paraId="7DE4C754" w14:textId="3B6D561A" w:rsidR="00AE0C3B" w:rsidRDefault="00AE0C3B" w:rsidP="00AE0C3B">
      <w:pPr>
        <w:spacing w:line="360" w:lineRule="auto"/>
      </w:pPr>
      <w:r>
        <w:t xml:space="preserve">Although </w:t>
      </w:r>
      <w:r w:rsidR="009F3C9F">
        <w:t xml:space="preserve">PCB concentrations </w:t>
      </w:r>
      <w:r>
        <w:t xml:space="preserve">in this study </w:t>
      </w:r>
      <w:r w:rsidR="009F3C9F">
        <w:t>are</w:t>
      </w:r>
      <w:r>
        <w:t xml:space="preserve"> higher than </w:t>
      </w:r>
      <w:r w:rsidR="00007B50">
        <w:t xml:space="preserve">those </w:t>
      </w:r>
      <w:r w:rsidR="00B90C24">
        <w:t xml:space="preserve">reported </w:t>
      </w:r>
      <w:r>
        <w:t>recently</w:t>
      </w:r>
      <w:r w:rsidR="00007B50">
        <w:t xml:space="preserve"> for</w:t>
      </w:r>
      <w:r>
        <w:t xml:space="preserve"> </w:t>
      </w:r>
      <w:r w:rsidR="00007B50">
        <w:t>Antarctic seabirds</w:t>
      </w:r>
      <w:r>
        <w:fldChar w:fldCharType="begin" w:fldLock="1"/>
      </w:r>
      <w:r w:rsidR="00317534">
        <w:instrText>ADDIN CSL_CITATION {"citationItems":[{"id":"ITEM-1","itemData":{"DOI":"10.1016/j.envpol.2008.10.016","ISSN":"02697491","author":[{"dropping-particle":"","family":"Yogui","given":"G.T.","non-dropping-particle":"","parse-names":false,"suffix":""},{"dropping-particle":"","family":"Sericano","given":"J.L.","non-dropping-particle":"","parse-names":false,"suffix":""}],"container-title":"Environmental Pollution","id":"ITEM-1","issue":"3","issued":{"date-parts":[["2009","3"]]},"page":"975-980","title":"Levels and pattern of polybrominated diphenyl ethers in eggs of Antarctic seabirds: Endemic versus migratory species","type":"article-journal","volume":"157"},"uris":["http://www.mendeley.com/documents/?uuid=ed37ce1f-b867-3c71-a49b-ce98c3f5c974"]},{"id":"ITEM-2","itemData":{"DOI":"10.1016/j.envint.2011.05.017","ISSN":"01604120","author":[{"dropping-particle":"","family":"Corsolini","given":"Simonetta","non-dropping-particle":"","parse-names":false,"suffix":""},{"dropping-particle":"","family":"Borghesi","given":"Nicoletta","non-dropping-particle":"","parse-names":false,"suffix":""},{"dropping-particle":"","family":"Ademollo","given":"Nicoletta","non-dropping-particle":"","parse-names":false,"suffix":""},{"dropping-particle":"","family":"Focardi","given":"Silvano","non-dropping-particle":"","parse-names":false,"suffix":""}],"container-title":"Environment International","id":"ITEM-2","issue":"8","issued":{"date-parts":[["2011","11"]]},"page":"1329-1335","title":"Chlorinated biphenyls and pesticides in migrating and resident seabirds from East and West Antarctica","type":"article-journal","volume":"37"},"uris":["http://www.mendeley.com/documents/?uuid=eb72d211-3a78-3829-a957-0569e7fd8dbe"]},{"id":"ITEM-3","itemData":{"DOI":"10.1017/S0954102012001149","ISSN":"0954-1020","author":[{"dropping-particle":"","family":"Cipro","given":"Caio V.Z.","non-dropping-particle":"","parse-names":false,"suffix":""},{"dropping-particle":"","family":"Colabuono","given":"Fernanda I.","non-dropping-particle":"","parse-names":false,"suffix":""},{"dropping-particle":"","family":"Taniguchi","given":"Satie","non-dropping-particle":"","parse-names":false,"suffix":""},{"dropping-particle":"","family":"Montone","given":"Rosalinda Carmela","non-dropping-particle":"","parse-names":false,"suffix":""}],"container-title":"Antarctic Science","id":"ITEM-3","issue":"04","issued":{"date-parts":[["2013","8","11"]]},"page":"545-552","title":"Persistent organic pollutants in bird, fish and invertebrate samples from King George Island, Antarctica","type":"article-journal","volume":"25"},"uris":["http://www.mendeley.com/documents/?uuid=f47d6330-23be-3fd7-9426-f050d8e611a6"]},{"id":"ITEM-4","itemData":{"DOI":"10.1021/acs.est.5b03181","ISSN":"0013-936X","author":[{"dropping-particle":"","family":"Kim","given":"Jun-Tae","non-dropping-particle":"","parse-names":false,"suffix":""},{"dropping-particle":"","family":"Son","given":"Min-Hui","non-dropping-particle":"","parse-names":false,"suffix":""},{"dropping-particle":"","family":"Kang","given":"Jung-Ho","non-dropping-particle":"","parse-names":false,"suffix":""},{"dropping-particle":"","family":"Kim","given":"Jeong-Hoon","non-dropping-particle":"","parse-names":false,"suffix":""},{"dropping-particle":"","family":"Jung","given":"Jin-Woo","non-dropping-particle":"","parse-names":false,"suffix":""},{"dropping-particle":"","family":"Chang","given":"Yoon-Seok","non-dropping-particle":"","parse-names":false,"suffix":""}],"container-title":"Environmental Science &amp; Technology","id":"ITEM-4","issue":"22","issued":{"date-parts":[["2015","11","17"]]},"page":"13628-13638","title":"Occurrence of Legacy and New Persistent Organic Pollutants in Avian Tissues from King George Island, Antarctica","type":"article-journal","volume":"49"},"uris":["http://www.mendeley.com/documents/?uuid=11a209b6-d574-33b0-9940-2e4fa6bf2c43"]},{"id":"ITEM-5","itemData":{"DOI":"10.1016/j.scitotenv.2016.07.080","ISSN":"00489697","author":[{"dropping-particle":"V.","family":"Mello","given":"Flávia","non-dropping-particle":"","parse-names":false,"suffix":""},{"dropping-particle":"","family":"Roscales","given":"Jose L.","non-dropping-particle":"","parse-names":false,"suffix":""},{"dropping-particle":"","family":"Guida","given":"Yago S.","non-dropping-particle":"","parse-names":false,"suffix":""},{"dropping-particle":"","family":"Menezes","given":"Jorge F.S.","non-dropping-particle":"","parse-names":false,"suffix":""},{"dropping-particle":"","family":"Vicente","given":"Alba","non-dropping-particle":"","parse-names":false,"suffix":""},{"dropping-particle":"","family":"Costa","given":"Erli S.","non-dropping-particle":"","parse-names":false,"suffix":""},{"dropping-particle":"","family":"Jiménez","given":"Begoña","non-dropping-particle":"","parse-names":false,"suffix":""},{"dropping-particle":"","family":"Torres","given":"João Paulo M.","non-dropping-particle":"","parse-names":false,"suffix":""}],"container-title":"Science of The Total Environment","id":"ITEM-5","issued":{"date-parts":[["2016","12"]]},"page":"1380-1389","title":"Relationship between legacy and emerging organic pollutants in Antarctic seabirds and their foraging ecology as shown by δ 13 C and δ 15 N","type":"article-journal","volume":"573"},"uris":["http://www.mendeley.com/documents/?uuid=69693526-8fa9-3596-a685-a5f2684b41e3"]},{"id":"ITEM-6","itemData":{"DOI":"10.1016/J.ENVRES.2016.04.005","ISSN":"0013-9351","abstract":"Studies on Persistent Organic Pollutants (POPs) in Antarctic wildlife are scarce, and usually limited to a single locality. As a result, wildlife exposure to POPs across the Southern Ocean is poorly understood. In this study, we report the differential exposure of the major southern ocean scavengers, the giant petrels, to POPs across a wide latitudinal gradient. Selected POPs (PCBs, HCB, DDTs, PBDEs) and related compounds, such as Dechlorane Plus (DP), were analyzed in plasma of southern giant petrels (Macronectes giganteus) breeding on Livingston (62°S 61°W, Antarctica), Marion (46°S 37°E, sub-Antarctic), and Gough (40°S 10°W, cool temperate) islands. Northern giant petrels (Macronectes halli) from Marion Island were also studied. Stable isotope ratios of C and N (δ13C and δ15N) were used as dietary tracers of the marine habitat and trophic level, respectively. Breeding locality was a major factor explaining petrel exposure to POPs compared with species and sex. Significant relationships between δ13C values and POP burdens, at both inter- and intra-population levels, support latitudinal variations in feeding grounds as a key factor in explaining petrel pollutant burdens. Overall, pollutant levels in giant petrels decreased significantly with latitude, but the relative abundance (%) of the more volatile POPs increased towards Antarctica. DP was found at negligible levels compared with legacy POPs in Antarctic seabirds. Spatial POP patterns found in giant petrels match those predicted by global distribution models, and reinforce the hypothesis of atmospheric long-range transport as the main source of POPs in Antarctica. Our results confirm that wildlife movements out of the polar region markedly increase their exposure to POPs. Therefore, strategies for Antarctic wildlife conservation should consider spatial heterogeneity in exposure to marine pollution. Of particular relevance is the need to clarify the exposure of Antarctic predators to emerging contaminants that are not yet globally regulated.","author":[{"dropping-particle":"","family":"Roscales","given":"Jose L.","non-dropping-particle":"","parse-names":false,"suffix":""},{"dropping-particle":"","family":"González-Solís","given":"Jacob","non-dropping-particle":"","parse-names":false,"suffix":""},{"dropping-particle":"","family":"Zango","given":"Laura","non-dropping-particle":"","parse-names":false,"suffix":""},{"dropping-particle":"","family":"Ryan","given":"Peter G.","non-dropping-particle":"","parse-names":false,"suffix":""},{"dropping-particle":"","family":"Jiménez","given":"Begoña","non-dropping-particle":"","parse-names":false,"suffix":""}],"container-title":"Environmental Research","id":"ITEM-6","issued":{"date-parts":[["2016","7","1"]]},"page":"285-294","publisher":"Academic Press","title":"Latitudinal exposure to DDTs, HCB, PCBs, PBDEs and DP in giant petrels (Macronectes spp.) across the Southern Ocean","type":"article-journal","volume":"148"},"uris":["http://www.mendeley.com/documents/?uuid=83f4bfee-8909-3fe9-98b7-2c08f915a6dc"]},{"id":"ITEM-7","itemData":{"DOI":"10.1016/J.SCITOTENV.2015.11.114","ISSN":"0048-9697","abstract":"Trace elements (n=14) and persistent organic pollutants (POPs, n=30) were measured in blood, liver, kidney, muscle and feathers of 10 Antarctic prions (Pachyptila desolata) from Kerguelen Islands, southern Indian Ocean, in order to assess their concentrations, tissue distribution, and inter-tissue and inter-contaminant relationships. Liver, kidney and feathers presented the highest burdens of arsenic, cadmium and mercury, respectively. Concentrations of cadmium, copper, iron, and zinc correlated in liver and muscle, suggesting that uptake and pathways of metabolism and storage were similar for these elements. The major POPs were 4,4′-DDE, mirex, PCB-153 and PCB-138. The concentrations and tissue distribution patterns of environmental contaminants were overall in accordance with previous results in other seabirds. Conversely, some Antarctic prions showed surprisingly high concentrations of BDE-209. This compound has been rarely observed in seabirds before, and its presence in Antarctic prions could be due to the species feeding habits or to the ingestion of plastic debris. Overall, the study shows that relatively lower trophic level seabirds (zooplankton-eaters) breeding in the remote southern Indian Ocean are exposed to a wide range of environmental contaminants, in particular cadmium, selenium and some emerging-POPs, which merits further toxicological investigations.","author":[{"dropping-particle":"","family":"Fromant","given":"Aymeric","non-dropping-particle":"","parse-names":false,"suffix":""},{"dropping-particle":"","family":"Carravieri","given":"Alice","non-dropping-particle":"","parse-names":false,"suffix":""},{"dropping-particle":"","family":"Bustamante","given":"Paco","non-dropping-particle":"","parse-names":false,"suffix":""},{"dropping-particle":"","family":"Labadie","given":"Pierre","non-dropping-particle":"","parse-names":false,"suffix":""},{"dropping-particle":"","family":"Budzinski","given":"Hélène","non-dropping-particle":"","parse-names":false,"suffix":""},{"dropping-particle":"","family":"Peluhet","given":"Laurent","non-dropping-particle":"","parse-names":false,"suffix":""},{"dropping-particle":"","family":"Churlaud","given":"Carine","non-dropping-particle":"","parse-names":false,"suffix":""},{"dropping-particle":"","family":"Chastel","given":"Olivier","non-dropping-particle":"","parse-names":false,"suffix":""},{"dropping-particle":"","family":"Cherel","given":"Yves","non-dropping-particle":"","parse-names":false,"suffix":""}],"container-title":"Science of The Total Environment","id":"ITEM-7","issued":{"date-parts":[["2016","2","15"]]},"page":"754-764","publisher":"Elsevier","title":"Wide range of metallic and organic contaminants in various tissues of the Antarctic prion, a planktonophagous seabird from the Southern Ocean","type":"article-journal","volume":"544"},"uris":["http://www.mendeley.com/documents/?uuid=0d769821-1b0f-3582-9b18-f91d27afbd1f"]}],"mendeley":{"formattedCitation":"(Cipro et al., 2013; Corsolini et al., 2011; Fromant et al., 2016; Kim et al., 2015; Mello et al., 2016; Roscales et al., 2016; Yogui and Sericano, 2009)","plainTextFormattedCitation":"(Cipro et al., 2013; Corsolini et al., 2011; Fromant et al., 2016; Kim et al., 2015; Mello et al., 2016; Roscales et al., 2016; Yogui and Sericano, 2009)","previouslyFormattedCitation":"(Cipro et al., 2013; Corsolini et al., 2011; Fromant et al., 2016; Kim et al., 2015; Mello et al., 2016; Roscales et al., 2016; Yogui and Sericano, 2009)"},"properties":{"noteIndex":0},"schema":"https://github.com/citation-style-language/schema/raw/master/csl-citation.json"}</w:instrText>
      </w:r>
      <w:r>
        <w:fldChar w:fldCharType="separate"/>
      </w:r>
      <w:r w:rsidR="00317534" w:rsidRPr="00317534">
        <w:rPr>
          <w:noProof/>
        </w:rPr>
        <w:t>(Cipro et al., 2013; Corsolini et al., 2011; Fromant et al., 2016; Kim et al., 2015; Mello et al., 2016; Roscales et al., 2016; Yogui and Sericano, 2009)</w:t>
      </w:r>
      <w:r>
        <w:fldChar w:fldCharType="end"/>
      </w:r>
      <w:r>
        <w:t xml:space="preserve"> and </w:t>
      </w:r>
      <w:r w:rsidR="00E130A1">
        <w:t xml:space="preserve">are </w:t>
      </w:r>
      <w:r>
        <w:t>comparable to the ones from 15-20 years ago</w:t>
      </w:r>
      <w:r w:rsidR="00B9649E">
        <w:t xml:space="preserve"> </w:t>
      </w:r>
      <w:r>
        <w:fldChar w:fldCharType="begin" w:fldLock="1"/>
      </w:r>
      <w:r w:rsidR="00317534">
        <w:instrText>ADDIN CSL_CITATION {"citationItems":[{"id":"ITEM-1","itemData":{"DOI":"10.1016/S0048-9697(97)05440-5","ISSN":"00489697","author":[{"dropping-particle":"","family":"Brink","given":"N.W.","non-dropping-particle":"Van den","parse-names":false,"suffix":""}],"container-title":"Science of The Total Environment","id":"ITEM-1","issue":"1","issued":{"date-parts":[["1997","5"]]},"page":"43-50","title":"Directed transport of volatile organochlorine pollutants to polar regions: the effect on the contamination pattern of Antarctic seabirds","type":"article-journal","volume":"198"},"uris":["http://www.mendeley.com/documents/?uuid=f9aa376b-22a9-358c-b9e7-0b14386586b6"]},{"id":"ITEM-2","itemData":{"DOI":"10.1016/S0269-7491(97)00080-8","ISSN":"02697491","author":[{"dropping-particle":"","family":"Court","given":"G.S.","non-dropping-particle":"","parse-names":false,"suffix":""},{"dropping-particle":"","family":"Davis","given":"L.S.","non-dropping-particle":"","parse-names":false,"suffix":""},{"dropping-particle":"","family":"Focardi","given":"S.","non-dropping-particle":"","parse-names":false,"suffix":""},{"dropping-particle":"","family":"Bargargli","given":"R.","non-dropping-particle":"","parse-names":false,"suffix":""},{"dropping-particle":"","family":"Fossi","given":"C.","non-dropping-particle":"","parse-names":false,"suffix":""},{"dropping-particle":"","family":"Leonzio","given":"C.","non-dropping-particle":"","parse-names":false,"suffix":""},{"dropping-particle":"","family":"Marili","given":"L.","non-dropping-particle":"","parse-names":false,"suffix":""}],"container-title":"Environmental Pollution","id":"ITEM-2","issue":"3","issued":{"date-parts":[["1997"]]},"page":"295-301","title":"Chlorinated hydrocarbons in the tissues of South Polar Skuas (Catharacta maccormicki) and Adélie Penguins (Pygoscelis adeliea) from Ross Sea, Antarctica","type":"article-journal","volume":"97"},"uris":["http://www.mendeley.com/documents/?uuid=adf413ff-ce4b-3541-9be6-752cb82494de"]}],"mendeley":{"formattedCitation":"(Court et al., 1997; Van den Brink, 1997)","plainTextFormattedCitation":"(Court et al., 1997; Van den Brink, 1997)","previouslyFormattedCitation":"(Court et al., 1997; Van den Brink, 1997)"},"properties":{"noteIndex":0},"schema":"https://github.com/citation-style-language/schema/raw/master/csl-citation.json"}</w:instrText>
      </w:r>
      <w:r>
        <w:fldChar w:fldCharType="separate"/>
      </w:r>
      <w:r w:rsidR="00317534" w:rsidRPr="00317534">
        <w:rPr>
          <w:noProof/>
        </w:rPr>
        <w:t>(Court et al., 1997; Van den Brink, 1997)</w:t>
      </w:r>
      <w:r>
        <w:fldChar w:fldCharType="end"/>
      </w:r>
      <w:r>
        <w:t xml:space="preserve">, Antarctic birds are known to demonstrate high individual variability </w:t>
      </w:r>
      <w:r w:rsidR="00007B50">
        <w:t>in</w:t>
      </w:r>
      <w:r>
        <w:t xml:space="preserve"> the</w:t>
      </w:r>
      <w:r w:rsidR="00007B50">
        <w:t>ir</w:t>
      </w:r>
      <w:r>
        <w:t xml:space="preserve"> PCB </w:t>
      </w:r>
      <w:r w:rsidR="00007B50">
        <w:t>contents</w:t>
      </w:r>
      <w:r w:rsidR="00B9649E">
        <w:t xml:space="preserve"> </w:t>
      </w:r>
      <w:r>
        <w:fldChar w:fldCharType="begin" w:fldLock="1"/>
      </w:r>
      <w:r w:rsidR="00317534">
        <w:instrText>ADDIN CSL_CITATION {"citationItems":[{"id":"ITEM-1","itemData":{"DOI":"10.1016/j.scitotenv.2016.07.080","ISSN":"00489697","author":[{"dropping-particle":"V.","family":"Mello","given":"Flávia","non-dropping-particle":"","parse-names":false,"suffix":""},{"dropping-particle":"","family":"Roscales","given":"Jose L.","non-dropping-particle":"","parse-names":false,"suffix":""},{"dropping-particle":"","family":"Guida","given":"Yago S.","non-dropping-particle":"","parse-names":false,"suffix":""},{"dropping-particle":"","family":"Menezes","given":"Jorge F.S.","non-dropping-particle":"","parse-names":false,"suffix":""},{"dropping-particle":"","family":"Vicente","given":"Alba","non-dropping-particle":"","parse-names":false,"suffix":""},{"dropping-particle":"","family":"Costa","given":"Erli S.","non-dropping-particle":"","parse-names":false,"suffix":""},{"dropping-particle":"","family":"Jiménez","given":"Begoña","non-dropping-particle":"","parse-names":false,"suffix":""},{"dropping-particle":"","family":"Torres","given":"João Paulo M.","non-dropping-particle":"","parse-names":false,"suffix":""}],"container-title":"Science of The Total Environment","id":"ITEM-1","issued":{"date-parts":[["2016","12"]]},"page":"1380-1389","title":"Relationship between legacy and emerging organic pollutants in Antarctic seabirds and their foraging ecology as shown by δ 13 C and δ 15 N","type":"article-journal","volume":"573"},"uris":["http://www.mendeley.com/documents/?uuid=69693526-8fa9-3596-a685-a5f2684b41e3"]}],"mendeley":{"formattedCitation":"(Mello et al., 2016)","plainTextFormattedCitation":"(Mello et al., 2016)","previouslyFormattedCitation":"(Mello et al., 2016)"},"properties":{"noteIndex":0},"schema":"https://github.com/citation-style-language/schema/raw/master/csl-citation.json"}</w:instrText>
      </w:r>
      <w:r>
        <w:fldChar w:fldCharType="separate"/>
      </w:r>
      <w:r w:rsidR="00317534" w:rsidRPr="00317534">
        <w:rPr>
          <w:noProof/>
        </w:rPr>
        <w:t>(Mello et al., 2016)</w:t>
      </w:r>
      <w:r>
        <w:fldChar w:fldCharType="end"/>
      </w:r>
      <w:r w:rsidR="009F3C9F">
        <w:t xml:space="preserve">, </w:t>
      </w:r>
      <w:r w:rsidR="00EF22D6">
        <w:t xml:space="preserve">which </w:t>
      </w:r>
      <w:r w:rsidR="00C86E08">
        <w:t xml:space="preserve">also </w:t>
      </w:r>
      <w:r w:rsidR="00007B50">
        <w:t>varies with their</w:t>
      </w:r>
      <w:r w:rsidR="009F3C9F">
        <w:t xml:space="preserve"> </w:t>
      </w:r>
      <w:r w:rsidR="00C86E08">
        <w:t xml:space="preserve">seasonal </w:t>
      </w:r>
      <w:r w:rsidR="009F3C9F">
        <w:t>breeding activities</w:t>
      </w:r>
      <w:r w:rsidR="00B9649E">
        <w:t xml:space="preserve"> </w:t>
      </w:r>
      <w:r w:rsidR="00571D6A">
        <w:fldChar w:fldCharType="begin" w:fldLock="1"/>
      </w:r>
      <w:r w:rsidR="00317534">
        <w:instrText>ADDIN CSL_CITATION {"citationItems":[{"id":"ITEM-1","itemData":{"DOI":"10.1002/etc.5620170426","ISSN":"07307268","author":[{"dropping-particle":"","family":"Brink","given":"Nico W.","non-dropping-particle":"van den","parse-names":false,"suffix":""},{"dropping-particle":"","family":"Franeker","given":"Jan A.","non-dropping-particle":"van","parse-names":false,"suffix":""},{"dropping-particle":"","family":"Ruiter-Dijkman","given":"Elze M.","non-dropping-particle":"de","parse-names":false,"suffix":""}],"container-title":"Environmental Toxicology and Chemistry","id":"ITEM-1","issue":"4","issued":{"date-parts":[["1998","4"]]},"page":"702-709","publisher":"Wiley-Blackwell","title":"Fluctuating concentrations of organochlorine pollutants during a breeding season in two Antarctic seabirds: Adelie penguin and southern fulmar","type":"article-journal","volume":"17"},"uris":["http://www.mendeley.com/documents/?uuid=df7489de-4732-35bd-aaec-ca7979cd894c"]}],"mendeley":{"formattedCitation":"(van den Brink et al., 1998)","plainTextFormattedCitation":"(van den Brink et al., 1998)","previouslyFormattedCitation":"(van den Brink et al., 1998)"},"properties":{"noteIndex":0},"schema":"https://github.com/citation-style-language/schema/raw/master/csl-citation.json"}</w:instrText>
      </w:r>
      <w:r w:rsidR="00571D6A">
        <w:fldChar w:fldCharType="separate"/>
      </w:r>
      <w:r w:rsidR="00317534" w:rsidRPr="00317534">
        <w:rPr>
          <w:noProof/>
        </w:rPr>
        <w:t>(van den Brink et al., 1998)</w:t>
      </w:r>
      <w:r w:rsidR="00571D6A">
        <w:fldChar w:fldCharType="end"/>
      </w:r>
      <w:r>
        <w:t xml:space="preserve">. </w:t>
      </w:r>
      <w:r w:rsidR="009F3C9F">
        <w:t xml:space="preserve">From the </w:t>
      </w:r>
      <w:r w:rsidR="00EF22D6">
        <w:t>current samples</w:t>
      </w:r>
      <w:r w:rsidR="00C86E08">
        <w:t>,</w:t>
      </w:r>
      <w:r w:rsidR="009F3C9F">
        <w:t xml:space="preserve"> no indications of </w:t>
      </w:r>
      <w:r w:rsidR="00F93ABB">
        <w:t>their reproductive condition</w:t>
      </w:r>
      <w:r w:rsidR="009F3C9F">
        <w:t xml:space="preserve"> could be </w:t>
      </w:r>
      <w:r w:rsidR="00E13CFD">
        <w:t>acquired</w:t>
      </w:r>
      <w:r w:rsidR="009F3C9F">
        <w:t xml:space="preserve">, so it was not feasible to account for </w:t>
      </w:r>
      <w:r w:rsidR="00C86E08">
        <w:t xml:space="preserve">such </w:t>
      </w:r>
      <w:r w:rsidR="009F3C9F">
        <w:t xml:space="preserve">seasonal variability. </w:t>
      </w:r>
      <w:r w:rsidR="00E130A1">
        <w:t xml:space="preserve">Neither was it possible to find significant differences between concentrations of PCBs in </w:t>
      </w:r>
      <w:r w:rsidR="00407134">
        <w:t>Skua</w:t>
      </w:r>
      <w:r w:rsidR="00E130A1">
        <w:t xml:space="preserve">s and </w:t>
      </w:r>
      <w:r w:rsidR="00407134">
        <w:t>Kelp</w:t>
      </w:r>
      <w:r w:rsidR="00E130A1">
        <w:t xml:space="preserve"> gulls. </w:t>
      </w:r>
      <w:r w:rsidR="00C86E08">
        <w:t xml:space="preserve">Therefore although PCBs </w:t>
      </w:r>
      <w:r w:rsidR="00B9649E">
        <w:t>concentrations</w:t>
      </w:r>
      <w:r w:rsidR="00C86E08">
        <w:t xml:space="preserve"> in the current study may indicate that concentrations may be stable </w:t>
      </w:r>
      <w:r w:rsidR="003A0C4A">
        <w:t xml:space="preserve">over </w:t>
      </w:r>
      <w:r w:rsidR="00C86E08">
        <w:t xml:space="preserve">time, more detailed information is needed to account for different factors affecting the uncertainty </w:t>
      </w:r>
      <w:r w:rsidR="00AE21D7">
        <w:t>when</w:t>
      </w:r>
      <w:r w:rsidR="00C86E08">
        <w:t xml:space="preserve"> comparing between studies</w:t>
      </w:r>
      <w:r>
        <w:t>.</w:t>
      </w:r>
      <w:r w:rsidR="00EF22D6">
        <w:t xml:space="preserve"> </w:t>
      </w:r>
    </w:p>
    <w:p w14:paraId="4CBFE71D" w14:textId="77777777" w:rsidR="003D1772" w:rsidRDefault="003D1772"/>
    <w:p w14:paraId="79121847" w14:textId="77777777" w:rsidR="003D1772" w:rsidRDefault="003D1772"/>
    <w:p w14:paraId="463A4657" w14:textId="77777777" w:rsidR="00B019DA" w:rsidRPr="00CD7DCD" w:rsidRDefault="00B019DA" w:rsidP="00B019DA">
      <w:pPr>
        <w:spacing w:line="360" w:lineRule="auto"/>
        <w:rPr>
          <w:u w:val="single"/>
        </w:rPr>
      </w:pPr>
      <w:r>
        <w:rPr>
          <w:noProof/>
          <w:lang w:eastAsia="en-GB"/>
        </w:rPr>
        <w:drawing>
          <wp:anchor distT="0" distB="0" distL="114300" distR="114300" simplePos="0" relativeHeight="251654144" behindDoc="0" locked="0" layoutInCell="1" allowOverlap="1" wp14:anchorId="595E9D81" wp14:editId="1DCD3156">
            <wp:simplePos x="0" y="0"/>
            <wp:positionH relativeFrom="column">
              <wp:posOffset>-822157</wp:posOffset>
            </wp:positionH>
            <wp:positionV relativeFrom="paragraph">
              <wp:posOffset>396563</wp:posOffset>
            </wp:positionV>
            <wp:extent cx="3673475" cy="2139351"/>
            <wp:effectExtent l="0" t="0" r="3175"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B019DA">
        <w:t xml:space="preserve"> </w:t>
      </w:r>
      <w:r w:rsidRPr="00CD7DCD">
        <w:rPr>
          <w:u w:val="single"/>
        </w:rPr>
        <w:t>OCPs</w:t>
      </w:r>
    </w:p>
    <w:p w14:paraId="44A95CD5" w14:textId="77777777" w:rsidR="00B019DA" w:rsidRDefault="00B019DA" w:rsidP="00B019DA">
      <w:pPr>
        <w:spacing w:line="360" w:lineRule="auto"/>
      </w:pPr>
      <w:r>
        <w:rPr>
          <w:noProof/>
          <w:lang w:eastAsia="en-GB"/>
        </w:rPr>
        <w:drawing>
          <wp:anchor distT="0" distB="0" distL="114300" distR="114300" simplePos="0" relativeHeight="251657216" behindDoc="0" locked="0" layoutInCell="1" allowOverlap="1" wp14:anchorId="63EA710E" wp14:editId="3400047F">
            <wp:simplePos x="0" y="0"/>
            <wp:positionH relativeFrom="column">
              <wp:posOffset>2703830</wp:posOffset>
            </wp:positionH>
            <wp:positionV relativeFrom="paragraph">
              <wp:posOffset>76668</wp:posOffset>
            </wp:positionV>
            <wp:extent cx="3856355" cy="2075291"/>
            <wp:effectExtent l="0" t="0" r="0" b="127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05B406E" w14:textId="77777777" w:rsidR="002A2FC0" w:rsidRDefault="002A2FC0"/>
    <w:p w14:paraId="37C388C3" w14:textId="77777777" w:rsidR="002A2FC0" w:rsidRDefault="002A2FC0"/>
    <w:p w14:paraId="636281A5" w14:textId="77777777" w:rsidR="002A2FC0" w:rsidRDefault="002A2FC0"/>
    <w:p w14:paraId="55148ADB" w14:textId="77777777" w:rsidR="002A2FC0" w:rsidRDefault="002A2FC0"/>
    <w:p w14:paraId="101FCD53" w14:textId="77777777" w:rsidR="002A2FC0" w:rsidRDefault="002A2FC0"/>
    <w:p w14:paraId="2F14B3DB" w14:textId="77777777" w:rsidR="002A2FC0" w:rsidRDefault="002A2FC0"/>
    <w:p w14:paraId="4844B612" w14:textId="77777777" w:rsidR="002A2FC0" w:rsidRDefault="00B019DA">
      <w:r>
        <w:rPr>
          <w:noProof/>
          <w:lang w:eastAsia="en-GB"/>
        </w:rPr>
        <w:drawing>
          <wp:anchor distT="0" distB="0" distL="114300" distR="114300" simplePos="0" relativeHeight="251660288" behindDoc="0" locked="0" layoutInCell="1" allowOverlap="1" wp14:anchorId="7FB950E1" wp14:editId="0360B24A">
            <wp:simplePos x="0" y="0"/>
            <wp:positionH relativeFrom="column">
              <wp:posOffset>669925</wp:posOffset>
            </wp:positionH>
            <wp:positionV relativeFrom="paragraph">
              <wp:posOffset>78057</wp:posOffset>
            </wp:positionV>
            <wp:extent cx="4086860" cy="1947545"/>
            <wp:effectExtent l="0" t="0" r="889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F099E65" w14:textId="77777777" w:rsidR="002A2FC0" w:rsidRDefault="002A2FC0"/>
    <w:p w14:paraId="7F0E3199" w14:textId="77777777" w:rsidR="002A2FC0" w:rsidRDefault="002A2FC0"/>
    <w:p w14:paraId="5E91C187" w14:textId="77777777" w:rsidR="002A2FC0" w:rsidRDefault="002A2FC0"/>
    <w:p w14:paraId="18BA3721" w14:textId="77777777" w:rsidR="002A2FC0" w:rsidRDefault="002A2FC0"/>
    <w:p w14:paraId="3AE1B3B9" w14:textId="77777777" w:rsidR="002A2FC0" w:rsidRDefault="002A2FC0"/>
    <w:p w14:paraId="7FB885A9" w14:textId="77777777" w:rsidR="002A2FC0" w:rsidRDefault="002A2FC0"/>
    <w:p w14:paraId="64ECB335" w14:textId="77777777" w:rsidR="002A2FC0" w:rsidRPr="007E4B79" w:rsidRDefault="002A2FC0" w:rsidP="00B32A32"/>
    <w:p w14:paraId="67A3DA2F" w14:textId="744464AD" w:rsidR="00434574" w:rsidRDefault="00434574" w:rsidP="00434574">
      <w:pPr>
        <w:jc w:val="center"/>
      </w:pPr>
      <w:r w:rsidRPr="0004670E">
        <w:t xml:space="preserve">Figure  </w:t>
      </w:r>
      <w:r>
        <w:t>3</w:t>
      </w:r>
      <w:r w:rsidRPr="0004670E">
        <w:t>. Concentrations (</w:t>
      </w:r>
      <w:r w:rsidR="00EF24AC">
        <w:t>mean</w:t>
      </w:r>
      <w:r w:rsidR="00EF24AC" w:rsidRPr="0004670E">
        <w:t xml:space="preserve"> </w:t>
      </w:r>
      <w:r w:rsidRPr="0004670E">
        <w:t xml:space="preserve">and standard deviations </w:t>
      </w:r>
      <w:r>
        <w:t>back-transformed from log-transformed data) of OCP</w:t>
      </w:r>
      <w:r w:rsidRPr="0004670E">
        <w:t xml:space="preserve">s in muscles, livers and subcutaneous fat of </w:t>
      </w:r>
      <w:r w:rsidR="00407134">
        <w:t>Skua</w:t>
      </w:r>
      <w:r w:rsidRPr="0004670E">
        <w:t xml:space="preserve">s (blue bars) and </w:t>
      </w:r>
      <w:r w:rsidR="00407134">
        <w:t>Kelp</w:t>
      </w:r>
      <w:r w:rsidRPr="0004670E">
        <w:t xml:space="preserve"> gulls (orange bars and dots (</w:t>
      </w:r>
      <w:r w:rsidR="00CF159B" w:rsidRPr="00CF159B">
        <w:t>in cases where only 1 sample was available</w:t>
      </w:r>
      <w:r w:rsidRPr="0004670E">
        <w:t>)). Note that log scale is used ubiquitously.</w:t>
      </w:r>
    </w:p>
    <w:p w14:paraId="13F6266D" w14:textId="77777777" w:rsidR="00B019DA" w:rsidRPr="007E4B79" w:rsidRDefault="00B019DA" w:rsidP="002A2FC0">
      <w:pPr>
        <w:jc w:val="center"/>
      </w:pPr>
    </w:p>
    <w:p w14:paraId="652CE5E8" w14:textId="1442DC95" w:rsidR="00B153B4" w:rsidRDefault="00B153B4" w:rsidP="00A5221E">
      <w:pPr>
        <w:spacing w:line="360" w:lineRule="auto"/>
      </w:pPr>
      <w:r>
        <w:t xml:space="preserve">OCPs are the most abundant group of POPs among the </w:t>
      </w:r>
      <w:r w:rsidR="007E7E13">
        <w:t>individual com</w:t>
      </w:r>
      <w:r w:rsidR="008741BB">
        <w:t>p</w:t>
      </w:r>
      <w:r w:rsidR="007E7E13">
        <w:t>ounds</w:t>
      </w:r>
      <w:r w:rsidR="00781077">
        <w:t xml:space="preserve"> and congeners</w:t>
      </w:r>
      <w:r>
        <w:t xml:space="preserve"> analysed</w:t>
      </w:r>
      <w:r w:rsidR="00944D4B">
        <w:t xml:space="preserve"> (</w:t>
      </w:r>
      <w:r w:rsidR="00C36EE4">
        <w:t>Fig</w:t>
      </w:r>
      <w:r w:rsidR="00944D4B">
        <w:t>. 3)</w:t>
      </w:r>
      <w:r>
        <w:t xml:space="preserve">, possibly due to </w:t>
      </w:r>
      <w:r w:rsidR="00AE6B8B">
        <w:t>their</w:t>
      </w:r>
      <w:r w:rsidR="003369C8">
        <w:t xml:space="preserve"> </w:t>
      </w:r>
      <w:r>
        <w:t>application method</w:t>
      </w:r>
      <w:r w:rsidR="00D07441">
        <w:t xml:space="preserve"> which involves their dispersion </w:t>
      </w:r>
      <w:r w:rsidR="003369C8">
        <w:t>over large areas</w:t>
      </w:r>
      <w:r>
        <w:t xml:space="preserve"> and therefore</w:t>
      </w:r>
      <w:r w:rsidR="00AE6B8B">
        <w:t xml:space="preserve"> an increased</w:t>
      </w:r>
      <w:r>
        <w:t xml:space="preserve"> tendency for the long-range atmospheric transfer</w:t>
      </w:r>
      <w:r w:rsidR="00B9649E">
        <w:t xml:space="preserve"> </w:t>
      </w:r>
      <w:r>
        <w:fldChar w:fldCharType="begin" w:fldLock="1"/>
      </w:r>
      <w:r w:rsidR="00317534">
        <w:instrText>ADDIN CSL_CITATION {"citationItems":[{"id":"ITEM-1","itemData":{"DOI":"10.1016/J.SCITOTENV.2015.11.114","ISSN":"0048-9697","abstract":"Trace elements (n=14) and persistent organic pollutants (POPs, n=30) were measured in blood, liver, kidney, muscle and feathers of 10 Antarctic prions (Pachyptila desolata) from Kerguelen Islands, southern Indian Ocean, in order to assess their concentrations, tissue distribution, and inter-tissue and inter-contaminant relationships. Liver, kidney and feathers presented the highest burdens of arsenic, cadmium and mercury, respectively. Concentrations of cadmium, copper, iron, and zinc correlated in liver and muscle, suggesting that uptake and pathways of metabolism and storage were similar for these elements. The major POPs were 4,4′-DDE, mirex, PCB-153 and PCB-138. The concentrations and tissue distribution patterns of environmental contaminants were overall in accordance with previous results in other seabirds. Conversely, some Antarctic prions showed surprisingly high concentrations of BDE-209. This compound has been rarely observed in seabirds before, and its presence in Antarctic prions could be due to the species feeding habits or to the ingestion of plastic debris. Overall, the study shows that relatively lower trophic level seabirds (zooplankton-eaters) breeding in the remote southern Indian Ocean are exposed to a wide range of environmental contaminants, in particular cadmium, selenium and some emerging-POPs, which merits further toxicological investigations.","author":[{"dropping-particle":"","family":"Fromant","given":"Aymeric","non-dropping-particle":"","parse-names":false,"suffix":""},{"dropping-particle":"","family":"Carravieri","given":"Alice","non-dropping-particle":"","parse-names":false,"suffix":""},{"dropping-particle":"","family":"Bustamante","given":"Paco","non-dropping-particle":"","parse-names":false,"suffix":""},{"dropping-particle":"","family":"Labadie","given":"Pierre","non-dropping-particle":"","parse-names":false,"suffix":""},{"dropping-particle":"","family":"Budzinski","given":"Hélène","non-dropping-particle":"","parse-names":false,"suffix":""},{"dropping-particle":"","family":"Peluhet","given":"Laurent","non-dropping-particle":"","parse-names":false,"suffix":""},{"dropping-particle":"","family":"Churlaud","given":"Carine","non-dropping-particle":"","parse-names":false,"suffix":""},{"dropping-particle":"","family":"Chastel","given":"Olivier","non-dropping-particle":"","parse-names":false,"suffix":""},{"dropping-particle":"","family":"Cherel","given":"Yves","non-dropping-particle":"","parse-names":false,"suffix":""}],"container-title":"Science of The Total Environment","id":"ITEM-1","issued":{"date-parts":[["2016","2","15"]]},"page":"754-764","publisher":"Elsevier","title":"Wide range of metallic and organic contaminants in various tissues of the Antarctic prion, a planktonophagous seabird from the Southern Ocean","type":"article-journal","volume":"544"},"uris":["http://www.mendeley.com/documents/?uuid=0d769821-1b0f-3582-9b18-f91d27afbd1f"]}],"mendeley":{"formattedCitation":"(Fromant et al., 2016)","plainTextFormattedCitation":"(Fromant et al., 2016)","previouslyFormattedCitation":"(Fromant et al., 2016)"},"properties":{"noteIndex":0},"schema":"https://github.com/citation-style-language/schema/raw/master/csl-citation.json"}</w:instrText>
      </w:r>
      <w:r>
        <w:fldChar w:fldCharType="separate"/>
      </w:r>
      <w:r w:rsidR="00317534" w:rsidRPr="00317534">
        <w:rPr>
          <w:noProof/>
        </w:rPr>
        <w:t>(Fromant et al., 2016)</w:t>
      </w:r>
      <w:r>
        <w:fldChar w:fldCharType="end"/>
      </w:r>
      <w:r>
        <w:t>. In addition, r</w:t>
      </w:r>
      <w:r w:rsidRPr="00B35D3D">
        <w:t xml:space="preserve">ecent reports </w:t>
      </w:r>
      <w:r>
        <w:fldChar w:fldCharType="begin" w:fldLock="1"/>
      </w:r>
      <w:r w:rsidR="00317534">
        <w:instrText>ADDIN CSL_CITATION {"citationItems":[{"id":"ITEM-1","itemData":{"DOI":"10.1016/J.FOODCONT.2010.05.017","ISSN":"0956-7135","abstract":"The aim of this study was to investigate the amount of pesticide residues in fruits and vegetables from South America. A total of 724 samples of 46 different fruits and vegetables from eight South American countries were collected in 2007. In 19% of the samples no residues were found, 72% of samples contained pesticide residues at or below MRL, and 8.4% of samples contained pesticide residues above MRL. Thiabendazole, imazalil and chlorpyrifos were the pesticide most frequently found. Thirty-seven pesticides were found with frequencies higher that 1% in the samples. The results emphasize the need for continuous monitoring of pesticide residues, especially in imported fruits and vegetables.","author":[{"dropping-particle":"","family":"Hjorth","given":"K.","non-dropping-particle":"","parse-names":false,"suffix":""},{"dropping-particle":"","family":"Johansen","given":"K.","non-dropping-particle":"","parse-names":false,"suffix":""},{"dropping-particle":"","family":"Holen","given":"B.","non-dropping-particle":"","parse-names":false,"suffix":""},{"dropping-particle":"","family":"Andersson","given":"A.","non-dropping-particle":"","parse-names":false,"suffix":""},{"dropping-particle":"","family":"Christensen","given":"H.B.","non-dropping-particle":"","parse-names":false,"suffix":""},{"dropping-particle":"","family":"Siivinen","given":"K.","non-dropping-particle":"","parse-names":false,"suffix":""},{"dropping-particle":"","family":"Toome","given":"M.","non-dropping-particle":"","parse-names":false,"suffix":""}],"container-title":"Food Control","id":"ITEM-1","issue":"11","issued":{"date-parts":[["2011","11","1"]]},"page":"1701-1706","publisher":"Elsevier","title":"Pesticide residues in fruits and vegetables from South America – A Nordic project","type":"article-journal","volume":"22"},"uris":["http://www.mendeley.com/documents/?uuid=32042769-9901-3168-92ce-231182af78e6"]},{"id":"ITEM-2","itemData":{"ISSN":"0091-6765","PMID":"9347893","abstract":"This article describes some negative effects from modernization and urban growth in South America, including disease, pesticides, occupational hazards, poor environmental controls of water and garbage, sanitation, and environmental degradation. South America is following the global trend toward urbanization and the problems that accompany it. Agricultural expansion led to an expanded market for pesticides that includes the deadly DDT, paraquat, and heptachlor. Brazil and Colombia are the largest consumers. Latin American officials justify use of DDT, which is banned in the US and many European countries, as an effective means of combating mosquitos that carry malaria. Exposure occurs during harvesting, transporting, forestry, livestock farming, and vector control activities. Methyl bromide, which is used post-harvest and as a soil fumigant, is dangerous enough to be banned in the US in 2001, and in developing countries in 2002. Exposure to toxic chemicals can severely inhibit enzyme action that is necessary for neurological functioning. A hot climate, which prevents protective clothing, lack of education on proper application, and absence of water to wash exposed skin, make pesticide protection very difficult. Over 40 million agricultural workers are at risk of pesticide poisoning. Habitat destruction has contributed to increased mosquito infestations. Children in the workplace are at even greater risk of noise pollution and chemical poisoning. South America pollutes almost 11 times more fresh water per capita than Europe. About 70% of domestic garbage is collected, and about 30% is disposed of correctly. Only 10% of urban wastewater is treated before discharge into waterways. The loss of coastal wetlands reduces the ability of waterways to filter and absorb nutrients. Environmental health problems suggest an interlinkage between environmental sustainability, human health, and economic growth.","author":[{"dropping-particle":"","family":"Joyce","given":"S","non-dropping-particle":"","parse-names":false,"suffix":""}],"container-title":"Environmental health perspectives","id":"ITEM-2","issue":"8","issued":{"date-parts":[["1997","8"]]},"page":"794-9","title":"Growing pains in South America.","type":"article-journal","volume":"105"},"uris":["http://www.mendeley.com/documents/?uuid=f8a788aa-88af-3697-81f5-fb84e9ba1ab1"]},{"id":"ITEM-3","itemData":{"DOI":"10.1002/fes3.108","ISSN":"20483694","author":[{"dropping-particle":"","family":"Carvalho","given":"Fernando P.","non-dropping-particle":"","parse-names":false,"suffix":""}],"container-title":"Food and Energy Security","id":"ITEM-3","issue":"2","issued":{"date-parts":[["2017","5","1"]]},"page":"48-60","title":"Pesticides, environment, and food safety","type":"article-journal","volume":"6"},"uris":["http://www.mendeley.com/documents/?uuid=9bc4fae1-93a1-3e46-af50-8ca36d85fe88"]},{"id":"ITEM-4","itemData":{"DOI":"10.1177/0306312714523514","ISSN":"0306-3127","author":[{"dropping-particle":"","family":"Brisbois","given":"Ben W","non-dropping-particle":"","parse-names":false,"suffix":""}],"container-title":"Social Studies of Science","id":"ITEM-4","issue":"4","issued":{"date-parts":[["2014","8","24"]]},"page":"600-624","title":"Epidemiology and ‘developing countries’: Writing pesticides, poverty and political engagement in Latin America","type":"article-journal","volume":"44"},"uris":["http://www.mendeley.com/documents/?uuid=1964a69b-1952-3d56-a002-bc19a9db7584"]}],"mendeley":{"formattedCitation":"(Brisbois, 2014; Carvalho, 2017; Hjorth et al., 2011; Joyce, 1997)","plainTextFormattedCitation":"(Brisbois, 2014; Carvalho, 2017; Hjorth et al., 2011; Joyce, 1997)","previouslyFormattedCitation":"(Brisbois, 2014; Carvalho, 2017; Hjorth et al., 2011; Joyce, 1997)"},"properties":{"noteIndex":0},"schema":"https://github.com/citation-style-language/schema/raw/master/csl-citation.json"}</w:instrText>
      </w:r>
      <w:r>
        <w:fldChar w:fldCharType="separate"/>
      </w:r>
      <w:r w:rsidR="00317534" w:rsidRPr="00317534">
        <w:rPr>
          <w:noProof/>
        </w:rPr>
        <w:t>(Brisbois, 2014; Carvalho, 2017; Hjorth et al., 2011; Joyce, 1997)</w:t>
      </w:r>
      <w:r>
        <w:fldChar w:fldCharType="end"/>
      </w:r>
      <w:r>
        <w:t xml:space="preserve"> </w:t>
      </w:r>
      <w:r w:rsidRPr="00B35D3D">
        <w:t>indicate that despite m</w:t>
      </w:r>
      <w:r>
        <w:t xml:space="preserve">ultiple legislative </w:t>
      </w:r>
      <w:r w:rsidRPr="00B35D3D">
        <w:t xml:space="preserve">restrictions, </w:t>
      </w:r>
      <w:r w:rsidR="007E7E13">
        <w:t>several</w:t>
      </w:r>
      <w:r w:rsidR="007E7E13" w:rsidRPr="00B35D3D">
        <w:t xml:space="preserve"> </w:t>
      </w:r>
      <w:r w:rsidR="007E7E13">
        <w:t>OCPs</w:t>
      </w:r>
      <w:r w:rsidR="005163C0">
        <w:t xml:space="preserve"> (e.g. HCB</w:t>
      </w:r>
      <w:r w:rsidR="00ED6A21">
        <w:t>)</w:t>
      </w:r>
      <w:r w:rsidR="007E7E13" w:rsidRPr="00B35D3D">
        <w:t xml:space="preserve"> </w:t>
      </w:r>
      <w:r w:rsidRPr="00B35D3D">
        <w:t xml:space="preserve">are still being produced and/or sold </w:t>
      </w:r>
      <w:r>
        <w:t xml:space="preserve">(sometimes as by-products) </w:t>
      </w:r>
      <w:r w:rsidRPr="00B35D3D">
        <w:t>in South America, which facilitates their contin</w:t>
      </w:r>
      <w:r>
        <w:t>uo</w:t>
      </w:r>
      <w:r w:rsidRPr="00B35D3D">
        <w:t xml:space="preserve">us intake into </w:t>
      </w:r>
      <w:r>
        <w:t>environment</w:t>
      </w:r>
      <w:r w:rsidR="00A3040C">
        <w:t>s</w:t>
      </w:r>
      <w:r w:rsidR="007E7E13">
        <w:t xml:space="preserve"> which the </w:t>
      </w:r>
      <w:r w:rsidR="008741BB">
        <w:t xml:space="preserve">collected </w:t>
      </w:r>
      <w:r w:rsidR="007E7E13">
        <w:t xml:space="preserve">birds </w:t>
      </w:r>
      <w:r w:rsidR="00A3040C">
        <w:t>were very likely to</w:t>
      </w:r>
      <w:r w:rsidR="00182F5D">
        <w:t xml:space="preserve"> have</w:t>
      </w:r>
      <w:r w:rsidR="007E7E13">
        <w:t xml:space="preserve"> </w:t>
      </w:r>
      <w:r w:rsidR="00182F5D">
        <w:t xml:space="preserve">visited </w:t>
      </w:r>
      <w:r w:rsidR="00182F5D">
        <w:fldChar w:fldCharType="begin" w:fldLock="1"/>
      </w:r>
      <w:r w:rsidR="00317534">
        <w:instrText>ADDIN CSL_CITATION {"citationItems":[{"id":"ITEM-1","itemData":{"DOI":"10.1016/J.ECOENV.2015.02.011","ISSN":"0147-6513","abstract":"The aim of this study was to assess the exposure to organochlorine compounds (OC) in 91 primary wing feathers of avian scavengers, Turkey vulture (Cathartes aura), American black vulture (Coragyps atratus) and Southern crested caracaras (Polyborus plancus) from the southern tip of South America, in the Argentinean Patagonia. We analyzed for a series of OC including hexachlorocyclohexane (HCH) isomers, endosulfan, aldrin, dieldrin, endrin, dichlorodiphenyltrichloroethane (p,p’-DDT), dichlorodiphenyldichloroethane (p,p’-DDD), dichlorodiphenyldichloroethylene (p,p’-DDE), heptachlor and heptachlor-epoxide. This is the first study on OC in feathers of three terrestrial top carnivores from South America. OC concentrations found in the studied species were much higher than those found in feathers of raptors from Europe and Asia, which likely indicate their high use in the region, specifically in agriculture, and other possible uses of OC in this area. ∑HCH had the highest median concentration, followed by ∑Drins, ∑DDT, ∑Heptachlor, and ∑Endosulfan, similar to those reported in several food samples in Argentina. On the other hand, differences in OC profiles between species and areas may be related to feeding and migratory habits, as well as the molt period. Three individuals showed ∑DDT (DDT, DDD and DDE) concentrations in feathers related to sublethal effects. However, this comparison should be used with caution due to problems with extrapolating such data across tissues and species.","author":[{"dropping-particle":"","family":"Martínez-López","given":"E.","non-dropping-particle":"","parse-names":false,"suffix":""},{"dropping-particle":"","family":"Espín","given":"S.","non-dropping-particle":"","parse-names":false,"suffix":""},{"dropping-particle":"","family":"Barbar","given":"F.","non-dropping-particle":"","parse-names":false,"suffix":""},{"dropping-particle":"","family":"Lambertucci","given":"S.A.","non-dropping-particle":"","parse-names":false,"suffix":""},{"dropping-particle":"","family":"Gómez-Ramírez","given":"P.","non-dropping-particle":"","parse-names":false,"suffix":""},{"dropping-particle":"","family":"García-Fernández","given":"AJ.","non-dropping-particle":"","parse-names":false,"suffix":""}],"container-title":"Ecotoxicology and Environmental Safety","id":"ITEM-1","issued":{"date-parts":[["2015","5","1"]]},"page":"83-92","publisher":"Academic Press","title":"Contaminants in the southern tip of South America: Analysis of organochlorine compounds in feathers of avian scavengers from Argentinean Patagonia","type":"article-journal","volume":"115"},"uris":["http://www.mendeley.com/documents/?uuid=ef35f67f-2043-39c2-86ea-177dd28c25b0"]}],"mendeley":{"formattedCitation":"(Martínez-López et al., 2015)","plainTextFormattedCitation":"(Martínez-López et al., 2015)","previouslyFormattedCitation":"(Martínez-López et al., 2015)"},"properties":{"noteIndex":0},"schema":"https://github.com/citation-style-language/schema/raw/master/csl-citation.json"}</w:instrText>
      </w:r>
      <w:r w:rsidR="00182F5D">
        <w:fldChar w:fldCharType="separate"/>
      </w:r>
      <w:r w:rsidR="00317534" w:rsidRPr="00317534">
        <w:rPr>
          <w:noProof/>
        </w:rPr>
        <w:t>(Martínez-López et al., 2015)</w:t>
      </w:r>
      <w:r w:rsidR="00182F5D">
        <w:fldChar w:fldCharType="end"/>
      </w:r>
      <w:r w:rsidRPr="00B35D3D">
        <w:t>.</w:t>
      </w:r>
    </w:p>
    <w:p w14:paraId="067CEBF9" w14:textId="5774500F" w:rsidR="00B33181" w:rsidRDefault="002A2FC0" w:rsidP="00A5221E">
      <w:pPr>
        <w:spacing w:line="360" w:lineRule="auto"/>
      </w:pPr>
      <w:r>
        <w:t xml:space="preserve">The profile of </w:t>
      </w:r>
      <w:r w:rsidR="00B153B4">
        <w:t xml:space="preserve">OCPs </w:t>
      </w:r>
      <w:r>
        <w:t xml:space="preserve">is quite similar </w:t>
      </w:r>
      <w:r w:rsidR="008741BB">
        <w:t xml:space="preserve">among </w:t>
      </w:r>
      <w:r w:rsidR="003656C1">
        <w:t xml:space="preserve">the </w:t>
      </w:r>
      <w:r>
        <w:t>species</w:t>
      </w:r>
      <w:r w:rsidR="000102DB">
        <w:t xml:space="preserve"> </w:t>
      </w:r>
      <w:r w:rsidR="000102DB" w:rsidRPr="000102DB">
        <w:t xml:space="preserve">(the MWW test </w:t>
      </w:r>
      <w:r w:rsidR="004F4860">
        <w:t xml:space="preserve">(Appendix 4) </w:t>
      </w:r>
      <w:r w:rsidR="000102DB" w:rsidRPr="000102DB">
        <w:t xml:space="preserve">has not revealed any significant differences among </w:t>
      </w:r>
      <w:r w:rsidR="003656C1">
        <w:t xml:space="preserve">their concentrations in </w:t>
      </w:r>
      <w:r w:rsidR="000102DB" w:rsidRPr="000102DB">
        <w:t>muscles of Skuas and Kelp gulls)</w:t>
      </w:r>
      <w:r>
        <w:t xml:space="preserve">: the highest concentrations </w:t>
      </w:r>
      <w:r w:rsidR="00A3040C">
        <w:t>measured were for</w:t>
      </w:r>
      <w:r>
        <w:t xml:space="preserve"> p,p’-DDE, </w:t>
      </w:r>
      <w:r w:rsidR="00863579">
        <w:t xml:space="preserve">followed </w:t>
      </w:r>
      <w:r>
        <w:t>by HCB, p,p’-DDT,  p,p’-DDD</w:t>
      </w:r>
      <w:r w:rsidR="00F421A8">
        <w:t xml:space="preserve">, </w:t>
      </w:r>
      <w:r>
        <w:t>oxychlordane</w:t>
      </w:r>
      <w:r w:rsidR="00F421A8">
        <w:t xml:space="preserve"> and </w:t>
      </w:r>
      <w:r w:rsidR="00182217" w:rsidRPr="00182217">
        <w:t>HCB-β</w:t>
      </w:r>
      <w:r w:rsidRPr="00182217">
        <w:t>.</w:t>
      </w:r>
      <w:r>
        <w:t xml:space="preserve"> Concentrations of other pesticides are low. </w:t>
      </w:r>
    </w:p>
    <w:p w14:paraId="01755826" w14:textId="420DE5DE" w:rsidR="00B33181" w:rsidRPr="00B35D3D" w:rsidRDefault="00B33181" w:rsidP="00B33181">
      <w:pPr>
        <w:spacing w:line="360" w:lineRule="auto"/>
      </w:pPr>
      <w:r>
        <w:t xml:space="preserve">The overall burden of </w:t>
      </w:r>
      <w:r w:rsidR="008741BB">
        <w:t xml:space="preserve">total </w:t>
      </w:r>
      <w:r>
        <w:t>DDT</w:t>
      </w:r>
      <w:r w:rsidR="008741BB">
        <w:t>s</w:t>
      </w:r>
      <w:r>
        <w:t xml:space="preserve"> (DDTs, DDEs and DDDs) is higher than reported in recent studies for </w:t>
      </w:r>
      <w:r w:rsidR="00407134">
        <w:t>Skua</w:t>
      </w:r>
      <w:r w:rsidR="00980F4B">
        <w:t xml:space="preserve"> </w:t>
      </w:r>
      <w:r>
        <w:t xml:space="preserve">eggs, but is similar to an earlier report for </w:t>
      </w:r>
      <w:r w:rsidR="008F6E34">
        <w:t>livers</w:t>
      </w:r>
      <w:r w:rsidR="001F24DB">
        <w:t xml:space="preserve"> of adult </w:t>
      </w:r>
      <w:r w:rsidR="00407134">
        <w:t>Skua</w:t>
      </w:r>
      <w:r w:rsidR="008F6E34">
        <w:t xml:space="preserve">s </w:t>
      </w:r>
      <w:r w:rsidR="008F6E34">
        <w:fldChar w:fldCharType="begin" w:fldLock="1"/>
      </w:r>
      <w:r w:rsidR="0065270F">
        <w:instrText>ADDIN CSL_CITATION {"citationItems":[{"id":"ITEM-1","itemData":{"DOI":"10.1016/S0269-7491(97)00080-8","ISSN":"02697491","author":[{"dropping-particle":"","family":"Court","given":"G.S.","non-dropping-particle":"","parse-names":false,"suffix":""},{"dropping-particle":"","family":"Davis","given":"L.S.","non-dropping-particle":"","parse-names":false,"suffix":""},{"dropping-particle":"","family":"Focardi","given":"S.","non-dropping-particle":"","parse-names":false,"suffix":""},{"dropping-particle":"","family":"Bargargli","given":"R.","non-dropping-particle":"","parse-names":false,"suffix":""},{"dropping-particle":"","family":"Fossi","given":"C.","non-dropping-particle":"","parse-names":false,"suffix":""},{"dropping-particle":"","family":"Leonzio","given":"C.","non-dropping-particle":"","parse-names":false,"suffix":""},{"dropping-particle":"","family":"Marili","given":"L.","non-dropping-particle":"","parse-names":false,"suffix":""}],"container-title":"Environmental Pollution","id":"ITEM-1","issue":"3","issued":{"date-parts":[["1997"]]},"page":"295-301","title":"Chlorinated hydrocarbons in the tissues of South Polar Skuas (Catharacta maccormicki) and Adélie Penguins (Pygoscelis adeliea) from Ross Sea, Antarctica","type":"article-journal","volume":"97"},"uris":["http://www.mendeley.com/documents/?uuid=adf413ff-ce4b-3541-9be6-752cb82494de"]}],"mendeley":{"formattedCitation":"(Court et al., 1997)","plainTextFormattedCitation":"(Court et al., 1997)","previouslyFormattedCitation":"(Court et al., 1997)"},"properties":{"noteIndex":0},"schema":"https://github.com/citation-style-language/schema/raw/master/csl-citation.json"}</w:instrText>
      </w:r>
      <w:r w:rsidR="008F6E34">
        <w:fldChar w:fldCharType="separate"/>
      </w:r>
      <w:r w:rsidR="008F6E34" w:rsidRPr="008F6E34">
        <w:rPr>
          <w:noProof/>
        </w:rPr>
        <w:t>(Court et al., 1997)</w:t>
      </w:r>
      <w:r w:rsidR="008F6E34">
        <w:fldChar w:fldCharType="end"/>
      </w:r>
      <w:r>
        <w:t xml:space="preserve">. </w:t>
      </w:r>
      <w:r w:rsidR="000844D6">
        <w:t>Furthermore, the DD</w:t>
      </w:r>
      <w:r w:rsidR="00AF4F3E">
        <w:t xml:space="preserve">T and especially </w:t>
      </w:r>
      <w:r w:rsidR="00980F4B">
        <w:t xml:space="preserve">the </w:t>
      </w:r>
      <w:r w:rsidR="00AF4F3E">
        <w:t>DDE concentration</w:t>
      </w:r>
      <w:r w:rsidR="008A4050">
        <w:t xml:space="preserve">s </w:t>
      </w:r>
      <w:r w:rsidR="007140CD">
        <w:t>in</w:t>
      </w:r>
      <w:r w:rsidR="0018086C">
        <w:t xml:space="preserve"> the both species </w:t>
      </w:r>
      <w:r w:rsidR="007140CD">
        <w:t>of</w:t>
      </w:r>
      <w:r w:rsidR="00AF4F3E">
        <w:t xml:space="preserve"> the current study are </w:t>
      </w:r>
      <w:r w:rsidR="008A4050">
        <w:t>higher than</w:t>
      </w:r>
      <w:r w:rsidR="007140CD">
        <w:t xml:space="preserve"> found</w:t>
      </w:r>
      <w:r w:rsidR="008A4050">
        <w:t xml:space="preserve"> </w:t>
      </w:r>
      <w:r w:rsidR="007140CD">
        <w:t>in</w:t>
      </w:r>
      <w:r w:rsidR="0018086C">
        <w:t xml:space="preserve"> penguins</w:t>
      </w:r>
      <w:r w:rsidR="00B9649E">
        <w:t xml:space="preserve"> </w:t>
      </w:r>
      <w:r w:rsidR="001C1BFC">
        <w:fldChar w:fldCharType="begin" w:fldLock="1"/>
      </w:r>
      <w:r w:rsidR="00317534">
        <w:instrText>ADDIN CSL_CITATION {"citationItems":[{"id":"ITEM-1","itemData":{"DOI":"10.1016/j.marpolbul.2016.02.047","ISSN":"0025326X","author":[{"dropping-particle":"","family":"Montone","given":"Rosalinda C.","non-dropping-particle":"","parse-names":false,"suffix":""},{"dropping-particle":"","family":"Taniguchi","given":"Satie","non-dropping-particle":"","parse-names":false,"suffix":""},{"dropping-particle":"","family":"Colabuono","given":"Fernanda I.","non-dropping-particle":"","parse-names":false,"suffix":""},{"dropping-particle":"","family":"Martins","given":"César C.","non-dropping-particle":"","parse-names":false,"suffix":""},{"dropping-particle":"","family":"Cipro","given":"Caio Vinícius Z.","non-dropping-particle":"","parse-names":false,"suffix":""},{"dropping-particle":"","family":"Barroso","given":"Hileia S.","non-dropping-particle":"","parse-names":false,"suffix":""},{"dropping-particle":"","family":"Silva","given":"Josilene","non-dropping-particle":"da","parse-names":false,"suffix":""},{"dropping-particle":"","family":"Bícego","given":"Márcia C.","non-dropping-particle":"","parse-names":false,"suffix":""},{"dropping-particle":"","family":"Weber","given":"Rolf R.","non-dropping-particle":"","parse-names":false,"suffix":""}],"container-title":"Marine Pollution Bulletin","id":"ITEM-1","issue":"1-2","issued":{"date-parts":[["2016","5"]]},"page":"377-382","title":"Persistent organic pollutants and polycyclic aromatic hydrocarbons in penguins of the genus Pygoscelis in Admiralty Bay — An Antarctic specially managed area","type":"article-journal","volume":"106"},"uris":["http://www.mendeley.com/documents/?uuid=bf9f7873-db25-396d-a414-d091ffe340bf"]},{"id":"ITEM-2","itemData":{"DOI":"10.1016/S0269-7491(01)00332-3","ISSN":"02697491","author":[{"dropping-particle":"","family":"Kumar","given":"Kurunthachalam Senthil","non-dropping-particle":"","parse-names":false,"suffix":""},{"dropping-particle":"","family":"Kannan","given":"Kurunthachalam","non-dropping-particle":"","parse-names":false,"suffix":""},{"dropping-particle":"","family":"Corsolini","given":"Simonetta","non-dropping-particle":"","parse-names":false,"suffix":""},{"dropping-particle":"","family":"Evans","given":"Thomas","non-dropping-particle":"","parse-names":false,"suffix":""},{"dropping-particle":"","family":"Giesy","given":"John P","non-dropping-particle":"","parse-names":false,"suffix":""},{"dropping-particle":"","family":"Nakanishi","given":"Junko","non-dropping-particle":"","parse-names":false,"suffix":""},{"dropping-particle":"","family":"Masunaga","given":"Shigeki","non-dropping-particle":"","parse-names":false,"suffix":""}],"container-title":"Environmental Pollution","id":"ITEM-2","issue":"2","issued":{"date-parts":[["2002"]]},"page":"151-161","title":"Polychlorinated dibenzo-p-dioxins, dibenzofurans and polychlorinated biphenyls in polar bear, penguin and south polar skua","type":"article-journal","volume":"119"},"uris":["http://www.mendeley.com/documents/?uuid=44f4dec9-7991-3849-8857-59861bef5a7c"]},{"id":"ITEM-3","itemData":{"DOI":"10.1080/03067319908032672","ISSN":"0306-7319","author":[{"dropping-particle":"","family":"Weichbrodt","given":"Marion","non-dropping-particle":"","parse-names":false,"suffix":""},{"dropping-particle":"","family":"Vetter","given":"Walter","non-dropping-particle":"","parse-names":false,"suffix":""},{"dropping-particle":"","family":"Scholza","given":"Elke","non-dropping-particle":"","parse-names":false,"suffix":""},{"dropping-particle":"","family":"Luckas","given":"Bernd","non-dropping-particle":"","parse-names":false,"suffix":""},{"dropping-particle":"","family":"Reinhardt","given":"Klaus","non-dropping-particle":"","parse-names":false,"suffix":""}],"container-title":"International Journal of Environmental Analytical Chemistry","id":"ITEM-3","issue":"4","issued":{"date-parts":[["1999","4"]]},"page":"309-328","title":"Determination of Organochlorine Levels in Antarctic Skua and Penguin Eggs by Application of Combined Focused Open-Vessel Microwave-Assisted Extraction, Gel-Permeation Chromatography, Adsorption Chromatography, and GC/ECD","type":"article-journal","volume":"73"},"uris":["http://www.mendeley.com/documents/?uuid=8186de01-f587-3399-a75f-ca755282ccd9"]}],"mendeley":{"formattedCitation":"(Kumar et al., 2002; Montone et al., 2016; Weichbrodt et al., 1999)","plainTextFormattedCitation":"(Kumar et al., 2002; Montone et al., 2016; Weichbrodt et al., 1999)","previouslyFormattedCitation":"(Kumar et al., 2002; Montone et al., 2016; Weichbrodt et al., 1999)"},"properties":{"noteIndex":0},"schema":"https://github.com/citation-style-language/schema/raw/master/csl-citation.json"}</w:instrText>
      </w:r>
      <w:r w:rsidR="001C1BFC">
        <w:fldChar w:fldCharType="separate"/>
      </w:r>
      <w:r w:rsidR="00317534" w:rsidRPr="00317534">
        <w:rPr>
          <w:noProof/>
        </w:rPr>
        <w:t>(Kumar et al., 2002; Montone et al., 2016; Weichbrodt et al., 1999)</w:t>
      </w:r>
      <w:r w:rsidR="001C1BFC">
        <w:fldChar w:fldCharType="end"/>
      </w:r>
      <w:r w:rsidR="00980F4B">
        <w:t>.</w:t>
      </w:r>
      <w:r w:rsidR="008A4050">
        <w:t xml:space="preserve"> </w:t>
      </w:r>
      <w:r>
        <w:t xml:space="preserve">This may demonstrate that exposure to DDT is a </w:t>
      </w:r>
      <w:r w:rsidR="00944D4B" w:rsidRPr="00944D4B">
        <w:t>contin</w:t>
      </w:r>
      <w:r w:rsidR="00A3040C">
        <w:t>uing</w:t>
      </w:r>
      <w:r w:rsidR="00944D4B" w:rsidRPr="00944D4B" w:rsidDel="00944D4B">
        <w:t xml:space="preserve"> </w:t>
      </w:r>
      <w:r>
        <w:t xml:space="preserve">issue for </w:t>
      </w:r>
      <w:r w:rsidR="007140CD">
        <w:t>the former</w:t>
      </w:r>
      <w:r>
        <w:t xml:space="preserve"> during</w:t>
      </w:r>
      <w:r w:rsidR="00A3040C">
        <w:t xml:space="preserve"> their</w:t>
      </w:r>
      <w:r>
        <w:t xml:space="preserve"> winter migrations. </w:t>
      </w:r>
      <w:r w:rsidRPr="00B35D3D">
        <w:t xml:space="preserve">Blood samples of giant petrels and </w:t>
      </w:r>
      <w:r w:rsidR="00407134">
        <w:t>Skua</w:t>
      </w:r>
      <w:r w:rsidRPr="00B35D3D">
        <w:t>s</w:t>
      </w:r>
      <w:r>
        <w:t xml:space="preserve"> were yet reported to have lower DDT concentrations, </w:t>
      </w:r>
      <w:r w:rsidR="00A3040C">
        <w:t>and this</w:t>
      </w:r>
      <w:r>
        <w:t xml:space="preserve"> may </w:t>
      </w:r>
      <w:r w:rsidR="00A3040C">
        <w:t>result from their</w:t>
      </w:r>
      <w:r>
        <w:t xml:space="preserve"> different migration patterns and</w:t>
      </w:r>
      <w:r w:rsidR="00B414D7">
        <w:t>/or</w:t>
      </w:r>
      <w:r>
        <w:t xml:space="preserve"> site-specific variations</w:t>
      </w:r>
      <w:r w:rsidR="00B9649E">
        <w:t xml:space="preserve"> </w:t>
      </w:r>
      <w:r w:rsidR="00C86E44">
        <w:fldChar w:fldCharType="begin" w:fldLock="1"/>
      </w:r>
      <w:r w:rsidR="00317534">
        <w:instrText>ADDIN CSL_CITATION {"citationItems":[{"id":"ITEM-1","itemData":{"DOI":"10.1016/J.ENVRES.2016.04.005","ISSN":"0013-9351","abstract":"Studies on Persistent Organic Pollutants (POPs) in Antarctic wildlife are scarce, and usually limited to a single locality. As a result, wildlife exposure to POPs across the Southern Ocean is poorly understood. In this study, we report the differential exposure of the major southern ocean scavengers, the giant petrels, to POPs across a wide latitudinal gradient. Selected POPs (PCBs, HCB, DDTs, PBDEs) and related compounds, such as Dechlorane Plus (DP), were analyzed in plasma of southern giant petrels (Macronectes giganteus) breeding on Livingston (62°S 61°W, Antarctica), Marion (46°S 37°E, sub-Antarctic), and Gough (40°S 10°W, cool temperate) islands. Northern giant petrels (Macronectes halli) from Marion Island were also studied. Stable isotope ratios of C and N (δ13C and δ15N) were used as dietary tracers of the marine habitat and trophic level, respectively. Breeding locality was a major factor explaining petrel exposure to POPs compared with species and sex. Significant relationships between δ13C values and POP burdens, at both inter- and intra-population levels, support latitudinal variations in feeding grounds as a key factor in explaining petrel pollutant burdens. Overall, pollutant levels in giant petrels decreased significantly with latitude, but the relative abundance (%) of the more volatile POPs increased towards Antarctica. DP was found at negligible levels compared with legacy POPs in Antarctic seabirds. Spatial POP patterns found in giant petrels match those predicted by global distribution models, and reinforce the hypothesis of atmospheric long-range transport as the main source of POPs in Antarctica. Our results confirm that wildlife movements out of the polar region markedly increase their exposure to POPs. Therefore, strategies for Antarctic wildlife conservation should consider spatial heterogeneity in exposure to marine pollution. Of particular relevance is the need to clarify the exposure of Antarctic predators to emerging contaminants that are not yet globally regulated.","author":[{"dropping-particle":"","family":"Roscales","given":"Jose L.","non-dropping-particle":"","parse-names":false,"suffix":""},{"dropping-particle":"","family":"González-Solís","given":"Jacob","non-dropping-particle":"","parse-names":false,"suffix":""},{"dropping-particle":"","family":"Zango","given":"Laura","non-dropping-particle":"","parse-names":false,"suffix":""},{"dropping-particle":"","family":"Ryan","given":"Peter G.","non-dropping-particle":"","parse-names":false,"suffix":""},{"dropping-particle":"","family":"Jiménez","given":"Begoña","non-dropping-particle":"","parse-names":false,"suffix":""}],"container-title":"Environmental Research","id":"ITEM-1","issued":{"date-parts":[["2016","7","1"]]},"page":"285-294","publisher":"Academic Press","title":"Latitudinal exposure to DDTs, HCB, PCBs, PBDEs and DP in giant petrels (Macronectes spp.) across the Southern Ocean","type":"article-journal","volume":"148"},"uris":["http://www.mendeley.com/documents/?uuid=83f4bfee-8909-3fe9-98b7-2c08f915a6dc"]},{"id":"ITEM-2","itemData":{"DOI":"10.1017/S0954102014000807","ISSN":"0954-1020","abstract":"&lt;p&gt; Organochlorine contaminants (OCs) and polybrominated diphenyl ethers (PBDEs) were investigated in the eggs of five bird species from the South Shetland Islands. Additionally, OCs and PBDEs were also analysed in embryos of two species. The concentration ranges in eggs were (ng g &lt;sup&gt;-1&lt;/sup&gt; wet weight) 2.11 to 541 for polychlorinated biphenyls (PCBs), &amp;amp;lt;0.25 to 0.88 for PBDEs, 2.45 to 405 for &lt;italic&gt;p,p’&lt;/italic&gt; -DDE and 1.50 to 603 for mirex. The PCBs were predominant in the eggs of &lt;italic&gt;Macronectes giganteus&lt;/italic&gt; , &lt;italic&gt;Catharacta antarctica&lt;/italic&gt; and &lt;italic&gt;Larus dominicanus&lt;/italic&gt; , whereas hexachlorobenzene (HCB) was the major compound found in the eggs of &lt;italic&gt;Pygoscelis antarcticus&lt;/italic&gt; and &lt;italic&gt;Sterna vittata&lt;/italic&gt; . The PBDE congeners were detected only in the eggs of &lt;italic&gt;C. antarctica&lt;/italic&gt; (PBDE 47 and 153) and &lt;italic&gt;S. vittata&lt;/italic&gt; (PBDE 47). There were differences in OC concentrations of up to two orders of magnitude between &lt;italic&gt;M. giganteus&lt;/italic&gt; embryos which were related to the development stage and OC concentrations in the respective eggs. Trophic ecology and post-breeding dispersal exerted an influence on contaminant patterns. Comparisons with data from the literature indicate an increase in the concentrations of some OCs over recent years. &lt;/p&gt;","author":[{"dropping-particle":"","family":"Colabuono","given":"Fernanda I.","non-dropping-particle":"","parse-names":false,"suffix":""},{"dropping-particle":"","family":"Taniguchi","given":"Satie","non-dropping-particle":"","parse-names":false,"suffix":""},{"dropping-particle":"V.","family":"Petry","given":"Maria","non-dropping-particle":"","parse-names":false,"suffix":""},{"dropping-particle":"","family":"Montone","given":"Rosalinda C.","non-dropping-particle":"","parse-names":false,"suffix":""}],"container-title":"Antarctic Science","id":"ITEM-2","issue":"04","issued":{"date-parts":[["2015","8","15"]]},"page":"355-361","title":"Organochlorine contaminants and polybrominated diphenyl ethers in eggs and embryos of Antarctic birds","type":"article-journal","volume":"27"},"uris":["http://www.mendeley.com/documents/?uuid=82deaed5-616b-3207-a998-2f8ecc399caa"]},{"id":"ITEM-3","itemData":{"DOI":"10.1021/acs.est.5b03181","ISSN":"0013-936X","author":[{"dropping-particle":"","family":"Kim","given":"Jun-Tae","non-dropping-particle":"","parse-names":false,"suffix":""},{"dropping-particle":"","family":"Son","given":"Min-Hui","non-dropping-particle":"","parse-names":false,"suffix":""},{"dropping-particle":"","family":"Kang","given":"Jung-Ho","non-dropping-particle":"","parse-names":false,"suffix":""},{"dropping-particle":"","family":"Kim","given":"Jeong-Hoon","non-dropping-particle":"","parse-names":false,"suffix":""},{"dropping-particle":"","family":"Jung","given":"Jin-Woo","non-dropping-particle":"","parse-names":false,"suffix":""},{"dropping-particle":"","family":"Chang","given":"Yoon-Seok","non-dropping-particle":"","parse-names":false,"suffix":""}],"container-title":"Environmental Science &amp; Technology","id":"ITEM-3","issue":"22","issued":{"date-parts":[["2015","11","17"]]},"page":"13628-13638","title":"Occurrence of Legacy and New Persistent Organic Pollutants in Avian Tissues from King George Island, Antarctica","type":"article-journal","volume":"49"},"uris":["http://www.mendeley.com/documents/?uuid=11a209b6-d574-33b0-9940-2e4fa6bf2c43"]}],"mendeley":{"formattedCitation":"(Colabuono et al., 2015; Kim et al., 2015; Roscales et al., 2016)","plainTextFormattedCitation":"(Colabuono et al., 2015; Kim et al., 2015; Roscales et al., 2016)","previouslyFormattedCitation":"(Colabuono et al., 2015; Kim et al., 2015; Roscales et al., 2016)"},"properties":{"noteIndex":0},"schema":"https://github.com/citation-style-language/schema/raw/master/csl-citation.json"}</w:instrText>
      </w:r>
      <w:r w:rsidR="00C86E44">
        <w:fldChar w:fldCharType="separate"/>
      </w:r>
      <w:r w:rsidR="00317534" w:rsidRPr="00317534">
        <w:rPr>
          <w:noProof/>
        </w:rPr>
        <w:t>(Colabuono et al., 2015; Kim et al., 2015; Roscales et al., 2016)</w:t>
      </w:r>
      <w:r w:rsidR="00C86E44">
        <w:fldChar w:fldCharType="end"/>
      </w:r>
      <w:r>
        <w:t>.</w:t>
      </w:r>
      <w:r w:rsidR="00A873FE">
        <w:t xml:space="preserve"> </w:t>
      </w:r>
    </w:p>
    <w:p w14:paraId="0DC34F1F" w14:textId="461164E5" w:rsidR="00B33181" w:rsidRDefault="00B33181" w:rsidP="00B33181">
      <w:pPr>
        <w:spacing w:line="360" w:lineRule="auto"/>
      </w:pPr>
      <w:r>
        <w:t xml:space="preserve">HCB is the second most </w:t>
      </w:r>
      <w:r w:rsidR="001A28C4">
        <w:t>abundant</w:t>
      </w:r>
      <w:r>
        <w:t xml:space="preserve"> OCP</w:t>
      </w:r>
      <w:r w:rsidR="001F24DB">
        <w:t>.</w:t>
      </w:r>
      <w:r>
        <w:t xml:space="preserve"> The concentrations of HCB were higher in this study than for eggs of Antarctic flying birds (including </w:t>
      </w:r>
      <w:r w:rsidR="00407134">
        <w:t>Skua</w:t>
      </w:r>
      <w:r>
        <w:t xml:space="preserve">s) </w:t>
      </w:r>
      <w:r w:rsidR="00F421A8">
        <w:t>recently</w:t>
      </w:r>
      <w:r>
        <w:t xml:space="preserve"> reported (possibly due to the </w:t>
      </w:r>
      <w:r w:rsidR="00582850">
        <w:t xml:space="preserve">absence of potential </w:t>
      </w:r>
      <w:r>
        <w:t xml:space="preserve"> </w:t>
      </w:r>
      <w:r w:rsidR="001A28C4">
        <w:t>for</w:t>
      </w:r>
      <w:r>
        <w:t xml:space="preserve"> HCB to accumulate in </w:t>
      </w:r>
      <w:r w:rsidR="00947640">
        <w:t>eggs</w:t>
      </w:r>
      <w:r>
        <w:t>)</w:t>
      </w:r>
      <w:r w:rsidR="00B9649E">
        <w:t xml:space="preserve"> </w:t>
      </w:r>
      <w:r>
        <w:fldChar w:fldCharType="begin" w:fldLock="1"/>
      </w:r>
      <w:r w:rsidR="00317534">
        <w:instrText>ADDIN CSL_CITATION {"citationItems":[{"id":"ITEM-1","itemData":{"DOI":"10.1016/j.scitotenv.2016.07.080","ISSN":"00489697","author":[{"dropping-particle":"V.","family":"Mello","given":"Flávia","non-dropping-particle":"","parse-names":false,"suffix":""},{"dropping-particle":"","family":"Roscales","given":"Jose L.","non-dropping-particle":"","parse-names":false,"suffix":""},{"dropping-particle":"","family":"Guida","given":"Yago S.","non-dropping-particle":"","parse-names":false,"suffix":""},{"dropping-particle":"","family":"Menezes","given":"Jorge F.S.","non-dropping-particle":"","parse-names":false,"suffix":""},{"dropping-particle":"","family":"Vicente","given":"Alba","non-dropping-particle":"","parse-names":false,"suffix":""},{"dropping-particle":"","family":"Costa","given":"Erli S.","non-dropping-particle":"","parse-names":false,"suffix":""},{"dropping-particle":"","family":"Jiménez","given":"Begoña","non-dropping-particle":"","parse-names":false,"suffix":""},{"dropping-particle":"","family":"Torres","given":"João Paulo M.","non-dropping-particle":"","parse-names":false,"suffix":""}],"container-title":"Science of The Total Environment","id":"ITEM-1","issued":{"date-parts":[["2016","12"]]},"page":"1380-1389","title":"Relationship between legacy and emerging organic pollutants in Antarctic seabirds and their foraging ecology as shown by δ 13 C and δ 15 N","type":"article-journal","volume":"573"},"uris":["http://www.mendeley.com/documents/?uuid=69693526-8fa9-3596-a685-a5f2684b41e3"]}],"mendeley":{"formattedCitation":"(Mello et al., 2016)","plainTextFormattedCitation":"(Mello et al., 2016)","previouslyFormattedCitation":"(Mello et al., 2016)"},"properties":{"noteIndex":0},"schema":"https://github.com/citation-style-language/schema/raw/master/csl-citation.json"}</w:instrText>
      </w:r>
      <w:r>
        <w:fldChar w:fldCharType="separate"/>
      </w:r>
      <w:r w:rsidR="00317534" w:rsidRPr="00317534">
        <w:rPr>
          <w:noProof/>
        </w:rPr>
        <w:t>(Mello et al., 2016)</w:t>
      </w:r>
      <w:r>
        <w:fldChar w:fldCharType="end"/>
      </w:r>
      <w:r>
        <w:t>, but are yet consistent with reported values for blood of giant petrels</w:t>
      </w:r>
      <w:r w:rsidR="00B9649E">
        <w:t xml:space="preserve"> </w:t>
      </w:r>
      <w:r>
        <w:fldChar w:fldCharType="begin" w:fldLock="1"/>
      </w:r>
      <w:r w:rsidR="00317534">
        <w:instrText>ADDIN CSL_CITATION {"citationItems":[{"id":"ITEM-1","itemData":{"DOI":"10.1016/j.envpol.2016.05.041","ISSN":"02697491","author":[{"dropping-particle":"","family":"Colabuono","given":"Fernanda I.","non-dropping-particle":"","parse-names":false,"suffix":""},{"dropping-particle":"","family":"Pol","given":"Stacy S.","non-dropping-particle":"Vander","parse-names":false,"suffix":""},{"dropping-particle":"","family":"Huncik","given":"Kevin M.","non-dropping-particle":"","parse-names":false,"suffix":""},{"dropping-particle":"","family":"Taniguchi","given":"Satie","non-dropping-particle":"","parse-names":false,"suffix":""},{"dropping-particle":"V.","family":"Petry","given":"Maria","non-dropping-particle":"","parse-names":false,"suffix":""},{"dropping-particle":"","family":"Kucklick","given":"John R.","non-dropping-particle":"","parse-names":false,"suffix":""},{"dropping-particle":"","family":"Montone","given":"Rosalinda C.","non-dropping-particle":"","parse-names":false,"suffix":""}],"container-title":"Environmental Pollution","id":"ITEM-1","issued":{"date-parts":[["2016","9"]]},"page":"38-45","title":"Persistent organic pollutants in blood samples of Southern Giant Petrels ( Macronectes giganteus ) from the South Shetland Islands, Antarctica","type":"article-journal","volume":"216"},"uris":["http://www.mendeley.com/documents/?uuid=764070f7-0981-3a19-b1cb-6ca1a4545f1f"]}],"mendeley":{"formattedCitation":"(Colabuono et al., 2016)","plainTextFormattedCitation":"(Colabuono et al., 2016)","previouslyFormattedCitation":"(Colabuono et al., 2016)"},"properties":{"noteIndex":0},"schema":"https://github.com/citation-style-language/schema/raw/master/csl-citation.json"}</w:instrText>
      </w:r>
      <w:r>
        <w:fldChar w:fldCharType="separate"/>
      </w:r>
      <w:r w:rsidR="00317534" w:rsidRPr="00317534">
        <w:rPr>
          <w:noProof/>
        </w:rPr>
        <w:t>(Colabuono et al., 2016)</w:t>
      </w:r>
      <w:r>
        <w:fldChar w:fldCharType="end"/>
      </w:r>
      <w:r>
        <w:t>.</w:t>
      </w:r>
      <w:r w:rsidR="00582850">
        <w:t xml:space="preserve"> Compared to Antarctic non-flying birds, HCB </w:t>
      </w:r>
      <w:r w:rsidR="00B9649E">
        <w:t>concentrations</w:t>
      </w:r>
      <w:r w:rsidR="001A28C4">
        <w:t xml:space="preserve"> reported here were</w:t>
      </w:r>
      <w:r w:rsidR="00582850">
        <w:t xml:space="preserve"> similar for </w:t>
      </w:r>
      <w:r w:rsidR="00407134">
        <w:t>Kelp</w:t>
      </w:r>
      <w:r w:rsidR="00582850">
        <w:t xml:space="preserve"> gulls, and </w:t>
      </w:r>
      <w:r w:rsidR="00215F5C">
        <w:t xml:space="preserve">were </w:t>
      </w:r>
      <w:r w:rsidR="00582850">
        <w:t xml:space="preserve">higher for </w:t>
      </w:r>
      <w:r w:rsidR="00407134">
        <w:t>Skua</w:t>
      </w:r>
      <w:r w:rsidR="00582850">
        <w:t>s</w:t>
      </w:r>
      <w:r w:rsidR="00B9649E">
        <w:t xml:space="preserve"> </w:t>
      </w:r>
      <w:r w:rsidR="001F24DB">
        <w:fldChar w:fldCharType="begin" w:fldLock="1"/>
      </w:r>
      <w:r w:rsidR="00317534">
        <w:instrText>ADDIN CSL_CITATION {"citationItems":[{"id":"ITEM-1","itemData":{"DOI":"10.1016/J.ENVRES.2016.04.005","ISSN":"0013-9351","abstract":"Studies on Persistent Organic Pollutants (POPs) in Antarctic wildlife are scarce, and usually limited to a single locality. As a result, wildlife exposure to POPs across the Southern Ocean is poorly understood. In this study, we report the differential exposure of the major southern ocean scavengers, the giant petrels, to POPs across a wide latitudinal gradient. Selected POPs (PCBs, HCB, DDTs, PBDEs) and related compounds, such as Dechlorane Plus (DP), were analyzed in plasma of southern giant petrels (Macronectes giganteus) breeding on Livingston (62°S 61°W, Antarctica), Marion (46°S 37°E, sub-Antarctic), and Gough (40°S 10°W, cool temperate) islands. Northern giant petrels (Macronectes halli) from Marion Island were also studied. Stable isotope ratios of C and N (δ13C and δ15N) were used as dietary tracers of the marine habitat and trophic level, respectively. Breeding locality was a major factor explaining petrel exposure to POPs compared with species and sex. Significant relationships between δ13C values and POP burdens, at both inter- and intra-population levels, support latitudinal variations in feeding grounds as a key factor in explaining petrel pollutant burdens. Overall, pollutant levels in giant petrels decreased significantly with latitude, but the relative abundance (%) of the more volatile POPs increased towards Antarctica. DP was found at negligible levels compared with legacy POPs in Antarctic seabirds. Spatial POP patterns found in giant petrels match those predicted by global distribution models, and reinforce the hypothesis of atmospheric long-range transport as the main source of POPs in Antarctica. Our results confirm that wildlife movements out of the polar region markedly increase their exposure to POPs. Therefore, strategies for Antarctic wildlife conservation should consider spatial heterogeneity in exposure to marine pollution. Of particular relevance is the need to clarify the exposure of Antarctic predators to emerging contaminants that are not yet globally regulated.","author":[{"dropping-particle":"","family":"Roscales","given":"Jose L.","non-dropping-particle":"","parse-names":false,"suffix":""},{"dropping-particle":"","family":"González-Solís","given":"Jacob","non-dropping-particle":"","parse-names":false,"suffix":""},{"dropping-particle":"","family":"Zango","given":"Laura","non-dropping-particle":"","parse-names":false,"suffix":""},{"dropping-particle":"","family":"Ryan","given":"Peter G.","non-dropping-particle":"","parse-names":false,"suffix":""},{"dropping-particle":"","family":"Jiménez","given":"Begoña","non-dropping-particle":"","parse-names":false,"suffix":""}],"container-title":"Environmental Research","id":"ITEM-1","issued":{"date-parts":[["2016","7","1"]]},"page":"285-294","publisher":"Academic Press","title":"Latitudinal exposure to DDTs, HCB, PCBs, PBDEs and DP in giant petrels (Macronectes spp.) across the Southern Ocean","type":"article-journal","volume":"148"},"uris":["http://www.mendeley.com/documents/?uuid=83f4bfee-8909-3fe9-98b7-2c08f915a6dc"]},{"id":"ITEM-2","itemData":{"DOI":"10.1002/etc.5620170426","ISSN":"07307268","author":[{"dropping-particle":"","family":"Brink","given":"Nico W.","non-dropping-particle":"van den","parse-names":false,"suffix":""},{"dropping-particle":"","family":"Franeker","given":"Jan A.","non-dropping-particle":"van","parse-names":false,"suffix":""},{"dropping-particle":"","family":"Ruiter-Dijkman","given":"Elze M.","non-dropping-particle":"de","parse-names":false,"suffix":""}],"container-title":"Environmental Toxicology and Chemistry","id":"ITEM-2","issue":"4","issued":{"date-parts":[["1998","4"]]},"page":"702-709","publisher":"Wiley-Blackwell","title":"Fluctuating concentrations of organochlorine pollutants during a breeding season in two Antarctic seabirds: Adelie penguin and southern fulmar","type":"article-journal","volume":"17"},"uris":["http://www.mendeley.com/documents/?uuid=df7489de-4732-35bd-aaec-ca7979cd894c"]}],"mendeley":{"formattedCitation":"(Roscales et al., 2016; van den Brink et al., 1998)","plainTextFormattedCitation":"(Roscales et al., 2016; van den Brink et al., 1998)","previouslyFormattedCitation":"(Roscales et al., 2016; van den Brink et al., 1998)"},"properties":{"noteIndex":0},"schema":"https://github.com/citation-style-language/schema/raw/master/csl-citation.json"}</w:instrText>
      </w:r>
      <w:r w:rsidR="001F24DB">
        <w:fldChar w:fldCharType="separate"/>
      </w:r>
      <w:r w:rsidR="00317534" w:rsidRPr="00317534">
        <w:rPr>
          <w:noProof/>
        </w:rPr>
        <w:t>(Roscales et al., 2016; van den Brink et al., 1998)</w:t>
      </w:r>
      <w:r w:rsidR="001F24DB">
        <w:fldChar w:fldCharType="end"/>
      </w:r>
      <w:r w:rsidR="00582850">
        <w:t xml:space="preserve">.  </w:t>
      </w:r>
      <w:r>
        <w:t xml:space="preserve"> </w:t>
      </w:r>
    </w:p>
    <w:p w14:paraId="18BF1D46" w14:textId="77777777" w:rsidR="00B33181" w:rsidRDefault="00B33181" w:rsidP="00A5221E">
      <w:pPr>
        <w:spacing w:line="360" w:lineRule="auto"/>
      </w:pPr>
      <w:r>
        <w:t>The chlordane group (Oxychlordane, trans-Chlordane, cis-Chlordane, Heptachlor and Heptachlor epoxide) is mainly represented by Oxychlordane, a metabolite of other chlordanes</w:t>
      </w:r>
      <w:r w:rsidR="00B9649E">
        <w:t xml:space="preserve"> </w:t>
      </w:r>
      <w:r>
        <w:fldChar w:fldCharType="begin" w:fldLock="1"/>
      </w:r>
      <w:r w:rsidR="00317534">
        <w:instrText>ADDIN CSL_CITATION {"citationItems":[{"id":"ITEM-1","itemData":{"author":[{"dropping-particle":"","family":"Eisler","given":"R.","non-dropping-particle":"","parse-names":false,"suffix":""}],"container-title":"Contaminant Hazard Reviews","id":"ITEM-1","issued":{"date-parts":[["1990"]]},"title":"Chlordane Hazards to Fish, Wildlife, and Invertebrates:  A Synoptic Review","type":"article-journal"},"uris":["http://www.mendeley.com/documents/?uuid=0b87b777-1d0b-3890-914b-96130ce44990"]}],"mendeley":{"formattedCitation":"(Eisler, 1990)","plainTextFormattedCitation":"(Eisler, 1990)","previouslyFormattedCitation":"(Eisler, 1990)"},"properties":{"noteIndex":0},"schema":"https://github.com/citation-style-language/schema/raw/master/csl-citation.json"}</w:instrText>
      </w:r>
      <w:r>
        <w:fldChar w:fldCharType="separate"/>
      </w:r>
      <w:r w:rsidR="00317534" w:rsidRPr="00317534">
        <w:rPr>
          <w:noProof/>
        </w:rPr>
        <w:t>(Eisler, 1990)</w:t>
      </w:r>
      <w:r>
        <w:fldChar w:fldCharType="end"/>
      </w:r>
      <w:r>
        <w:t xml:space="preserve">, while their concentrations are higher than </w:t>
      </w:r>
      <w:r w:rsidR="00CE6754">
        <w:t xml:space="preserve">those </w:t>
      </w:r>
      <w:r w:rsidR="00C0611C">
        <w:t xml:space="preserve">found </w:t>
      </w:r>
      <w:r>
        <w:t>in other studies</w:t>
      </w:r>
      <w:r w:rsidR="00B9649E">
        <w:t xml:space="preserve"> </w:t>
      </w:r>
      <w:r>
        <w:fldChar w:fldCharType="begin" w:fldLock="1"/>
      </w:r>
      <w:r w:rsidR="00317534">
        <w:instrText>ADDIN CSL_CITATION {"citationItems":[{"id":"ITEM-1","itemData":{"DOI":"10.1021/acs.est.5b03181","ISSN":"0013-936X","author":[{"dropping-particle":"","family":"Kim","given":"Jun-Tae","non-dropping-particle":"","parse-names":false,"suffix":""},{"dropping-particle":"","family":"Son","given":"Min-Hui","non-dropping-particle":"","parse-names":false,"suffix":""},{"dropping-particle":"","family":"Kang","given":"Jung-Ho","non-dropping-particle":"","parse-names":false,"suffix":""},{"dropping-particle":"","family":"Kim","given":"Jeong-Hoon","non-dropping-particle":"","parse-names":false,"suffix":""},{"dropping-particle":"","family":"Jung","given":"Jin-Woo","non-dropping-particle":"","parse-names":false,"suffix":""},{"dropping-particle":"","family":"Chang","given":"Yoon-Seok","non-dropping-particle":"","parse-names":false,"suffix":""}],"container-title":"Environmental Science &amp; Technology","id":"ITEM-1","issue":"22","issued":{"date-parts":[["2015","11","17"]]},"page":"13628-13638","title":"Occurrence of Legacy and New Persistent Organic Pollutants in Avian Tissues from King George Island, Antarctica","type":"article-journal","volume":"49"},"uris":["http://www.mendeley.com/documents/?uuid=11a209b6-d574-33b0-9940-2e4fa6bf2c43"]},{"id":"ITEM-2","itemData":{"DOI":"10.1016/j.envpol.2016.05.041","ISSN":"02697491","author":[{"dropping-particle":"","family":"Colabuono","given":"Fernanda I.","non-dropping-particle":"","parse-names":false,"suffix":""},{"dropping-particle":"","family":"Pol","given":"Stacy S.","non-dropping-particle":"Vander","parse-names":false,"suffix":""},{"dropping-particle":"","family":"Huncik","given":"Kevin M.","non-dropping-particle":"","parse-names":false,"suffix":""},{"dropping-particle":"","family":"Taniguchi","given":"Satie","non-dropping-particle":"","parse-names":false,"suffix":""},{"dropping-particle":"V.","family":"Petry","given":"Maria","non-dropping-particle":"","parse-names":false,"suffix":""},{"dropping-particle":"","family":"Kucklick","given":"John R.","non-dropping-particle":"","parse-names":false,"suffix":""},{"dropping-particle":"","family":"Montone","given":"Rosalinda C.","non-dropping-particle":"","parse-names":false,"suffix":""}],"container-title":"Environmental Pollution","id":"ITEM-2","issued":{"date-parts":[["2016","9"]]},"page":"38-45","title":"Persistent organic pollutants in blood samples of Southern Giant Petrels ( Macronectes giganteus ) from the South Shetland Islands, Antarctica","type":"article-journal","volume":"216"},"uris":["http://www.mendeley.com/documents/?uuid=764070f7-0981-3a19-b1cb-6ca1a4545f1f"]},{"id":"ITEM-3","itemData":{"DOI":"10.1016/J.SCITOTENV.2015.11.114","ISSN":"0048-9697","abstract":"Trace elements (n=14) and persistent organic pollutants (POPs, n=30) were measured in blood, liver, kidney, muscle and feathers of 10 Antarctic prions (Pachyptila desolata) from Kerguelen Islands, southern Indian Ocean, in order to assess their concentrations, tissue distribution, and inter-tissue and inter-contaminant relationships. Liver, kidney and feathers presented the highest burdens of arsenic, cadmium and mercury, respectively. Concentrations of cadmium, copper, iron, and zinc correlated in liver and muscle, suggesting that uptake and pathways of metabolism and storage were similar for these elements. The major POPs were 4,4′-DDE, mirex, PCB-153 and PCB-138. The concentrations and tissue distribution patterns of environmental contaminants were overall in accordance with previous results in other seabirds. Conversely, some Antarctic prions showed surprisingly high concentrations of BDE-209. This compound has been rarely observed in seabirds before, and its presence in Antarctic prions could be due to the species feeding habits or to the ingestion of plastic debris. Overall, the study shows that relatively lower trophic level seabirds (zooplankton-eaters) breeding in the remote southern Indian Ocean are exposed to a wide range of environmental contaminants, in particular cadmium, selenium and some emerging-POPs, which merits further toxicological investigations.","author":[{"dropping-particle":"","family":"Fromant","given":"Aymeric","non-dropping-particle":"","parse-names":false,"suffix":""},{"dropping-particle":"","family":"Carravieri","given":"Alice","non-dropping-particle":"","parse-names":false,"suffix":""},{"dropping-particle":"","family":"Bustamante","given":"Paco","non-dropping-particle":"","parse-names":false,"suffix":""},{"dropping-particle":"","family":"Labadie","given":"Pierre","non-dropping-particle":"","parse-names":false,"suffix":""},{"dropping-particle":"","family":"Budzinski","given":"Hélène","non-dropping-particle":"","parse-names":false,"suffix":""},{"dropping-particle":"","family":"Peluhet","given":"Laurent","non-dropping-particle":"","parse-names":false,"suffix":""},{"dropping-particle":"","family":"Churlaud","given":"Carine","non-dropping-particle":"","parse-names":false,"suffix":""},{"dropping-particle":"","family":"Chastel","given":"Olivier","non-dropping-particle":"","parse-names":false,"suffix":""},{"dropping-particle":"","family":"Cherel","given":"Yves","non-dropping-particle":"","parse-names":false,"suffix":""}],"container-title":"Science of The Total Environment","id":"ITEM-3","issued":{"date-parts":[["2016","2","15"]]},"page":"754-764","publisher":"Elsevier","title":"Wide range of metallic and organic contaminants in various tissues of the Antarctic prion, a planktonophagous seabird from the Southern Ocean","type":"article-journal","volume":"544"},"uris":["http://www.mendeley.com/documents/?uuid=0d769821-1b0f-3582-9b18-f91d27afbd1f"]}],"mendeley":{"formattedCitation":"(Colabuono et al., 2016; Fromant et al., 2016; Kim et al., 2015)","plainTextFormattedCitation":"(Colabuono et al., 2016; Fromant et al., 2016; Kim et al., 2015)","previouslyFormattedCitation":"(Colabuono et al., 2016; Fromant et al., 2016; Kim et al., 2015)"},"properties":{"noteIndex":0},"schema":"https://github.com/citation-style-language/schema/raw/master/csl-citation.json"}</w:instrText>
      </w:r>
      <w:r>
        <w:fldChar w:fldCharType="separate"/>
      </w:r>
      <w:r w:rsidR="00317534" w:rsidRPr="00317534">
        <w:rPr>
          <w:noProof/>
        </w:rPr>
        <w:t>(Colabuono et al., 2016; Fromant et al., 2016; Kim et al., 2015)</w:t>
      </w:r>
      <w:r>
        <w:fldChar w:fldCharType="end"/>
      </w:r>
      <w:r>
        <w:t xml:space="preserve">. </w:t>
      </w:r>
      <w:r w:rsidR="00F511CF">
        <w:t>T</w:t>
      </w:r>
      <w:r w:rsidRPr="000033FE">
        <w:t xml:space="preserve">he HCH group is chiefly </w:t>
      </w:r>
      <w:r w:rsidR="00434574">
        <w:t xml:space="preserve">represented by </w:t>
      </w:r>
      <w:r w:rsidRPr="000033FE">
        <w:t>β- and γ- stereoisomers</w:t>
      </w:r>
      <w:r>
        <w:t>, which are the mostly used isomers</w:t>
      </w:r>
      <w:r w:rsidR="00B9649E">
        <w:t xml:space="preserve"> </w:t>
      </w:r>
      <w:r>
        <w:fldChar w:fldCharType="begin" w:fldLock="1"/>
      </w:r>
      <w:r w:rsidR="00317534">
        <w:instrText>ADDIN CSL_CITATION {"citationItems":[{"id":"ITEM-1","itemData":{"DOI":"10.1021/ES9708530","abstract":"The differential environmental fates and toxicities of the various hexachlorocyclohexane (HCH) isomers including lindane and isomers in the technical mixture will be the focus of this review. HCHs are one of the most widely used and most readily detected organochlorine pesticides in environmental samples. The relatively high volatility of HCH has led to global transport, even into formerly pristine locations such as the Arctic. Certain HCHs cause central nervous system, reproductive, and endocrine damage. Because γ-HCH is rapidly metabolized, the β-HCH isomer is consistently found in higher concentrations in human fat, blood, and breast milk. In contrast, α- and γ-HCH are the most prevalent isomers in soil, water, and air samples. The ratio of the α- to γ-isomers can be used to track global transport of HCHs. A new area of HCH research focuses on the selective degradation of the two α-HCH enantiomers in various environmental matrices. These HCH issues and recommendations for future HCH research are presen...","author":[{"dropping-particle":"","family":"Kristine L. Willett","given":"","non-dropping-particle":"","parse-names":false,"suffix":""},{"dropping-particle":"","family":"Elin M. Ulrich","given":"and","non-dropping-particle":"","parse-names":false,"suffix":""},{"dropping-particle":"","family":"Hites*","given":"Ronald A.","non-dropping-particle":"","parse-names":false,"suffix":""}],"id":"ITEM-1","issued":{"date-parts":[["1998"]]},"publisher":" American Chemical Society ","title":"Differential Toxicity and Environmental Fates of Hexachlorocyclohexane Isomers","type":"article-journal"},"uris":["http://www.mendeley.com/documents/?uuid=e6bd9959-fc21-3de7-8c0f-e3ed9afc0979"]}],"mendeley":{"formattedCitation":"(Kristine L. Willett et al., 1998)","plainTextFormattedCitation":"(Kristine L. Willett et al., 1998)","previouslyFormattedCitation":"(Kristine L. Willett et al., 1998)"},"properties":{"noteIndex":0},"schema":"https://github.com/citation-style-language/schema/raw/master/csl-citation.json"}</w:instrText>
      </w:r>
      <w:r>
        <w:fldChar w:fldCharType="separate"/>
      </w:r>
      <w:r w:rsidR="00317534" w:rsidRPr="00317534">
        <w:rPr>
          <w:noProof/>
        </w:rPr>
        <w:t>(Kristine L. Willett et al., 1998)</w:t>
      </w:r>
      <w:r>
        <w:fldChar w:fldCharType="end"/>
      </w:r>
      <w:r>
        <w:t xml:space="preserve">. </w:t>
      </w:r>
    </w:p>
    <w:p w14:paraId="76D2D091" w14:textId="0A0C6B7B" w:rsidR="00EF22D6" w:rsidRDefault="00CE6754" w:rsidP="00A5221E">
      <w:pPr>
        <w:spacing w:line="360" w:lineRule="auto"/>
      </w:pPr>
      <w:r>
        <w:t>There were n</w:t>
      </w:r>
      <w:r w:rsidR="00EF22D6">
        <w:t xml:space="preserve">o significant </w:t>
      </w:r>
      <w:r w:rsidR="000102DB">
        <w:t xml:space="preserve">statistical </w:t>
      </w:r>
      <w:r w:rsidR="00EF22D6">
        <w:t xml:space="preserve">differences </w:t>
      </w:r>
      <w:r w:rsidR="00927324">
        <w:t xml:space="preserve">among </w:t>
      </w:r>
      <w:r w:rsidR="00EF22D6">
        <w:t xml:space="preserve">concentrations of OCPs in </w:t>
      </w:r>
      <w:r w:rsidR="000102DB">
        <w:t xml:space="preserve">muscles of </w:t>
      </w:r>
      <w:r w:rsidR="00407134">
        <w:t>Skua</w:t>
      </w:r>
      <w:r w:rsidR="00EF22D6">
        <w:t xml:space="preserve">s and </w:t>
      </w:r>
      <w:r w:rsidR="00407134">
        <w:t>Kelp</w:t>
      </w:r>
      <w:r w:rsidR="00EF22D6">
        <w:t xml:space="preserve"> gulls</w:t>
      </w:r>
      <w:r w:rsidR="000102DB">
        <w:t xml:space="preserve"> (Appendix 4)</w:t>
      </w:r>
      <w:r w:rsidR="00EF22D6">
        <w:t>.</w:t>
      </w:r>
    </w:p>
    <w:p w14:paraId="109853D6" w14:textId="77777777" w:rsidR="00BD30B5" w:rsidRDefault="00BD30B5" w:rsidP="00A5221E">
      <w:pPr>
        <w:spacing w:line="360" w:lineRule="auto"/>
      </w:pPr>
    </w:p>
    <w:p w14:paraId="3ED4EC12" w14:textId="77777777" w:rsidR="00BD3889" w:rsidRPr="00624C40" w:rsidRDefault="00CD7DCD" w:rsidP="00A5221E">
      <w:pPr>
        <w:spacing w:line="360" w:lineRule="auto"/>
        <w:rPr>
          <w:u w:val="single"/>
        </w:rPr>
      </w:pPr>
      <w:r w:rsidRPr="00E97832">
        <w:rPr>
          <w:noProof/>
          <w:u w:val="single"/>
          <w:lang w:eastAsia="en-GB"/>
        </w:rPr>
        <w:drawing>
          <wp:anchor distT="0" distB="0" distL="114300" distR="114300" simplePos="0" relativeHeight="251668480" behindDoc="0" locked="0" layoutInCell="1" allowOverlap="1" wp14:anchorId="2FA47FC0" wp14:editId="54C5AB6F">
            <wp:simplePos x="0" y="0"/>
            <wp:positionH relativeFrom="column">
              <wp:posOffset>4198416</wp:posOffset>
            </wp:positionH>
            <wp:positionV relativeFrom="paragraph">
              <wp:posOffset>23148</wp:posOffset>
            </wp:positionV>
            <wp:extent cx="1862455" cy="2216737"/>
            <wp:effectExtent l="0" t="0" r="4445" b="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E97832">
        <w:rPr>
          <w:noProof/>
          <w:u w:val="single"/>
          <w:lang w:eastAsia="en-GB"/>
        </w:rPr>
        <w:drawing>
          <wp:anchor distT="0" distB="0" distL="114300" distR="114300" simplePos="0" relativeHeight="251666432" behindDoc="0" locked="0" layoutInCell="1" allowOverlap="1" wp14:anchorId="3E4EB47D" wp14:editId="6C6F0037">
            <wp:simplePos x="0" y="0"/>
            <wp:positionH relativeFrom="column">
              <wp:posOffset>1963803</wp:posOffset>
            </wp:positionH>
            <wp:positionV relativeFrom="paragraph">
              <wp:posOffset>268270</wp:posOffset>
            </wp:positionV>
            <wp:extent cx="2087880" cy="2424022"/>
            <wp:effectExtent l="0" t="0" r="762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E97832">
        <w:rPr>
          <w:noProof/>
          <w:u w:val="single"/>
          <w:lang w:eastAsia="en-GB"/>
        </w:rPr>
        <w:drawing>
          <wp:anchor distT="0" distB="0" distL="114300" distR="114300" simplePos="0" relativeHeight="251663360" behindDoc="0" locked="0" layoutInCell="1" allowOverlap="1" wp14:anchorId="796831E4" wp14:editId="2D4EF808">
            <wp:simplePos x="0" y="0"/>
            <wp:positionH relativeFrom="column">
              <wp:posOffset>-209682</wp:posOffset>
            </wp:positionH>
            <wp:positionV relativeFrom="paragraph">
              <wp:posOffset>273314</wp:posOffset>
            </wp:positionV>
            <wp:extent cx="2114550" cy="2260120"/>
            <wp:effectExtent l="0" t="0" r="0" b="698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BD3889" w:rsidRPr="00624C40">
        <w:rPr>
          <w:u w:val="single"/>
        </w:rPr>
        <w:t>PBDEs</w:t>
      </w:r>
    </w:p>
    <w:p w14:paraId="09713247" w14:textId="77777777" w:rsidR="00735BEE" w:rsidRDefault="00735BEE" w:rsidP="00A5221E">
      <w:pPr>
        <w:spacing w:line="360" w:lineRule="auto"/>
      </w:pPr>
    </w:p>
    <w:p w14:paraId="56A2890F" w14:textId="77777777" w:rsidR="00735BEE" w:rsidRDefault="00735BEE" w:rsidP="00A5221E">
      <w:pPr>
        <w:spacing w:line="360" w:lineRule="auto"/>
      </w:pPr>
    </w:p>
    <w:p w14:paraId="3470F84A" w14:textId="77777777" w:rsidR="00735BEE" w:rsidRDefault="00735BEE" w:rsidP="00A5221E">
      <w:pPr>
        <w:spacing w:line="360" w:lineRule="auto"/>
      </w:pPr>
    </w:p>
    <w:p w14:paraId="6CF201AD" w14:textId="77777777" w:rsidR="00735BEE" w:rsidRDefault="00735BEE" w:rsidP="00A5221E">
      <w:pPr>
        <w:spacing w:line="360" w:lineRule="auto"/>
      </w:pPr>
    </w:p>
    <w:p w14:paraId="1B373F0A" w14:textId="77777777" w:rsidR="00735BEE" w:rsidRDefault="00735BEE" w:rsidP="00A5221E">
      <w:pPr>
        <w:spacing w:line="360" w:lineRule="auto"/>
      </w:pPr>
    </w:p>
    <w:p w14:paraId="317A1968" w14:textId="77777777" w:rsidR="00735BEE" w:rsidRDefault="00735BEE" w:rsidP="00A5221E">
      <w:pPr>
        <w:spacing w:line="360" w:lineRule="auto"/>
      </w:pPr>
    </w:p>
    <w:p w14:paraId="342D7C28" w14:textId="77777777" w:rsidR="00735BEE" w:rsidRDefault="00735BEE" w:rsidP="00735BEE">
      <w:pPr>
        <w:jc w:val="center"/>
      </w:pPr>
    </w:p>
    <w:p w14:paraId="5000C80C" w14:textId="77777777" w:rsidR="00CD7DCD" w:rsidRDefault="00CD7DCD" w:rsidP="00434574">
      <w:pPr>
        <w:jc w:val="center"/>
      </w:pPr>
    </w:p>
    <w:p w14:paraId="49075312" w14:textId="77EB368A" w:rsidR="00434574" w:rsidRDefault="00434574" w:rsidP="00434574">
      <w:pPr>
        <w:jc w:val="center"/>
      </w:pPr>
      <w:r w:rsidRPr="0004670E">
        <w:t xml:space="preserve">Figure  </w:t>
      </w:r>
      <w:r>
        <w:t>4</w:t>
      </w:r>
      <w:r w:rsidRPr="0004670E">
        <w:t>. Concentrations (</w:t>
      </w:r>
      <w:r w:rsidR="00EF24AC">
        <w:t>mean</w:t>
      </w:r>
      <w:r w:rsidR="00EF24AC" w:rsidRPr="0004670E">
        <w:t xml:space="preserve"> </w:t>
      </w:r>
      <w:r w:rsidRPr="0004670E">
        <w:t xml:space="preserve">and standard deviations </w:t>
      </w:r>
      <w:r>
        <w:t>back-transformed from log-transformed data) of PBDE</w:t>
      </w:r>
      <w:r w:rsidRPr="0004670E">
        <w:t xml:space="preserve">s in muscles, livers and subcutaneous fat of </w:t>
      </w:r>
      <w:r w:rsidR="00407134">
        <w:t>Skua</w:t>
      </w:r>
      <w:r w:rsidRPr="0004670E">
        <w:t xml:space="preserve">s (blue bars) and </w:t>
      </w:r>
      <w:r w:rsidR="00407134">
        <w:t>Kelp</w:t>
      </w:r>
      <w:r w:rsidRPr="0004670E">
        <w:t xml:space="preserve"> gulls (orange bars and dots (in case</w:t>
      </w:r>
      <w:r w:rsidR="00CE6754">
        <w:t>s where</w:t>
      </w:r>
      <w:r w:rsidRPr="0004670E">
        <w:t xml:space="preserve"> only 1 sample was available)). Note that log scale is used ubiquitously.</w:t>
      </w:r>
    </w:p>
    <w:p w14:paraId="390AA3CB" w14:textId="77777777" w:rsidR="00B33181" w:rsidRDefault="00B33181" w:rsidP="00E97832">
      <w:pPr>
        <w:jc w:val="center"/>
      </w:pPr>
    </w:p>
    <w:p w14:paraId="683A7CCF" w14:textId="7BA5F4E4" w:rsidR="00B33181" w:rsidRDefault="00B33181" w:rsidP="00B33181">
      <w:pPr>
        <w:spacing w:line="360" w:lineRule="auto"/>
      </w:pPr>
      <w:r>
        <w:t xml:space="preserve">The concentrations of PBDEs </w:t>
      </w:r>
      <w:r w:rsidR="002A56BA">
        <w:t>(</w:t>
      </w:r>
      <w:r w:rsidR="00C36EE4">
        <w:t>Fig</w:t>
      </w:r>
      <w:r w:rsidR="002A56BA">
        <w:t>. 4)</w:t>
      </w:r>
      <w:r w:rsidR="00F511CF">
        <w:t xml:space="preserve"> </w:t>
      </w:r>
      <w:r>
        <w:t>are low compar</w:t>
      </w:r>
      <w:r w:rsidR="00CE6754">
        <w:t>ed</w:t>
      </w:r>
      <w:r>
        <w:t xml:space="preserve"> to other POPs. </w:t>
      </w:r>
      <w:r w:rsidR="00E620B3">
        <w:t>T</w:t>
      </w:r>
      <w:r w:rsidR="006F2B0E">
        <w:t>hey</w:t>
      </w:r>
      <w:r>
        <w:t xml:space="preserve"> are comparable</w:t>
      </w:r>
      <w:r w:rsidR="00CC7286">
        <w:t>, however,</w:t>
      </w:r>
      <w:r>
        <w:t xml:space="preserve"> to previous studies for eggs of </w:t>
      </w:r>
      <w:r w:rsidR="00407134">
        <w:t>Skua</w:t>
      </w:r>
      <w:r>
        <w:t>s</w:t>
      </w:r>
      <w:r w:rsidR="00B9649E">
        <w:t xml:space="preserve"> </w:t>
      </w:r>
      <w:r>
        <w:fldChar w:fldCharType="begin" w:fldLock="1"/>
      </w:r>
      <w:r w:rsidR="00317534">
        <w:instrText>ADDIN CSL_CITATION {"citationItems":[{"id":"ITEM-1","itemData":{"DOI":"10.1016/j.scitotenv.2016.07.080","ISSN":"00489697","author":[{"dropping-particle":"V.","family":"Mello","given":"Flávia","non-dropping-particle":"","parse-names":false,"suffix":""},{"dropping-particle":"","family":"Roscales","given":"Jose L.","non-dropping-particle":"","parse-names":false,"suffix":""},{"dropping-particle":"","family":"Guida","given":"Yago S.","non-dropping-particle":"","parse-names":false,"suffix":""},{"dropping-particle":"","family":"Menezes","given":"Jorge F.S.","non-dropping-particle":"","parse-names":false,"suffix":""},{"dropping-particle":"","family":"Vicente","given":"Alba","non-dropping-particle":"","parse-names":false,"suffix":""},{"dropping-particle":"","family":"Costa","given":"Erli S.","non-dropping-particle":"","parse-names":false,"suffix":""},{"dropping-particle":"","family":"Jiménez","given":"Begoña","non-dropping-particle":"","parse-names":false,"suffix":""},{"dropping-particle":"","family":"Torres","given":"João Paulo M.","non-dropping-particle":"","parse-names":false,"suffix":""}],"container-title":"Science of The Total Environment","id":"ITEM-1","issued":{"date-parts":[["2016","12"]]},"page":"1380-1389","title":"Relationship between legacy and emerging organic pollutants in Antarctic seabirds and their foraging ecology as shown by δ 13 C and δ 15 N","type":"article-journal","volume":"573"},"uris":["http://www.mendeley.com/documents/?uuid=69693526-8fa9-3596-a685-a5f2684b41e3"]},{"id":"ITEM-2","itemData":{"DOI":"10.1016/j.envpol.2008.10.016","ISSN":"02697491","author":[{"dropping-particle":"","family":"Yogui","given":"G.T.","non-dropping-particle":"","parse-names":false,"suffix":""},{"dropping-particle":"","family":"Sericano","given":"J.L.","non-dropping-particle":"","parse-names":false,"suffix":""}],"container-title":"Environmental Pollution","id":"ITEM-2","issue":"3","issued":{"date-parts":[["2009","3"]]},"page":"975-980","title":"Levels and pattern of polybrominated diphenyl ethers in eggs of Antarctic seabirds: Endemic versus migratory species","type":"article-journal","volume":"157"},"uris":["http://www.mendeley.com/documents/?uuid=ed37ce1f-b867-3c71-a49b-ce98c3f5c974"]}],"mendeley":{"formattedCitation":"(Mello et al., 2016; Yogui and Sericano, 2009)","plainTextFormattedCitation":"(Mello et al., 2016; Yogui and Sericano, 2009)","previouslyFormattedCitation":"(Mello et al., 2016; Yogui and Sericano, 2009)"},"properties":{"noteIndex":0},"schema":"https://github.com/citation-style-language/schema/raw/master/csl-citation.json"}</w:instrText>
      </w:r>
      <w:r>
        <w:fldChar w:fldCharType="separate"/>
      </w:r>
      <w:r w:rsidR="00317534" w:rsidRPr="00317534">
        <w:rPr>
          <w:noProof/>
        </w:rPr>
        <w:t>(Mello et al., 2016; Yogui and Sericano, 2009)</w:t>
      </w:r>
      <w:r>
        <w:fldChar w:fldCharType="end"/>
      </w:r>
      <w:r>
        <w:t>, but lower than the ones reported in blood of giant petrels and prions</w:t>
      </w:r>
      <w:r w:rsidR="00434574">
        <w:t>.</w:t>
      </w:r>
      <w:r>
        <w:t xml:space="preserve"> </w:t>
      </w:r>
      <w:r w:rsidR="00434574">
        <w:t>This</w:t>
      </w:r>
      <w:r>
        <w:t xml:space="preserve"> can be explained by the different  </w:t>
      </w:r>
      <w:r w:rsidR="00434574">
        <w:t xml:space="preserve">migration </w:t>
      </w:r>
      <w:r>
        <w:t>behaviour</w:t>
      </w:r>
      <w:r w:rsidR="00B9649E">
        <w:t xml:space="preserve"> </w:t>
      </w:r>
      <w:r w:rsidR="00572D63" w:rsidRPr="00C21C15">
        <w:fldChar w:fldCharType="begin" w:fldLock="1"/>
      </w:r>
      <w:r w:rsidR="00317534">
        <w:instrText>ADDIN CSL_CITATION {"citationItems":[{"id":"ITEM-1","itemData":{"DOI":"10.1016/j.scitotenv.2016.07.080","ISSN":"00489697","author":[{"dropping-particle":"V.","family":"Mello","given":"Flávia","non-dropping-particle":"","parse-names":false,"suffix":""},{"dropping-particle":"","family":"Roscales","given":"Jose L.","non-dropping-particle":"","parse-names":false,"suffix":""},{"dropping-particle":"","family":"Guida","given":"Yago S.","non-dropping-particle":"","parse-names":false,"suffix":""},{"dropping-particle":"","family":"Menezes","given":"Jorge F.S.","non-dropping-particle":"","parse-names":false,"suffix":""},{"dropping-particle":"","family":"Vicente","given":"Alba","non-dropping-particle":"","parse-names":false,"suffix":""},{"dropping-particle":"","family":"Costa","given":"Erli S.","non-dropping-particle":"","parse-names":false,"suffix":""},{"dropping-particle":"","family":"Jiménez","given":"Begoña","non-dropping-particle":"","parse-names":false,"suffix":""},{"dropping-particle":"","family":"Torres","given":"João Paulo M.","non-dropping-particle":"","parse-names":false,"suffix":""}],"container-title":"Science of The Total Environment","id":"ITEM-1","issued":{"date-parts":[["2016","12"]]},"page":"1380-1389","title":"Relationship between legacy and emerging organic pollutants in Antarctic seabirds and their foraging ecology as shown by δ 13 C and δ 15 N","type":"article-journal","volume":"573"},"uris":["http://www.mendeley.com/documents/?uuid=69693526-8fa9-3596-a685-a5f2684b41e3"]}],"mendeley":{"formattedCitation":"(Mello et al., 2016)","plainTextFormattedCitation":"(Mello et al., 2016)","previouslyFormattedCitation":"(Mello et al., 2016)"},"properties":{"noteIndex":0},"schema":"https://github.com/citation-style-language/schema/raw/master/csl-citation.json"}</w:instrText>
      </w:r>
      <w:r w:rsidR="00572D63" w:rsidRPr="00C21C15">
        <w:fldChar w:fldCharType="separate"/>
      </w:r>
      <w:r w:rsidR="00317534" w:rsidRPr="00317534">
        <w:rPr>
          <w:noProof/>
        </w:rPr>
        <w:t>(Mello et al., 2016)</w:t>
      </w:r>
      <w:r w:rsidR="00572D63" w:rsidRPr="00C21C15">
        <w:fldChar w:fldCharType="end"/>
      </w:r>
      <w:r w:rsidR="00434574">
        <w:t xml:space="preserve"> – petrels and prions tend to travel less further North and therefore are less directly exposed to industrial </w:t>
      </w:r>
      <w:r w:rsidR="00383B80">
        <w:t>chemicals</w:t>
      </w:r>
      <w:r w:rsidR="00B9649E">
        <w:t xml:space="preserve"> </w:t>
      </w:r>
      <w:r>
        <w:fldChar w:fldCharType="begin" w:fldLock="1"/>
      </w:r>
      <w:r w:rsidR="00317534">
        <w:instrText>ADDIN CSL_CITATION {"citationItems":[{"id":"ITEM-1","itemData":{"DOI":"10.1016/J.ENVRES.2016.04.005","ISSN":"0013-9351","abstract":"Studies on Persistent Organic Pollutants (POPs) in Antarctic wildlife are scarce, and usually limited to a single locality. As a result, wildlife exposure to POPs across the Southern Ocean is poorly understood. In this study, we report the differential exposure of the major southern ocean scavengers, the giant petrels, to POPs across a wide latitudinal gradient. Selected POPs (PCBs, HCB, DDTs, PBDEs) and related compounds, such as Dechlorane Plus (DP), were analyzed in plasma of southern giant petrels (Macronectes giganteus) breeding on Livingston (62°S 61°W, Antarctica), Marion (46°S 37°E, sub-Antarctic), and Gough (40°S 10°W, cool temperate) islands. Northern giant petrels (Macronectes halli) from Marion Island were also studied. Stable isotope ratios of C and N (δ13C and δ15N) were used as dietary tracers of the marine habitat and trophic level, respectively. Breeding locality was a major factor explaining petrel exposure to POPs compared with species and sex. Significant relationships between δ13C values and POP burdens, at both inter- and intra-population levels, support latitudinal variations in feeding grounds as a key factor in explaining petrel pollutant burdens. Overall, pollutant levels in giant petrels decreased significantly with latitude, but the relative abundance (%) of the more volatile POPs increased towards Antarctica. DP was found at negligible levels compared with legacy POPs in Antarctic seabirds. Spatial POP patterns found in giant petrels match those predicted by global distribution models, and reinforce the hypothesis of atmospheric long-range transport as the main source of POPs in Antarctica. Our results confirm that wildlife movements out of the polar region markedly increase their exposure to POPs. Therefore, strategies for Antarctic wildlife conservation should consider spatial heterogeneity in exposure to marine pollution. Of particular relevance is the need to clarify the exposure of Antarctic predators to emerging contaminants that are not yet globally regulated.","author":[{"dropping-particle":"","family":"Roscales","given":"Jose L.","non-dropping-particle":"","parse-names":false,"suffix":""},{"dropping-particle":"","family":"González-Solís","given":"Jacob","non-dropping-particle":"","parse-names":false,"suffix":""},{"dropping-particle":"","family":"Zango","given":"Laura","non-dropping-particle":"","parse-names":false,"suffix":""},{"dropping-particle":"","family":"Ryan","given":"Peter G.","non-dropping-particle":"","parse-names":false,"suffix":""},{"dropping-particle":"","family":"Jiménez","given":"Begoña","non-dropping-particle":"","parse-names":false,"suffix":""}],"container-title":"Environmental Research","id":"ITEM-1","issued":{"date-parts":[["2016","7","1"]]},"page":"285-294","publisher":"Academic Press","title":"Latitudinal exposure to DDTs, HCB, PCBs, PBDEs and DP in giant petrels (Macronectes spp.) across the Southern Ocean","type":"article-journal","volume":"148"},"uris":["http://www.mendeley.com/documents/?uuid=83f4bfee-8909-3fe9-98b7-2c08f915a6dc"]},{"id":"ITEM-2","itemData":{"DOI":"10.1016/J.SCITOTENV.2015.11.114","ISSN":"0048-9697","abstract":"Trace elements (n=14) and persistent organic pollutants (POPs, n=30) were measured in blood, liver, kidney, muscle and feathers of 10 Antarctic prions (Pachyptila desolata) from Kerguelen Islands, southern Indian Ocean, in order to assess their concentrations, tissue distribution, and inter-tissue and inter-contaminant relationships. Liver, kidney and feathers presented the highest burdens of arsenic, cadmium and mercury, respectively. Concentrations of cadmium, copper, iron, and zinc correlated in liver and muscle, suggesting that uptake and pathways of metabolism and storage were similar for these elements. The major POPs were 4,4′-DDE, mirex, PCB-153 and PCB-138. The concentrations and tissue distribution patterns of environmental contaminants were overall in accordance with previous results in other seabirds. Conversely, some Antarctic prions showed surprisingly high concentrations of BDE-209. This compound has been rarely observed in seabirds before, and its presence in Antarctic prions could be due to the species feeding habits or to the ingestion of plastic debris. Overall, the study shows that relatively lower trophic level seabirds (zooplankton-eaters) breeding in the remote southern Indian Ocean are exposed to a wide range of environmental contaminants, in particular cadmium, selenium and some emerging-POPs, which merits further toxicological investigations.","author":[{"dropping-particle":"","family":"Fromant","given":"Aymeric","non-dropping-particle":"","parse-names":false,"suffix":""},{"dropping-particle":"","family":"Carravieri","given":"Alice","non-dropping-particle":"","parse-names":false,"suffix":""},{"dropping-particle":"","family":"Bustamante","given":"Paco","non-dropping-particle":"","parse-names":false,"suffix":""},{"dropping-particle":"","family":"Labadie","given":"Pierre","non-dropping-particle":"","parse-names":false,"suffix":""},{"dropping-particle":"","family":"Budzinski","given":"Hélène","non-dropping-particle":"","parse-names":false,"suffix":""},{"dropping-particle":"","family":"Peluhet","given":"Laurent","non-dropping-particle":"","parse-names":false,"suffix":""},{"dropping-particle":"","family":"Churlaud","given":"Carine","non-dropping-particle":"","parse-names":false,"suffix":""},{"dropping-particle":"","family":"Chastel","given":"Olivier","non-dropping-particle":"","parse-names":false,"suffix":""},{"dropping-particle":"","family":"Cherel","given":"Yves","non-dropping-particle":"","parse-names":false,"suffix":""}],"container-title":"Science of The Total Environment","id":"ITEM-2","issued":{"date-parts":[["2016","2","15"]]},"page":"754-764","publisher":"Elsevier","title":"Wide range of metallic and organic contaminants in various tissues of the Antarctic prion, a planktonophagous seabird from the Southern Ocean","type":"article-journal","volume":"544"},"uris":["http://www.mendeley.com/documents/?uuid=0d769821-1b0f-3582-9b18-f91d27afbd1f"]}],"mendeley":{"formattedCitation":"(Fromant et al., 2016; Roscales et al., 2016)","plainTextFormattedCitation":"(Fromant et al., 2016; Roscales et al., 2016)","previouslyFormattedCitation":"(Fromant et al., 2016; Roscales et al., 2016)"},"properties":{"noteIndex":0},"schema":"https://github.com/citation-style-language/schema/raw/master/csl-citation.json"}</w:instrText>
      </w:r>
      <w:r>
        <w:fldChar w:fldCharType="separate"/>
      </w:r>
      <w:r w:rsidR="00317534" w:rsidRPr="00317534">
        <w:rPr>
          <w:noProof/>
        </w:rPr>
        <w:t>(Fromant et al., 2016; Roscales et al., 2016)</w:t>
      </w:r>
      <w:r>
        <w:fldChar w:fldCharType="end"/>
      </w:r>
      <w:r>
        <w:t xml:space="preserve">. </w:t>
      </w:r>
      <w:r w:rsidR="002807D5" w:rsidRPr="002807D5">
        <w:t xml:space="preserve">Composition of congeners is similar in all tissues of both species: the highest values are attributed to BDE-47 followed by BDE-153, BDE-154, BDE-99, and BDE-100. While </w:t>
      </w:r>
      <w:r w:rsidR="00B9649E">
        <w:t>concentrations</w:t>
      </w:r>
      <w:r w:rsidR="00CE6754" w:rsidRPr="002807D5">
        <w:t xml:space="preserve"> </w:t>
      </w:r>
      <w:r w:rsidR="002807D5" w:rsidRPr="002807D5">
        <w:t xml:space="preserve">of other congeners </w:t>
      </w:r>
      <w:r w:rsidR="00CE6754">
        <w:t>are</w:t>
      </w:r>
      <w:r w:rsidR="002807D5" w:rsidRPr="002807D5">
        <w:t xml:space="preserve"> minimal, they exhibit high </w:t>
      </w:r>
      <w:r w:rsidR="00CE6754">
        <w:t xml:space="preserve">variability as seen in their large </w:t>
      </w:r>
      <w:r w:rsidR="002807D5" w:rsidRPr="002807D5">
        <w:t>standard deviation</w:t>
      </w:r>
      <w:r w:rsidR="00CE6754">
        <w:t>s</w:t>
      </w:r>
      <w:r w:rsidR="002807D5" w:rsidRPr="002807D5">
        <w:t xml:space="preserve">. </w:t>
      </w:r>
      <w:r>
        <w:t xml:space="preserve">The presence of PBDE-183 in quantifiable concentrations </w:t>
      </w:r>
      <w:r w:rsidR="00DD2292">
        <w:t xml:space="preserve">has been suggested </w:t>
      </w:r>
      <w:r w:rsidR="00434574">
        <w:t xml:space="preserve">to </w:t>
      </w:r>
      <w:r>
        <w:t xml:space="preserve">occur due to </w:t>
      </w:r>
      <w:r w:rsidR="00434574">
        <w:t xml:space="preserve">direct </w:t>
      </w:r>
      <w:r>
        <w:t>exposure to decaBDE</w:t>
      </w:r>
      <w:r w:rsidR="00434574">
        <w:t>s</w:t>
      </w:r>
      <w:r>
        <w:t xml:space="preserve"> in Antarctica, and may be an indicator of emerging pollution of local seas by microplastics</w:t>
      </w:r>
      <w:r w:rsidR="00B9649E">
        <w:t xml:space="preserve"> </w:t>
      </w:r>
      <w:r>
        <w:fldChar w:fldCharType="begin" w:fldLock="1"/>
      </w:r>
      <w:r w:rsidR="00317534">
        <w:instrText>ADDIN CSL_CITATION {"citationItems":[{"id":"ITEM-1","itemData":{"DOI":"10.1016/J.SCITOTENV.2015.11.114","ISSN":"0048-9697","abstract":"Trace elements (n=14) and persistent organic pollutants (POPs, n=30) were measured in blood, liver, kidney, muscle and feathers of 10 Antarctic prions (Pachyptila desolata) from Kerguelen Islands, southern Indian Ocean, in order to assess their concentrations, tissue distribution, and inter-tissue and inter-contaminant relationships. Liver, kidney and feathers presented the highest burdens of arsenic, cadmium and mercury, respectively. Concentrations of cadmium, copper, iron, and zinc correlated in liver and muscle, suggesting that uptake and pathways of metabolism and storage were similar for these elements. The major POPs were 4,4′-DDE, mirex, PCB-153 and PCB-138. The concentrations and tissue distribution patterns of environmental contaminants were overall in accordance with previous results in other seabirds. Conversely, some Antarctic prions showed surprisingly high concentrations of BDE-209. This compound has been rarely observed in seabirds before, and its presence in Antarctic prions could be due to the species feeding habits or to the ingestion of plastic debris. Overall, the study shows that relatively lower trophic level seabirds (zooplankton-eaters) breeding in the remote southern Indian Ocean are exposed to a wide range of environmental contaminants, in particular cadmium, selenium and some emerging-POPs, which merits further toxicological investigations.","author":[{"dropping-particle":"","family":"Fromant","given":"Aymeric","non-dropping-particle":"","parse-names":false,"suffix":""},{"dropping-particle":"","family":"Carravieri","given":"Alice","non-dropping-particle":"","parse-names":false,"suffix":""},{"dropping-particle":"","family":"Bustamante","given":"Paco","non-dropping-particle":"","parse-names":false,"suffix":""},{"dropping-particle":"","family":"Labadie","given":"Pierre","non-dropping-particle":"","parse-names":false,"suffix":""},{"dropping-particle":"","family":"Budzinski","given":"Hélène","non-dropping-particle":"","parse-names":false,"suffix":""},{"dropping-particle":"","family":"Peluhet","given":"Laurent","non-dropping-particle":"","parse-names":false,"suffix":""},{"dropping-particle":"","family":"Churlaud","given":"Carine","non-dropping-particle":"","parse-names":false,"suffix":""},{"dropping-particle":"","family":"Chastel","given":"Olivier","non-dropping-particle":"","parse-names":false,"suffix":""},{"dropping-particle":"","family":"Cherel","given":"Yves","non-dropping-particle":"","parse-names":false,"suffix":""}],"container-title":"Science of The Total Environment","id":"ITEM-1","issued":{"date-parts":[["2016","2","15"]]},"page":"754-764","publisher":"Elsevier","title":"Wide range of metallic and organic contaminants in various tissues of the Antarctic prion, a planktonophagous seabird from the Southern Ocean","type":"article-journal","volume":"544"},"uris":["http://www.mendeley.com/documents/?uuid=0d769821-1b0f-3582-9b18-f91d27afbd1f"]}],"mendeley":{"formattedCitation":"(Fromant et al., 2016)","plainTextFormattedCitation":"(Fromant et al., 2016)","previouslyFormattedCitation":"(Fromant et al., 2016)"},"properties":{"noteIndex":0},"schema":"https://github.com/citation-style-language/schema/raw/master/csl-citation.json"}</w:instrText>
      </w:r>
      <w:r>
        <w:fldChar w:fldCharType="separate"/>
      </w:r>
      <w:r w:rsidR="00317534" w:rsidRPr="00317534">
        <w:rPr>
          <w:noProof/>
        </w:rPr>
        <w:t>(Fromant et al., 2016)</w:t>
      </w:r>
      <w:r>
        <w:fldChar w:fldCharType="end"/>
      </w:r>
      <w:r>
        <w:t xml:space="preserve">. </w:t>
      </w:r>
    </w:p>
    <w:p w14:paraId="26D2F7C7" w14:textId="6E744772" w:rsidR="00C21C15" w:rsidRPr="00C21C15" w:rsidRDefault="00C21C15" w:rsidP="00624C40">
      <w:pPr>
        <w:spacing w:line="360" w:lineRule="auto"/>
      </w:pPr>
      <w:r w:rsidRPr="00C21C15">
        <w:t>The MWW test</w:t>
      </w:r>
      <w:r w:rsidR="004F4860">
        <w:t xml:space="preserve"> (Appendix 4)</w:t>
      </w:r>
      <w:r w:rsidRPr="00C21C15">
        <w:t xml:space="preserve"> demonstrated significant differences between PBDE concentrations in </w:t>
      </w:r>
      <w:r w:rsidR="004D277E">
        <w:t xml:space="preserve">muscles of </w:t>
      </w:r>
      <w:r w:rsidR="00407134">
        <w:t>Skua</w:t>
      </w:r>
      <w:r w:rsidRPr="00C21C15">
        <w:t xml:space="preserve">s and </w:t>
      </w:r>
      <w:r w:rsidR="00407134">
        <w:t>Kelp</w:t>
      </w:r>
      <w:r w:rsidRPr="00C21C15">
        <w:t xml:space="preserve"> gulls</w:t>
      </w:r>
      <w:r w:rsidR="0031408C">
        <w:t xml:space="preserve">, which was the only </w:t>
      </w:r>
      <w:r w:rsidR="00734B89">
        <w:t>instance when significant differences were found in this study</w:t>
      </w:r>
      <w:r w:rsidRPr="00C21C15">
        <w:t xml:space="preserve">. Because </w:t>
      </w:r>
      <w:r w:rsidR="00407134">
        <w:t>Skua</w:t>
      </w:r>
      <w:r w:rsidRPr="00C21C15">
        <w:t xml:space="preserve">s tend to travel longer distances than </w:t>
      </w:r>
      <w:r w:rsidR="00407134">
        <w:t xml:space="preserve">Kelp </w:t>
      </w:r>
      <w:r w:rsidRPr="00C21C15">
        <w:t>gulls</w:t>
      </w:r>
      <w:r w:rsidR="00B9649E">
        <w:t xml:space="preserve"> </w:t>
      </w:r>
      <w:r w:rsidRPr="00C21C15">
        <w:fldChar w:fldCharType="begin" w:fldLock="1"/>
      </w:r>
      <w:r w:rsidR="00317534">
        <w:instrText>ADDIN CSL_CITATION {"citationItems":[{"id":"ITEM-1","itemData":{"DOI":"10.3354/meps11932","ISSN":"0171-8630","author":[{"dropping-particle":"","family":"Krietsch","given":"J","non-dropping-particle":"","parse-names":false,"suffix":""},{"dropping-particle":"","family":"Hahn","given":"S","non-dropping-particle":"","parse-names":false,"suffix":""},{"dropping-particle":"","family":"Kopp","given":"M","non-dropping-particle":"","parse-names":false,"suffix":""},{"dropping-particle":"","family":"Phillips","given":"RA","non-dropping-particle":"","parse-names":false,"suffix":""},{"dropping-particle":"","family":"Peter","given":"HU","non-dropping-particle":"","parse-names":false,"suffix":""},{"dropping-particle":"","family":"Lisovski","given":"S","non-dropping-particle":"","parse-names":false,"suffix":""}],"container-title":"Marine Ecology Progress Series","id":"ITEM-1","issued":{"date-parts":[["2017","8","31"]]},"page":"213-225","title":"Consistent variation in individual migration strategies of brown skuas","type":"article-journal","volume":"578"},"uris":["http://www.mendeley.com/documents/?uuid=a68af6fe-7f9a-3913-a9f4-66615652401a"]},{"id":"ITEM-2","itemData":{"DOI":"10.2307/1370066","ISSN":"00105422","abstract":"The Kelp Gull (Larus dominicanus) is an abundant and widely distributed species in coastal Patagonia, and has increased in number at many locations during the last decade. We present comparative information on diet composition between locations and diet variation throughout the breeding cycle at three Provincial Wildlife Reserves (Punta Pirámide, Punta León, and Punta Tombo), Chubut, Patagonia. We analyzed diet using regurgitated pellets. A total of 41 types of prey were identified at the three colonies. Kelp Gulls fed throughout the season mostly on intertidal invertebrates, although fish also was an important diet component, mainly during the chick stage. The diet also included garbage, insects, and other seabird offspring. Of all types of prey, 70.7% were common to the three locations, although the pattern of consumption of the main food categories differed among locations. The average consumption of garbage differed significantly among locations, with larger amounts of garbage in the diet the closer the colony to the nearest landfill. Kelp Gulls showed a marked seasonal variation in the consumption of the main food types. At Punta Tombo and Punta León, there was a change from a mostly marine invertebrate diet during the pre-laying and incubation stages to a mainly fish diet during the chick stage. The consumption of the main food categories was significantly different between seasons at Punta Pirámide but was similar at the other two colonies.","author":[{"dropping-particle":"","family":"Bertellotti","given":"Marcelo","non-dropping-particle":"","parse-names":false,"suffix":""},{"dropping-particle":"","family":"Yorio","given":"Pablo","non-dropping-particle":"","parse-names":false,"suffix":""}],"container-title":"The Condor","id":"ITEM-2","issue":"4","issued":{"date-parts":[["1999","11"]]},"page":"790-798","publisher":"American Ornithological Society","title":"Spatial and Temporal Patterns in the Diet of the Kelp Gull in Patagonia","type":"article-journal","volume":"101"},"uris":["http://www.mendeley.com/documents/?uuid=c3f22941-9ae5-3d5e-9cf7-ebedb1200ae2"]},{"id":"ITEM-3","itemData":{"DOI":"10.3354/meps09229","ISSN":"0171-8630","author":[{"dropping-particle":"","family":"Kopp","given":"M","non-dropping-particle":"","parse-names":false,"suffix":""},{"dropping-particle":"","family":"Peter","given":"HU","non-dropping-particle":"","parse-names":false,"suffix":""},{"dropping-particle":"","family":"Mustafa","given":"O","non-dropping-particle":"","parse-names":false,"suffix":""},{"dropping-particle":"","family":"Lisovski","given":"S","non-dropping-particle":"","parse-names":false,"suffix":""},{"dropping-particle":"","family":"Ritz","given":"MS","non-dropping-particle":"","parse-names":false,"suffix":""},{"dropping-particle":"","family":"Phillips","given":"RA","non-dropping-particle":"","parse-names":false,"suffix":""},{"dropping-particle":"","family":"Hahn","given":"S","non-dropping-particle":"","parse-names":false,"suffix":""}],"container-title":"Marine Ecology Progress Series","id":"ITEM-3","issued":{"date-parts":[["2011","8","22"]]},"page":"263-267","title":"South polar skuas from a single breeding population overwinter in different oceans though show similar migration patterns","type":"article-journal","volume":"435"},"uris":["http://www.mendeley.com/documents/?uuid=45b7d745-2ac2-3dc7-99db-276fcab59d37"]}],"mendeley":{"formattedCitation":"(Bertellotti and Yorio, 1999; Kopp et al., 2011; Krietsch et al., 2017)","plainTextFormattedCitation":"(Bertellotti and Yorio, 1999; Kopp et al., 2011; Krietsch et al., 2017)","previouslyFormattedCitation":"(Bertellotti and Yorio, 1999; Kopp et al., 2011; Krietsch et al., 2017)"},"properties":{"noteIndex":0},"schema":"https://github.com/citation-style-language/schema/raw/master/csl-citation.json"}</w:instrText>
      </w:r>
      <w:r w:rsidRPr="00C21C15">
        <w:fldChar w:fldCharType="separate"/>
      </w:r>
      <w:r w:rsidR="00317534" w:rsidRPr="00317534">
        <w:rPr>
          <w:noProof/>
        </w:rPr>
        <w:t>(Bertellotti and Yorio, 1999; Kopp et al., 2011; Krietsch et al., 2017)</w:t>
      </w:r>
      <w:r w:rsidRPr="00C21C15">
        <w:fldChar w:fldCharType="end"/>
      </w:r>
      <w:r w:rsidRPr="00C21C15">
        <w:t xml:space="preserve">, concentrations of PBDEs in the former can be expected to be higher. </w:t>
      </w:r>
    </w:p>
    <w:p w14:paraId="06785A53" w14:textId="30BC0A5C" w:rsidR="00C21C15" w:rsidRDefault="00C21C15">
      <w:pPr>
        <w:spacing w:line="360" w:lineRule="auto"/>
      </w:pPr>
      <w:r w:rsidRPr="00C21C15">
        <w:t xml:space="preserve">The second explanation may arise from different </w:t>
      </w:r>
      <w:r w:rsidR="00DD2292">
        <w:t>feeding</w:t>
      </w:r>
      <w:r w:rsidRPr="00C21C15">
        <w:t xml:space="preserve"> habits of the two birds species during their stay in South America. </w:t>
      </w:r>
      <w:r w:rsidR="00407134">
        <w:t>Skua</w:t>
      </w:r>
      <w:r w:rsidRPr="00C21C15">
        <w:t xml:space="preserve">s are more likely to forage on landfills and therefore to be exposed to industrial chemicals (such as PBDEs), while </w:t>
      </w:r>
      <w:r w:rsidR="00407134">
        <w:t>Kelp</w:t>
      </w:r>
      <w:r w:rsidRPr="00C21C15">
        <w:t xml:space="preserve"> gulls prefer to </w:t>
      </w:r>
      <w:r w:rsidR="00DD2292">
        <w:t>forage</w:t>
      </w:r>
      <w:r w:rsidRPr="00C21C15">
        <w:t xml:space="preserve"> </w:t>
      </w:r>
      <w:r w:rsidR="00DD2292">
        <w:t>in</w:t>
      </w:r>
      <w:r w:rsidRPr="00C21C15">
        <w:t xml:space="preserve"> agricultural </w:t>
      </w:r>
      <w:r w:rsidR="00DD2292">
        <w:t>areas</w:t>
      </w:r>
      <w:r w:rsidR="00B9649E">
        <w:t xml:space="preserve"> </w:t>
      </w:r>
      <w:r w:rsidRPr="00C21C15">
        <w:fldChar w:fldCharType="begin" w:fldLock="1"/>
      </w:r>
      <w:r w:rsidR="0065270F">
        <w:instrText>ADDIN CSL_CITATION {"citationItems":[{"id":"ITEM-1","itemData":{"DOI":"10.2307/1370066","ISSN":"00105422","abstract":"The Kelp Gull (Larus dominicanus) is an abundant and widely distributed species in coastal Patagonia, and has increased in number at many locations during the last decade. We present comparative information on diet composition between locations and diet variation throughout the breeding cycle at three Provincial Wildlife Reserves (Punta Pirámide, Punta León, and Punta Tombo), Chubut, Patagonia. We analyzed diet using regurgitated pellets. A total of 41 types of prey were identified at the three colonies. Kelp Gulls fed throughout the season mostly on intertidal invertebrates, although fish also was an important diet component, mainly during the chick stage. The diet also included garbage, insects, and other seabird offspring. Of all types of prey, 70.7% were common to the three locations, although the pattern of consumption of the main food categories differed among locations. The average consumption of garbage differed significantly among locations, with larger amounts of garbage in the diet the closer the colony to the nearest landfill. Kelp Gulls showed a marked seasonal variation in the consumption of the main food types. At Punta Tombo and Punta León, there was a change from a mostly marine invertebrate diet during the pre-laying and incubation stages to a mainly fish diet during the chick stage. The consumption of the main food categories was significantly different between seasons at Punta Pirámide but was similar at the other two colonies.","author":[{"dropping-particle":"","family":"Bertellotti","given":"Marcelo","non-dropping-particle":"","parse-names":false,"suffix":""},{"dropping-particle":"","family":"Yorio","given":"Pablo","non-dropping-particle":"","parse-names":false,"suffix":""}],"container-title":"The Condor","id":"ITEM-1","issue":"4","issued":{"date-parts":[["1999","11"]]},"page":"790-798","publisher":"American Ornithological Society","title":"Spatial and Temporal Patterns in the Diet of the Kelp Gull in Patagonia","type":"article-journal","volume":"101"},"uris":["http://www.mendeley.com/documents/?uuid=c3f22941-9ae5-3d5e-9cf7-ebedb1200ae2"]},{"id":"ITEM-2","itemData":{"ISSN":"1018-3337","abstract":"Vols. 16-17 (Dec. 1988-Dec. 1989) of print version published under the title: The Cormorant.","author":[{"dropping-particle":"","family":"Reinhardt","given":"K.","non-dropping-particle":"","parse-names":false,"suffix":""},{"dropping-particle":"","family":"Hahn","given":"S","non-dropping-particle":"","parse-names":false,"suffix":""},{"dropping-particle":"","family":"Peter","given":"HU","non-dropping-particle":"","parse-names":false,"suffix":""},{"dropping-particle":"","family":"Wemhoff","given":"H","non-dropping-particle":"","parse-names":false,"suffix":""}],"container-title":"Marine Ornithology","id":"ITEM-2","issued":{"date-parts":[["1988","4","15"]]},"page":"7-19","publisher":"African Seabird Group/Pacific Seabird Group","title":"A review of the diets of the Southern Hemisphere skuas","type":"article-journal","volume":"28"},"uris":["http://www.mendeley.com/documents/?uuid=e5b37ed5-d40c-33e5-a726-5ccfce53194e"]},{"id":"ITEM-3","itemData":{"DOI":"10.1007/s00300-002-0446-z","ISSN":"0722-4060","author":[{"dropping-particle":"","family":"Votier","given":"Stephen C.","non-dropping-particle":"","parse-names":false,"suffix":""},{"dropping-particle":"","family":"Bearhop","given":"Stuart","non-dropping-particle":"","parse-names":false,"suffix":""},{"dropping-particle":"","family":"MacCormick","given":"Aidan","non-dropping-particle":"","parse-names":false,"suffix":""},{"dropping-particle":"","family":"Ratcliffe","given":"Norman","non-dropping-particle":"","parse-names":false,"suffix":""},{"dropping-particle":"","family":"Furness","given":"Robert W.","non-dropping-particle":"","parse-names":false,"suffix":""}],"container-title":"Polar Biology","id":"ITEM-3","issue":"1","issued":{"date-parts":[["0"]]},"page":"20-26","publisher":"Springer-Verlag","title":"Assessing the diet of great skuas, Catharacta skua, using five different techniques","type":"article-journal","volume":"26"},"uris":["http://www.mendeley.com/documents/?uuid=1cc73b54-732b-3125-b0cb-ba639f0d7313"]},{"id":"ITEM-4","itemData":{"DOI":"10.1007/s00300-003-0522-z","ISSN":"0722-4060","author":[{"dropping-particle":"","family":"Hahn","given":"Steffen","non-dropping-particle":"","parse-names":false,"suffix":""},{"dropping-particle":"","family":"Peter","given":"Hans-Ulrich","non-dropping-particle":"","parse-names":false,"suffix":""}],"container-title":"Polar Biology","id":"ITEM-4","issue":"8","issued":{"date-parts":[["2003","8","1"]]},"page":"552-559","publisher":"Springer-Verlag","title":"Feeding territoriality and the reproductive consequences in brown skuas Catharacta antarctica lonnbergi","type":"article-journal","volume":"26"},"uris":["http://www.mendeley.com/documents/?uuid=3b154237-e9df-3891-a491-03705c661682"]}],"mendeley":{"formattedCitation":"(Bertellotti and Yorio, 1999; Hahn and Peter, 2003; Reinhardt et al., 1988; Votier et al., n.d.)","plainTextFormattedCitation":"(Bertellotti and Yorio, 1999; Hahn and Peter, 2003; Reinhardt et al., 1988; Votier et al., n.d.)","previouslyFormattedCitation":"(Bertellotti and Yorio, 1999; Hahn and Peter, 2003; Reinhardt et al., 1988; Votier et al., n.d.)"},"properties":{"noteIndex":0},"schema":"https://github.com/citation-style-language/schema/raw/master/csl-citation.json"}</w:instrText>
      </w:r>
      <w:r w:rsidRPr="00C21C15">
        <w:fldChar w:fldCharType="separate"/>
      </w:r>
      <w:r w:rsidR="0065270F" w:rsidRPr="0065270F">
        <w:rPr>
          <w:noProof/>
        </w:rPr>
        <w:t>(Bertellotti and Yorio, 1999; Hahn and Peter, 2003; Reinhardt et al., 1988; Votier et al., n.d.)</w:t>
      </w:r>
      <w:r w:rsidRPr="00C21C15">
        <w:fldChar w:fldCharType="end"/>
      </w:r>
      <w:r w:rsidR="00927324">
        <w:t>.</w:t>
      </w:r>
    </w:p>
    <w:p w14:paraId="41D6E544" w14:textId="77777777" w:rsidR="00FF14F3" w:rsidRDefault="007F5059" w:rsidP="00E45BDF">
      <w:r>
        <w:t>4</w:t>
      </w:r>
      <w:r w:rsidR="0024161F">
        <w:t>. Conclusions</w:t>
      </w:r>
      <w:r w:rsidR="00FC0687">
        <w:t xml:space="preserve"> </w:t>
      </w:r>
    </w:p>
    <w:p w14:paraId="6C263C97" w14:textId="42F285E6" w:rsidR="00AE5462" w:rsidRDefault="00625DB3" w:rsidP="009735B1">
      <w:pPr>
        <w:spacing w:line="360" w:lineRule="auto"/>
      </w:pPr>
      <w:r>
        <w:t>T</w:t>
      </w:r>
      <w:r w:rsidR="0024161F">
        <w:t xml:space="preserve">he present study provides an important baseline for </w:t>
      </w:r>
      <w:r w:rsidR="00DD2292">
        <w:t xml:space="preserve">any </w:t>
      </w:r>
      <w:r w:rsidR="0024161F">
        <w:t xml:space="preserve">future evaluation of trends of POPs in Antarctic </w:t>
      </w:r>
      <w:r w:rsidR="00AE5462">
        <w:t xml:space="preserve">marine </w:t>
      </w:r>
      <w:r w:rsidR="0024161F">
        <w:t xml:space="preserve">avian predators, </w:t>
      </w:r>
      <w:r w:rsidR="009A25B2">
        <w:t xml:space="preserve">near the Antarctic </w:t>
      </w:r>
      <w:r w:rsidR="00972740">
        <w:t>Peninsula</w:t>
      </w:r>
      <w:r w:rsidR="009A25B2">
        <w:t xml:space="preserve"> and the </w:t>
      </w:r>
      <w:r w:rsidR="00A81FC4">
        <w:t xml:space="preserve">Southern </w:t>
      </w:r>
      <w:r w:rsidR="00DD2292">
        <w:t>regions</w:t>
      </w:r>
      <w:r w:rsidR="00A81FC4">
        <w:t xml:space="preserve"> of </w:t>
      </w:r>
      <w:r w:rsidR="009A25B2">
        <w:t>South America</w:t>
      </w:r>
      <w:r w:rsidR="0024161F">
        <w:t xml:space="preserve">. The concentrations of PCBs, OCPs and PBDEs were </w:t>
      </w:r>
      <w:r w:rsidR="00A50B97">
        <w:t xml:space="preserve">generally </w:t>
      </w:r>
      <w:r w:rsidR="0024161F">
        <w:t xml:space="preserve">in good agreement with </w:t>
      </w:r>
      <w:r w:rsidR="00AE5462">
        <w:t>similar</w:t>
      </w:r>
      <w:r w:rsidR="0024161F">
        <w:t xml:space="preserve"> </w:t>
      </w:r>
      <w:r w:rsidR="008F0D36">
        <w:t xml:space="preserve">earlier </w:t>
      </w:r>
      <w:r w:rsidR="0024161F">
        <w:t>report</w:t>
      </w:r>
      <w:r w:rsidR="00AE5462">
        <w:t>s</w:t>
      </w:r>
      <w:r w:rsidR="0024161F">
        <w:t xml:space="preserve">. This study confirms that </w:t>
      </w:r>
      <w:r w:rsidR="00407134">
        <w:t>Skua</w:t>
      </w:r>
      <w:r w:rsidR="0024161F">
        <w:t xml:space="preserve">s and </w:t>
      </w:r>
      <w:r w:rsidR="00407134">
        <w:t>Kelp</w:t>
      </w:r>
      <w:r w:rsidR="0024161F">
        <w:t xml:space="preserve"> </w:t>
      </w:r>
      <w:r w:rsidR="00AE5462">
        <w:t xml:space="preserve">gulls </w:t>
      </w:r>
      <w:r w:rsidR="00934463">
        <w:t xml:space="preserve">are </w:t>
      </w:r>
      <w:r w:rsidR="0024161F">
        <w:t xml:space="preserve">still </w:t>
      </w:r>
      <w:r w:rsidR="00934463">
        <w:t>subjected to</w:t>
      </w:r>
      <w:r w:rsidR="00DD2292">
        <w:t xml:space="preserve"> </w:t>
      </w:r>
      <w:r w:rsidR="00981ACC">
        <w:t xml:space="preserve">direct exposure to POPs, </w:t>
      </w:r>
      <w:r w:rsidR="00A50B97">
        <w:t xml:space="preserve">whose </w:t>
      </w:r>
      <w:r w:rsidR="008F0D36">
        <w:t xml:space="preserve">concentration </w:t>
      </w:r>
      <w:r w:rsidR="00A50B97">
        <w:t xml:space="preserve">patterns are linked </w:t>
      </w:r>
      <w:r w:rsidR="00DD2292">
        <w:t xml:space="preserve">not only to environmental levels in the areas the birds are visiting, but also </w:t>
      </w:r>
      <w:r w:rsidR="00A50B97">
        <w:t xml:space="preserve">to the </w:t>
      </w:r>
      <w:r w:rsidR="00DD2292">
        <w:t>characteristic</w:t>
      </w:r>
      <w:r w:rsidR="00A50B97">
        <w:t xml:space="preserve"> ecological traits of </w:t>
      </w:r>
      <w:r w:rsidR="008F0D36">
        <w:t>each</w:t>
      </w:r>
      <w:r w:rsidR="00A50B97">
        <w:t xml:space="preserve"> species. </w:t>
      </w:r>
    </w:p>
    <w:p w14:paraId="11EF535C" w14:textId="77777777" w:rsidR="00DE1B85" w:rsidRDefault="00DE1B85" w:rsidP="009735B1">
      <w:pPr>
        <w:spacing w:line="360" w:lineRule="auto"/>
      </w:pPr>
      <w:r>
        <w:t>5. Acknowledgement</w:t>
      </w:r>
    </w:p>
    <w:p w14:paraId="255DB67B" w14:textId="7D3A22DE" w:rsidR="00DE1B85" w:rsidRDefault="00D46531" w:rsidP="009735B1">
      <w:pPr>
        <w:spacing w:line="360" w:lineRule="auto"/>
      </w:pPr>
      <w:r>
        <w:t xml:space="preserve">This project was funded by the Netherland Polar Programme of the </w:t>
      </w:r>
      <w:r w:rsidR="00DE1B85" w:rsidRPr="00DE1B85">
        <w:t>Netherlands Organisation for Scientific Research</w:t>
      </w:r>
      <w:r w:rsidR="00DE1B85">
        <w:t xml:space="preserve"> (NWO) </w:t>
      </w:r>
      <w:r>
        <w:t xml:space="preserve">(grant 866.14.104). The </w:t>
      </w:r>
      <w:r w:rsidR="00DE1B85">
        <w:t xml:space="preserve">British Antarctic Survey (BAS) </w:t>
      </w:r>
      <w:r>
        <w:t xml:space="preserve">is acknowledged </w:t>
      </w:r>
      <w:r w:rsidR="00DE1B85">
        <w:t xml:space="preserve">for </w:t>
      </w:r>
      <w:r w:rsidR="00A57200">
        <w:t>general</w:t>
      </w:r>
      <w:r w:rsidR="00DE1B85">
        <w:t xml:space="preserve"> support.</w:t>
      </w:r>
      <w:r w:rsidR="000102DB">
        <w:t xml:space="preserve"> We thank personnel of Rothera Station</w:t>
      </w:r>
      <w:r w:rsidR="009C7491">
        <w:t xml:space="preserve"> for helping</w:t>
      </w:r>
      <w:r w:rsidR="000102DB">
        <w:t xml:space="preserve"> with </w:t>
      </w:r>
      <w:r w:rsidR="009C7491">
        <w:t xml:space="preserve">the </w:t>
      </w:r>
      <w:r w:rsidR="000102DB">
        <w:t>collection</w:t>
      </w:r>
      <w:r w:rsidR="009C7491">
        <w:t xml:space="preserve"> of the samples</w:t>
      </w:r>
      <w:r w:rsidR="000102DB">
        <w:t xml:space="preserve">.   </w:t>
      </w:r>
    </w:p>
    <w:p w14:paraId="172E6028" w14:textId="77777777" w:rsidR="008F0D36" w:rsidRDefault="002A45FB" w:rsidP="00624C40">
      <w:r>
        <w:br w:type="page"/>
      </w:r>
    </w:p>
    <w:p w14:paraId="692B9F58" w14:textId="77777777" w:rsidR="00FF14F3" w:rsidRDefault="00FF14F3" w:rsidP="00E02605">
      <w:pPr>
        <w:widowControl w:val="0"/>
        <w:autoSpaceDE w:val="0"/>
        <w:autoSpaceDN w:val="0"/>
        <w:adjustRightInd w:val="0"/>
        <w:spacing w:line="360" w:lineRule="auto"/>
      </w:pPr>
    </w:p>
    <w:p w14:paraId="498CD161" w14:textId="77777777" w:rsidR="0065270F" w:rsidRPr="0065270F" w:rsidRDefault="00FF14F3" w:rsidP="0065270F">
      <w:pPr>
        <w:widowControl w:val="0"/>
        <w:autoSpaceDE w:val="0"/>
        <w:autoSpaceDN w:val="0"/>
        <w:adjustRightInd w:val="0"/>
        <w:spacing w:line="360" w:lineRule="auto"/>
        <w:ind w:left="480" w:hanging="480"/>
        <w:rPr>
          <w:rFonts w:cs="Times New Roman"/>
          <w:noProof/>
          <w:sz w:val="16"/>
          <w:szCs w:val="24"/>
        </w:rPr>
      </w:pPr>
      <w:r>
        <w:fldChar w:fldCharType="begin" w:fldLock="1"/>
      </w:r>
      <w:r w:rsidRPr="00A57200">
        <w:instrText xml:space="preserve">ADDIN Mendeley Bibliography CSL_BIBLIOGRAPHY </w:instrText>
      </w:r>
      <w:r>
        <w:fldChar w:fldCharType="separate"/>
      </w:r>
      <w:r w:rsidR="0065270F" w:rsidRPr="0065270F">
        <w:rPr>
          <w:rFonts w:cs="Times New Roman"/>
          <w:noProof/>
          <w:sz w:val="16"/>
          <w:szCs w:val="24"/>
        </w:rPr>
        <w:t>Bargagli, R., 2008. Environmental contamination in Antarctic ecosystems. Sci. Total Environ. 400, 212–226. https://doi.org/10.1016/j.scitotenv.2008.06.062</w:t>
      </w:r>
    </w:p>
    <w:p w14:paraId="3A494AFC"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Battaglia, B. (Bruno), Valencia, J. (José), Walton, D.W.H., 1997. Antarctic communities : species, structure and survival. CAMBRIDGE UNIVERSITY PRESS, NEW YORK, NY (USA).</w:t>
      </w:r>
    </w:p>
    <w:p w14:paraId="28CE69BC"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Bertellotti, M., Yorio, P., 1999. Spatial and Temporal Patterns in the Diet of the Kelp Gull in Patagonia. Condor 101, 790–798. https://doi.org/10.2307/1370066</w:t>
      </w:r>
    </w:p>
    <w:p w14:paraId="11BB1004"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Bourgeon, S., Leat, E.H.K., Magnusdóttir, E., Fisk, A.T., Furness, R.W., Strøm, H., Hanssen, S.A., Petersen, Æ., Olafsdóttir, K., Borgå, K., Gabrielsen, G.W., Bustnes, J.O., 2012. Individual variation in biomarkers of health: Influence of persistent organic pollutants in Great skuas (Stercorarius skua) breeding at different geographical locations. Environ. Res. 118, 31–39. https://doi.org/10.1016/J.ENVRES.2012.08.004</w:t>
      </w:r>
    </w:p>
    <w:p w14:paraId="50621E34"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Brisbois, B.W., 2014. Epidemiology and ‘developing countries’: Writing pesticides, poverty and political engagement in Latin America. Soc. Stud. Sci. 44, 600–624. https://doi.org/10.1177/0306312714523514</w:t>
      </w:r>
    </w:p>
    <w:p w14:paraId="5F2D85EF"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Carravieri, A., Cherel, Y., Brault-Favrou, M., Churlaud, C., Peluhet, L., Labadie, P., Budzinski, H., Chastel, O., Bustamante, P., 2017. From Antarctica to the subtropics: Contrasted geographical concentrations of selenium, mercury, and persistent organic pollutants in skua chicks (Catharacta spp.). Environ. Pollut. 228, 464–473. https://doi.org/10.1016/J.ENVPOL.2017.05.053</w:t>
      </w:r>
    </w:p>
    <w:p w14:paraId="707801E1"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Carvalho, F.P., 2017. Pesticides, environment, and food safety. Food Energy Secur. 6, 48–60. https://doi.org/10.1002/fes3.108</w:t>
      </w:r>
    </w:p>
    <w:p w14:paraId="46ED0FB2"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Cipro, C.V.Z., Colabuono, F.I., Taniguchi, S., Montone, R.C., 2013. Persistent organic pollutants in bird, fish and invertebrate samples from King George Island, Antarctica. Antarct. Sci. 25, 545–552. https://doi.org/10.1017/S0954102012001149</w:t>
      </w:r>
    </w:p>
    <w:p w14:paraId="0F7FFC5B"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Colabuono, F.I., Taniguchi, S., Petry, M. V., Montone, R.C., 2015. Organochlorine contaminants and polybrominated diphenyl ethers in eggs and embryos of Antarctic birds. Antarct. Sci. 27, 355–361. https://doi.org/10.1017/S0954102014000807</w:t>
      </w:r>
    </w:p>
    <w:p w14:paraId="3C00D69F"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Colabuono, F.I., Vander Pol, S.S., Huncik, K.M., Taniguchi, S., Petry, M. V., Kucklick, J.R., Montone, R.C., 2016. Persistent organic pollutants in blood samples of Southern Giant Petrels ( Macronectes giganteus ) from the South Shetland Islands, Antarctica. Environ. Pollut. 216, 38–45. https://doi.org/10.1016/j.envpol.2016.05.041</w:t>
      </w:r>
    </w:p>
    <w:p w14:paraId="07366802"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Constable, A.J., Melbourne-Thomas, J., Corney, S.P., Arrigo, K.R., Barbraud, C., Barnes, D.K.A., Bindoff, N.L., Boyd, P.W., Brandt, A., Costa, D.P., Davidson, A.T., Ducklow, H.W., Emmerson, L., Fukuchi, M., Gutt, J., Hindell, M.A., Hofmann, E.E., Hosie, G.W., Iida, T., Jacob, S., Johnston, N.M., Kawaguchi, S., Kokubun, N., Koubbi, P., Lea, M.-A., Makhado, A., Massom, R.A., Meiners, K., Meredith, M.P., Murphy, E.J., Nicol, S., Reid, K., Richerson, K., Riddle, M.J., Rintoul, S.R., Smith, W.O., Southwell, C., Stark, J.S., Sumner, M., Swadling, K.M., Takahashi, K.T., Trathan, P.N., Welsford, D.C., Weimerskirch, H., Westwood, K.J., Wienecke, B.C., Wolf-Gladrow, D., Wright, S.W., Xavier, J.C., Ziegler, P., 2014. Climate change and Southern Ocean ecosystems I: how changes in physical habitats directly affect marine biota. Glob. Chang. Biol. 20, 3004–3025. https://doi.org/10.1111/gcb.12623</w:t>
      </w:r>
    </w:p>
    <w:p w14:paraId="4D40CAD3"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Corsolini, S., Ademollo, N., Martellini, T., Randazzo, D., Vacchi, M., Cincinelli, A., 2017. Legacy persistent organic pollutants including PBDEs in the trophic web of the Ross Sea (Antarctica). Chemosphere 185, 699–708. https://doi.org/10.1016/j.chemosphere.2017.07.054</w:t>
      </w:r>
    </w:p>
    <w:p w14:paraId="49B1E009"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Corsolini, S., Borghesi, N., Ademollo, N., Focardi, S., 2011. Chlorinated biphenyls and pesticides in migrating and resident seabirds from East and West Antarctica. Environ. Int. 37, 1329–1335. https://doi.org/10.1016/j.envint.2011.05.017</w:t>
      </w:r>
    </w:p>
    <w:p w14:paraId="47EC9BE0"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 xml:space="preserve">Coulson, R., Coulson, G., 1993. Diets of the Pacific Gull </w:t>
      </w:r>
      <w:r w:rsidRPr="0065270F">
        <w:rPr>
          <w:rFonts w:cs="Times New Roman"/>
          <w:i/>
          <w:iCs/>
          <w:noProof/>
          <w:sz w:val="16"/>
          <w:szCs w:val="24"/>
        </w:rPr>
        <w:t>Larus pacificus</w:t>
      </w:r>
      <w:r w:rsidRPr="0065270F">
        <w:rPr>
          <w:rFonts w:cs="Times New Roman"/>
          <w:noProof/>
          <w:sz w:val="16"/>
          <w:szCs w:val="24"/>
        </w:rPr>
        <w:t xml:space="preserve"> and the Kelp Gull </w:t>
      </w:r>
      <w:r w:rsidRPr="0065270F">
        <w:rPr>
          <w:rFonts w:cs="Times New Roman"/>
          <w:i/>
          <w:iCs/>
          <w:noProof/>
          <w:sz w:val="16"/>
          <w:szCs w:val="24"/>
        </w:rPr>
        <w:t>Larus dominicanus</w:t>
      </w:r>
      <w:r w:rsidRPr="0065270F">
        <w:rPr>
          <w:rFonts w:cs="Times New Roman"/>
          <w:noProof/>
          <w:sz w:val="16"/>
          <w:szCs w:val="24"/>
        </w:rPr>
        <w:t xml:space="preserve"> in Tasmania. Emu - Austral Ornithol. 93, 50–53. https://doi.org/10.1071/MU9930050</w:t>
      </w:r>
    </w:p>
    <w:p w14:paraId="5B24BBB6"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Court, G.S., Davis, L.S., Focardi, S., Bargargli, R., Fossi, C., Leonzio, C., Marili, L., 1997. Chlorinated hydrocarbons in the tissues of South Polar Skuas (Catharacta maccormicki) and Adélie Penguins (Pygoscelis adeliea) from Ross Sea, Antarctica. Environ. Pollut. 97, 295–301. https://doi.org/10.1016/S0269-7491(97)00080-8</w:t>
      </w:r>
    </w:p>
    <w:p w14:paraId="2B421F11"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Eisler, R., 1990. Chlordane Hazards to Fish, Wildlife, and Invertebrates:  A Synoptic Review. Contam. Hazard Rev.</w:t>
      </w:r>
    </w:p>
    <w:p w14:paraId="22AEA2DF"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European Committee for Standardization CEN/TC 327, 2012. EN 16215:2012. Animal feeding stuffs - Determination of dioxins and dioxin-like PCBs by GC/HRMS and of indicator PCBs by GC/HRMS.</w:t>
      </w:r>
    </w:p>
    <w:p w14:paraId="20AB1ABB"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Focardi, S., Fossi, M.C., Leonzio, C., Lari, L., Marsili, L., Court, G.S., Davis, L.S., 1992. Mixed function oxidase activity and chlorinated hydrocarbon residues in antarctic sea birds: South polar skua (Catharacta maccormicki) and adélie penguin (Pygoscelis adeliae). Mar. Environ. Res. 34, 201–205. https://doi.org/10.1016/0141-1136(92)90108-X</w:t>
      </w:r>
    </w:p>
    <w:p w14:paraId="5F2D49FA"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Fromant, A., Carravieri, A., Bustamante, P., Labadie, P., Budzinski, H., Peluhet, L., Churlaud, C., Chastel, O., Cherel, Y., 2016. Wide range of metallic and organic contaminants in various tissues of the Antarctic prion, a planktonophagous seabird from the Southern Ocean. Sci. Total Environ. 544, 754–764. https://doi.org/10.1016/J.SCITOTENV.2015.11.114</w:t>
      </w:r>
    </w:p>
    <w:p w14:paraId="677BF80D" w14:textId="77777777" w:rsidR="0065270F" w:rsidRPr="003C4CDC" w:rsidRDefault="0065270F" w:rsidP="0065270F">
      <w:pPr>
        <w:widowControl w:val="0"/>
        <w:autoSpaceDE w:val="0"/>
        <w:autoSpaceDN w:val="0"/>
        <w:adjustRightInd w:val="0"/>
        <w:spacing w:line="360" w:lineRule="auto"/>
        <w:ind w:left="480" w:hanging="480"/>
        <w:rPr>
          <w:rFonts w:cs="Times New Roman"/>
          <w:noProof/>
          <w:sz w:val="16"/>
          <w:szCs w:val="24"/>
          <w:lang w:val="nl-NL"/>
        </w:rPr>
      </w:pPr>
      <w:r w:rsidRPr="0065270F">
        <w:rPr>
          <w:rFonts w:cs="Times New Roman"/>
          <w:noProof/>
          <w:sz w:val="16"/>
          <w:szCs w:val="24"/>
        </w:rPr>
        <w:t xml:space="preserve">Furness, R.W., Hislop, J.R.G., 2009. Diets and feeding ecology of Great skuas Catharacta skua during the. </w:t>
      </w:r>
      <w:r w:rsidRPr="003C4CDC">
        <w:rPr>
          <w:rFonts w:cs="Times New Roman"/>
          <w:noProof/>
          <w:sz w:val="16"/>
          <w:szCs w:val="24"/>
          <w:lang w:val="nl-NL"/>
        </w:rPr>
        <w:t>J. Zool. 195, 1–23. https://doi.org/10.1111/j.1469-7998.1981.tb01890.x</w:t>
      </w:r>
    </w:p>
    <w:p w14:paraId="19E7EAB5"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3C4CDC">
        <w:rPr>
          <w:rFonts w:cs="Times New Roman"/>
          <w:noProof/>
          <w:sz w:val="16"/>
          <w:szCs w:val="24"/>
          <w:lang w:val="nl-NL"/>
        </w:rPr>
        <w:t xml:space="preserve">Gavrilescu, M., 2005. </w:t>
      </w:r>
      <w:r w:rsidRPr="0065270F">
        <w:rPr>
          <w:rFonts w:cs="Times New Roman"/>
          <w:noProof/>
          <w:sz w:val="16"/>
          <w:szCs w:val="24"/>
        </w:rPr>
        <w:t>Fate of Pesticides in the Environment and its Bioremediation. Eng. Life Sci. 5, 497–526. https://doi.org/10.1002/elsc.200520098</w:t>
      </w:r>
    </w:p>
    <w:p w14:paraId="7123EF60"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Haddad, S., Poulin, P., Krishnan, K., 2000. Relative lipid content as the sole mechanistic determinant of the adipose tissue:blood partition coefficients of highly lipophilic organic chemicals. Chemosphere 40, 839–843. https://doi.org/10.1016/S0045-6535(99)00279-9</w:t>
      </w:r>
    </w:p>
    <w:p w14:paraId="0AA33CF9"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Hahn, S., Bauer, S., 2008. Dominance in feeding territories relates to foraging success and offspring growth in brown skuas Catharacta antarctica lonnbergi. Behav. Ecol. Sociobiol. 62, 1149–1157. https://doi.org/10.1007/s00265-007-0543-7</w:t>
      </w:r>
    </w:p>
    <w:p w14:paraId="3366E31E"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Hahn, S., Peter, H.-U., 2003. Feeding territoriality and the reproductive consequences in brown skuas Catharacta antarctica lonnbergi. Polar Biol. 26, 552–559. https://doi.org/10.1007/s00300-003-0522-z</w:t>
      </w:r>
    </w:p>
    <w:p w14:paraId="0D23B464"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Harrison, P., 1991. Seabirds : an indentification guide. Houghton Mifflin.</w:t>
      </w:r>
    </w:p>
    <w:p w14:paraId="2DCC268A" w14:textId="77777777" w:rsidR="0065270F" w:rsidRPr="003C4CDC" w:rsidRDefault="0065270F" w:rsidP="0065270F">
      <w:pPr>
        <w:widowControl w:val="0"/>
        <w:autoSpaceDE w:val="0"/>
        <w:autoSpaceDN w:val="0"/>
        <w:adjustRightInd w:val="0"/>
        <w:spacing w:line="360" w:lineRule="auto"/>
        <w:ind w:left="480" w:hanging="480"/>
        <w:rPr>
          <w:rFonts w:cs="Times New Roman"/>
          <w:noProof/>
          <w:sz w:val="16"/>
          <w:szCs w:val="24"/>
          <w:lang w:val="nl-NL"/>
        </w:rPr>
      </w:pPr>
      <w:r w:rsidRPr="0065270F">
        <w:rPr>
          <w:rFonts w:cs="Times New Roman"/>
          <w:noProof/>
          <w:sz w:val="16"/>
          <w:szCs w:val="24"/>
        </w:rPr>
        <w:t xml:space="preserve">Hjorth, K., Johansen, K., Holen, B., Andersson, A., Christensen, H.B., Siivinen, K., Toome, M., 2011. Pesticide residues in fruits and vegetables from South America – A Nordic project. </w:t>
      </w:r>
      <w:r w:rsidRPr="003C4CDC">
        <w:rPr>
          <w:rFonts w:cs="Times New Roman"/>
          <w:noProof/>
          <w:sz w:val="16"/>
          <w:szCs w:val="24"/>
          <w:lang w:val="nl-NL"/>
        </w:rPr>
        <w:t>Food Control 22, 1701–1706. https://doi.org/10.1016/J.FOODCONT.2010.05.017</w:t>
      </w:r>
    </w:p>
    <w:p w14:paraId="0BEF372E"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3C4CDC">
        <w:rPr>
          <w:rFonts w:cs="Times New Roman"/>
          <w:noProof/>
          <w:sz w:val="16"/>
          <w:szCs w:val="24"/>
          <w:lang w:val="nl-NL"/>
        </w:rPr>
        <w:t xml:space="preserve">Jaspers, V.L.B., Covaci, A., Voorspoels, S., Dauwe, T., Eens, M., Schepens, P., 2006. </w:t>
      </w:r>
      <w:r w:rsidRPr="0065270F">
        <w:rPr>
          <w:rFonts w:cs="Times New Roman"/>
          <w:noProof/>
          <w:sz w:val="16"/>
          <w:szCs w:val="24"/>
        </w:rPr>
        <w:t>Brominated flame retardants and organochlorine pollutants in aquatic and terrestrial predatory birds of Belgium: levels, patterns, tissue distribution and condition factors. Environ. Pollut. 139, 340–352. https://doi.org/10.1016/J.ENVPOL.2005.05.008</w:t>
      </w:r>
    </w:p>
    <w:p w14:paraId="73249847"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Joyce, S., 1997. Growing pains in South America. Environ. Health Perspect. 105, 794–9.</w:t>
      </w:r>
    </w:p>
    <w:p w14:paraId="5DF2E150"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Kim, J.-T., Son, M.-H., Kang, J.-H., Kim, J.-H., Jung, J.-W., Chang, Y.-S., 2015. Occurrence of Legacy and New Persistent Organic Pollutants in Avian Tissues from King George Island, Antarctica. Environ. Sci. Technol. 49, 13628–13638. https://doi.org/10.1021/acs.est.5b03181</w:t>
      </w:r>
    </w:p>
    <w:p w14:paraId="49BAAE47"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Kopp, M., Peter, H., Mustafa, O., Lisovski, S., Ritz, M., Phillips, R., Hahn, S., 2011. South polar skuas from a single breeding population overwinter in different oceans though show similar migration patterns. Mar. Ecol. Prog. Ser. 435, 263–267. https://doi.org/10.3354/meps09229</w:t>
      </w:r>
    </w:p>
    <w:p w14:paraId="19BCA912"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Krietsch, J., Hahn, S., Kopp, M., Phillips, R., Peter, H., Lisovski, S., 2017. Consistent variation in individual migration strategies of brown skuas. Mar. Ecol. Prog. Ser. 578, 213–225. https://doi.org/10.3354/meps11932</w:t>
      </w:r>
    </w:p>
    <w:p w14:paraId="75AED1C1"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Kristine L. Willett, Elin M. Ulrich,  and, Hites*, R.A., 1998. Differential Toxicity and Environmental Fates of Hexachlorocyclohexane Isomers. https://doi.org/10.1021/ES9708530</w:t>
      </w:r>
    </w:p>
    <w:p w14:paraId="4EB1DE7C"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Kumar, K.S., Kannan, K., Corsolini, S., Evans, T., Giesy, J.P., Nakanishi, J., Masunaga, S., 2002. Polychlorinated dibenzo-p-dioxins, dibenzofurans and polychlorinated biphenyls in polar bear, penguin and south polar skua. Environ. Pollut. 119, 151–161. https://doi.org/10.1016/S0269-7491(01)00332-3</w:t>
      </w:r>
    </w:p>
    <w:p w14:paraId="18B1212D"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Listing of POPs in the Stockholm Convention [WWW Document], n.d. URL http://chm.pops.int/TheConvention/ThePOPs/AllPOPs/tabid/2509/Default.aspx (accessed 12.21.17).</w:t>
      </w:r>
    </w:p>
    <w:p w14:paraId="5E5284ED"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3C4CDC">
        <w:rPr>
          <w:rFonts w:cs="Times New Roman"/>
          <w:noProof/>
          <w:sz w:val="16"/>
          <w:szCs w:val="24"/>
          <w:lang w:val="nl-NL"/>
        </w:rPr>
        <w:t xml:space="preserve">Maervoet, J., Chu, S.G., De Vos, Covaci, A., Voorspoels, S., De Schrijver, Schepens, P., 2004. </w:t>
      </w:r>
      <w:r w:rsidRPr="0065270F">
        <w:rPr>
          <w:rFonts w:cs="Times New Roman"/>
          <w:noProof/>
          <w:sz w:val="16"/>
          <w:szCs w:val="24"/>
        </w:rPr>
        <w:t>Accumulation and tissue distribution of selected polychlorinated biphenyl congeners in chickens. Chemosphere 57, 61–66. https://doi.org/10.1016/J.CHEMOSPHERE.2004.06.015</w:t>
      </w:r>
    </w:p>
    <w:p w14:paraId="1EC2602D"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Martínez-López, E., Espín, S., Barbar, F., Lambertucci, S.A., Gómez-Ramírez, P., García-Fernández, A., 2015. Contaminants in the southern tip of South America: Analysis of organochlorine compounds in feathers of avian scavengers from Argentinean Patagonia. Ecotoxicol. Environ. Saf. 115, 83–92. https://doi.org/10.1016/J.ECOENV.2015.02.011</w:t>
      </w:r>
    </w:p>
    <w:p w14:paraId="21F05D4A"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Mello, F. V., Roscales, J.L., Guida, Y.S., Menezes, J.F.S., Vicente, A., Costa, E.S., Jiménez, B., Torres, J.P.M., 2016. Relationship between legacy and emerging organic pollutants in Antarctic seabirds and their foraging ecology as shown by δ 13 C and δ 15 N. Sci. Total Environ. 573, 1380–1389. https://doi.org/10.1016/j.scitotenv.2016.07.080</w:t>
      </w:r>
    </w:p>
    <w:p w14:paraId="1D37A98A"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Micol, T., Jouventin, P., 2001. Long-term population trends in seven Antarctic seabirds at Pointe Géologie (Terre Adélie). Polar Biol. 24, 175–185. https://doi.org/10.1007/s003000000193</w:t>
      </w:r>
    </w:p>
    <w:p w14:paraId="7B6FDBCF"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Montone, R.C., Taniguchi, S., Colabuono, F.I., Martins, C.C., Cipro, C.V.Z., Barroso, H.S., da Silva, J., Bícego, M.C., Weber, R.R., 2016. Persistent organic pollutants and polycyclic aromatic hydrocarbons in penguins of the genus Pygoscelis in Admiralty Bay — An Antarctic specially managed area. Mar. Pollut. Bull. 106, 377–382. https://doi.org/10.1016/j.marpolbul.2016.02.047</w:t>
      </w:r>
    </w:p>
    <w:p w14:paraId="0D509BBF"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Norheim, G., Sømme, L., Holt, G., 1982. Mercury and persistent chlorinated hydrocarbons in antarctic birds from bouvetøya and dronning maud land. Environ. Pollut. Ser. A, Ecol. Biol. 28, 233–240. https://doi.org/10.1016/0143-1471(82)90079-4</w:t>
      </w:r>
    </w:p>
    <w:p w14:paraId="6873B87D"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Noyes, P.D., McElwee, M.K., Miller, H.D., Clark, B.W., Van Tiem, L.A., Walcott, K.C., Erwin, K.N., Levin, E.D., 2009. The toxicology of climate change: Environmental contaminants in a warming world. Environ. Int. 35, 971–986. https://doi.org/10.1016/j.envint.2009.02.006</w:t>
      </w:r>
    </w:p>
    <w:p w14:paraId="3A7985E7" w14:textId="77777777" w:rsidR="0065270F" w:rsidRPr="003C4CDC" w:rsidRDefault="0065270F" w:rsidP="0065270F">
      <w:pPr>
        <w:widowControl w:val="0"/>
        <w:autoSpaceDE w:val="0"/>
        <w:autoSpaceDN w:val="0"/>
        <w:adjustRightInd w:val="0"/>
        <w:spacing w:line="360" w:lineRule="auto"/>
        <w:ind w:left="480" w:hanging="480"/>
        <w:rPr>
          <w:rFonts w:cs="Times New Roman"/>
          <w:noProof/>
          <w:sz w:val="16"/>
          <w:szCs w:val="24"/>
          <w:lang w:val="de-DE"/>
        </w:rPr>
      </w:pPr>
      <w:r w:rsidRPr="0065270F">
        <w:rPr>
          <w:rFonts w:cs="Times New Roman"/>
          <w:noProof/>
          <w:sz w:val="16"/>
          <w:szCs w:val="24"/>
        </w:rPr>
        <w:t xml:space="preserve">Pozo, K., Urrutia, R., Mariottini, M., Rudolph, A., Banguera, J., Pozo, K., Parra, O., Focardi, S., 2014. Levels of Persistent Organic Pollutants (POPs) in sediments from Lenga estuary, central Chile. </w:t>
      </w:r>
      <w:r w:rsidRPr="003C4CDC">
        <w:rPr>
          <w:rFonts w:cs="Times New Roman"/>
          <w:noProof/>
          <w:sz w:val="16"/>
          <w:szCs w:val="24"/>
          <w:lang w:val="de-DE"/>
        </w:rPr>
        <w:t>Mar. Pollut. Bull. 79, 338–341. https://doi.org/10.1016/j.marpolbul.2013.11.031</w:t>
      </w:r>
    </w:p>
    <w:p w14:paraId="6312B75F"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3C4CDC">
        <w:rPr>
          <w:rFonts w:cs="Times New Roman"/>
          <w:noProof/>
          <w:sz w:val="16"/>
          <w:szCs w:val="24"/>
          <w:lang w:val="de-DE"/>
        </w:rPr>
        <w:t xml:space="preserve">Reinhardt, K., Hahn, S., Peter, H., Wemhoff, H., 1988. </w:t>
      </w:r>
      <w:r w:rsidRPr="0065270F">
        <w:rPr>
          <w:rFonts w:cs="Times New Roman"/>
          <w:noProof/>
          <w:sz w:val="16"/>
          <w:szCs w:val="24"/>
        </w:rPr>
        <w:t>A review of the diets of the Southern Hemisphere skuas. Mar. Ornithol. 28, 7–19.</w:t>
      </w:r>
    </w:p>
    <w:p w14:paraId="6011AA26"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Risebrough, R.W., Rieche, P., Peakalll, D.B., Herman, S.G., Kirven, M.N., 1968. Polychlorinated Biphenyls in the Global Ecosystem. Nature 220, 1098–1102. https://doi.org/10.1038/2201098a0</w:t>
      </w:r>
    </w:p>
    <w:p w14:paraId="20B97090"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3C4CDC">
        <w:rPr>
          <w:rFonts w:cs="Times New Roman"/>
          <w:noProof/>
          <w:sz w:val="16"/>
          <w:szCs w:val="24"/>
          <w:lang w:val="de-DE"/>
        </w:rPr>
        <w:t xml:space="preserve">Ritz, M.S., Hahn, S., Janicke, T., Peter, H.-U., 2006. </w:t>
      </w:r>
      <w:r w:rsidRPr="0065270F">
        <w:rPr>
          <w:rFonts w:cs="Times New Roman"/>
          <w:noProof/>
          <w:sz w:val="16"/>
          <w:szCs w:val="24"/>
        </w:rPr>
        <w:t>Hybridisation between South polar skua (Catharacta maccormicki) and Brown skua (C. antarctica lonnbergi) in the Antarctic Peninsula region. Polar Biol. 29, 153–159. https://doi.org/10.1007/s00300-005-0034-0</w:t>
      </w:r>
    </w:p>
    <w:p w14:paraId="0520085A"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Roscales, J.L., González-Solís, J., Zango, L., Ryan, P.G., Jiménez, B., 2016. Latitudinal exposure to DDTs, HCB, PCBs, PBDEs and DP in giant petrels (Macronectes spp.) across the Southern Ocean. Environ. Res. 148, 285–294. https://doi.org/10.1016/J.ENVRES.2016.04.005</w:t>
      </w:r>
    </w:p>
    <w:p w14:paraId="38ED1579"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Rowntree, V.J., Mcguinness, P., Marshall, K., Payne, R., Sironi, M., Seger, J., 1998. INCREASED HARASSMENT OF RIGHT WHALES (EUBALAENA AUSTRALIS) BY KELP GULLS (LARUS DOMINICANUS) AT PENINSULA VALDES, ARGENTINA. Mar. Mammal Sci. 14, 99–115. https://doi.org/10.1111/j.1748-7692.1998.tb00693.x</w:t>
      </w:r>
    </w:p>
    <w:p w14:paraId="7A5DA64F" w14:textId="77777777" w:rsidR="0065270F" w:rsidRPr="003C4CDC" w:rsidRDefault="0065270F" w:rsidP="0065270F">
      <w:pPr>
        <w:widowControl w:val="0"/>
        <w:autoSpaceDE w:val="0"/>
        <w:autoSpaceDN w:val="0"/>
        <w:adjustRightInd w:val="0"/>
        <w:spacing w:line="360" w:lineRule="auto"/>
        <w:ind w:left="480" w:hanging="480"/>
        <w:rPr>
          <w:rFonts w:cs="Times New Roman"/>
          <w:noProof/>
          <w:sz w:val="16"/>
          <w:szCs w:val="24"/>
          <w:lang w:val="de-DE"/>
        </w:rPr>
      </w:pPr>
      <w:r w:rsidRPr="0065270F">
        <w:rPr>
          <w:rFonts w:cs="Times New Roman"/>
          <w:noProof/>
          <w:sz w:val="16"/>
          <w:szCs w:val="24"/>
        </w:rPr>
        <w:t xml:space="preserve">Ruiz, J., Simeone, A., 2001. Feeding by Kelp Gulls on Rodents during a Mouse Outbreak at an Inland Area in Southern Chile. </w:t>
      </w:r>
      <w:r w:rsidRPr="003C4CDC">
        <w:rPr>
          <w:rFonts w:cs="Times New Roman"/>
          <w:noProof/>
          <w:sz w:val="16"/>
          <w:szCs w:val="24"/>
          <w:lang w:val="de-DE"/>
        </w:rPr>
        <w:t>Waterbirds Int. J. Waterbird Biol. 24, 118. https://doi.org/10.2307/1522250</w:t>
      </w:r>
    </w:p>
    <w:p w14:paraId="75C21F5B"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3C4CDC">
        <w:rPr>
          <w:rFonts w:cs="Times New Roman"/>
          <w:noProof/>
          <w:sz w:val="16"/>
          <w:szCs w:val="24"/>
          <w:lang w:val="de-DE"/>
        </w:rPr>
        <w:t xml:space="preserve">Schenker, S., Scheringer, M., Hungerbühler, K., 2014. </w:t>
      </w:r>
      <w:r w:rsidRPr="0065270F">
        <w:rPr>
          <w:rFonts w:cs="Times New Roman"/>
          <w:noProof/>
          <w:sz w:val="16"/>
          <w:szCs w:val="24"/>
        </w:rPr>
        <w:t>Do Persistent Organic Pollutants Reach a Thermodynamic Equilibrium in the Global Environment? Environ. Sci. Technol. 48, 5017–5024. https://doi.org/10.1021/es405545w</w:t>
      </w:r>
    </w:p>
    <w:p w14:paraId="3339CD3C"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 xml:space="preserve">Seguel, M., Muñoz, F., Montalva, F., Perez-Venegas, D., Pavés, H., Gottdenker, N., 2017. Kelp and dolphin gulls cause perineal wounds in South American fur seal pups ( </w:t>
      </w:r>
      <w:r w:rsidRPr="0065270F">
        <w:rPr>
          <w:rFonts w:cs="Times New Roman"/>
          <w:i/>
          <w:iCs/>
          <w:noProof/>
          <w:sz w:val="16"/>
          <w:szCs w:val="24"/>
        </w:rPr>
        <w:t>Arctocephalus australis</w:t>
      </w:r>
      <w:r w:rsidRPr="0065270F">
        <w:rPr>
          <w:rFonts w:cs="Times New Roman"/>
          <w:noProof/>
          <w:sz w:val="16"/>
          <w:szCs w:val="24"/>
        </w:rPr>
        <w:t xml:space="preserve"> ) at Guafo Island, Chilean Patagonia. R. Soc. Open Sci. 4, 170638. https://doi.org/10.1098/rsos.170638</w:t>
      </w:r>
    </w:p>
    <w:p w14:paraId="4B835548"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Trillmich, F., 1978. Feeding Territories and Breeding Success of South Polar Skuas. Auk 95, 23–33. https://doi.org/10.2307/4085492</w:t>
      </w:r>
    </w:p>
    <w:p w14:paraId="086B86DF"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Vallack, H.W., Bakker, D.J., Brandt, I., Broström-Lundén, E., Brouwer, A., Bull, K.R., Gough, C., Guardans, R., Holoubek, I., Jansson, B., Koch, R., Kuylenstierna, J., Lecloux, A., Mackay, D., McCutcheon, P., Mocarelli, P., Taalman, R.D.F., 1998. Controlling persistent organic pollutants–what next? Environ. Toxicol. Pharmacol. 6, 143–175. https://doi.org/10.1016/S1382-6689(98)00036-2</w:t>
      </w:r>
    </w:p>
    <w:p w14:paraId="2021D914" w14:textId="77777777" w:rsidR="0065270F" w:rsidRPr="003C4CDC" w:rsidRDefault="0065270F" w:rsidP="0065270F">
      <w:pPr>
        <w:widowControl w:val="0"/>
        <w:autoSpaceDE w:val="0"/>
        <w:autoSpaceDN w:val="0"/>
        <w:adjustRightInd w:val="0"/>
        <w:spacing w:line="360" w:lineRule="auto"/>
        <w:ind w:left="480" w:hanging="480"/>
        <w:rPr>
          <w:rFonts w:cs="Times New Roman"/>
          <w:noProof/>
          <w:sz w:val="16"/>
          <w:szCs w:val="24"/>
          <w:lang w:val="nl-NL"/>
        </w:rPr>
      </w:pPr>
      <w:r w:rsidRPr="003C4CDC">
        <w:rPr>
          <w:rFonts w:cs="Times New Roman"/>
          <w:noProof/>
          <w:sz w:val="16"/>
          <w:szCs w:val="24"/>
          <w:lang w:val="nl-NL"/>
        </w:rPr>
        <w:t xml:space="preserve">Van den Brink, N.W., 1997. </w:t>
      </w:r>
      <w:r w:rsidRPr="0065270F">
        <w:rPr>
          <w:rFonts w:cs="Times New Roman"/>
          <w:noProof/>
          <w:sz w:val="16"/>
          <w:szCs w:val="24"/>
        </w:rPr>
        <w:t xml:space="preserve">Directed transport of volatile organochlorine pollutants to polar regions: the effect on the contamination pattern of Antarctic seabirds. </w:t>
      </w:r>
      <w:r w:rsidRPr="003C4CDC">
        <w:rPr>
          <w:rFonts w:cs="Times New Roman"/>
          <w:noProof/>
          <w:sz w:val="16"/>
          <w:szCs w:val="24"/>
          <w:lang w:val="nl-NL"/>
        </w:rPr>
        <w:t>Sci. Total Environ. 198, 43–50. https://doi.org/10.1016/S0048-9697(97)05440-5</w:t>
      </w:r>
    </w:p>
    <w:p w14:paraId="4D91935B" w14:textId="77777777" w:rsidR="0065270F" w:rsidRPr="003C4CDC" w:rsidRDefault="0065270F" w:rsidP="0065270F">
      <w:pPr>
        <w:widowControl w:val="0"/>
        <w:autoSpaceDE w:val="0"/>
        <w:autoSpaceDN w:val="0"/>
        <w:adjustRightInd w:val="0"/>
        <w:spacing w:line="360" w:lineRule="auto"/>
        <w:ind w:left="480" w:hanging="480"/>
        <w:rPr>
          <w:rFonts w:cs="Times New Roman"/>
          <w:noProof/>
          <w:sz w:val="16"/>
          <w:szCs w:val="24"/>
          <w:lang w:val="nl-NL"/>
        </w:rPr>
      </w:pPr>
      <w:r w:rsidRPr="003C4CDC">
        <w:rPr>
          <w:rFonts w:cs="Times New Roman"/>
          <w:noProof/>
          <w:sz w:val="16"/>
          <w:szCs w:val="24"/>
          <w:lang w:val="nl-NL"/>
        </w:rPr>
        <w:t xml:space="preserve">van den Brink, N.W., Riddle, M.J., van den Heuvel-Greve, M., van Franeker, J.A., 2011. </w:t>
      </w:r>
      <w:r w:rsidRPr="0065270F">
        <w:rPr>
          <w:rFonts w:cs="Times New Roman"/>
          <w:noProof/>
          <w:sz w:val="16"/>
          <w:szCs w:val="24"/>
        </w:rPr>
        <w:t xml:space="preserve">Contrasting time trends of organic contaminants in Antarctic pelagic and benthic food webs. </w:t>
      </w:r>
      <w:r w:rsidRPr="003C4CDC">
        <w:rPr>
          <w:rFonts w:cs="Times New Roman"/>
          <w:noProof/>
          <w:sz w:val="16"/>
          <w:szCs w:val="24"/>
          <w:lang w:val="nl-NL"/>
        </w:rPr>
        <w:t>Mar. Pollut. Bull. 62, 128–132. https://doi.org/10.1016/J.MARPOLBUL.2010.09.002</w:t>
      </w:r>
    </w:p>
    <w:p w14:paraId="64CEE1A6"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3C4CDC">
        <w:rPr>
          <w:rFonts w:cs="Times New Roman"/>
          <w:noProof/>
          <w:sz w:val="16"/>
          <w:szCs w:val="24"/>
          <w:lang w:val="nl-NL"/>
        </w:rPr>
        <w:t xml:space="preserve">van den Brink, N.W., van Franeker, J.A., de Ruiter-Dijkman, E.M., 1998. </w:t>
      </w:r>
      <w:r w:rsidRPr="0065270F">
        <w:rPr>
          <w:rFonts w:cs="Times New Roman"/>
          <w:noProof/>
          <w:sz w:val="16"/>
          <w:szCs w:val="24"/>
        </w:rPr>
        <w:t>Fluctuating concentrations of organochlorine pollutants during a breeding season in two Antarctic seabirds: Adelie penguin and southern fulmar. Environ. Toxicol. Chem. 17, 702–709. https://doi.org/10.1002/etc.5620170426</w:t>
      </w:r>
    </w:p>
    <w:p w14:paraId="6FB3841B"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Votier, S.C., Bearhop, S., MacCormick, A., Ratcliffe, N., Furness, R.W., n.d. Assessing the diet of great skuas, Catharacta skua, using five different techniques. Polar Biol. 26, 20–26. https://doi.org/10.1007/s00300-002-0446-z</w:t>
      </w:r>
    </w:p>
    <w:p w14:paraId="54DFE1BD"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65270F">
        <w:rPr>
          <w:rFonts w:cs="Times New Roman"/>
          <w:noProof/>
          <w:sz w:val="16"/>
          <w:szCs w:val="24"/>
        </w:rPr>
        <w:t>Wania, F., 2003. Assessing the Potential of Persistent Organic Chemicals for Long-Range Transport and Accumulation in Polar Regions. Environ. Sci. Technol. 37, 1344–1351. https://doi.org/10.1021/es026019e</w:t>
      </w:r>
    </w:p>
    <w:p w14:paraId="2BE3F916" w14:textId="77777777" w:rsidR="0065270F" w:rsidRPr="003C4CDC" w:rsidRDefault="0065270F" w:rsidP="0065270F">
      <w:pPr>
        <w:widowControl w:val="0"/>
        <w:autoSpaceDE w:val="0"/>
        <w:autoSpaceDN w:val="0"/>
        <w:adjustRightInd w:val="0"/>
        <w:spacing w:line="360" w:lineRule="auto"/>
        <w:ind w:left="480" w:hanging="480"/>
        <w:rPr>
          <w:rFonts w:cs="Times New Roman"/>
          <w:noProof/>
          <w:sz w:val="16"/>
          <w:szCs w:val="24"/>
          <w:lang w:val="de-DE"/>
        </w:rPr>
      </w:pPr>
      <w:r w:rsidRPr="0065270F">
        <w:rPr>
          <w:rFonts w:cs="Times New Roman"/>
          <w:noProof/>
          <w:sz w:val="16"/>
          <w:szCs w:val="24"/>
        </w:rPr>
        <w:t xml:space="preserve">Weichbrodt, M., Vetter, W., Scholza, E., Luckas, B., Reinhardt, K., 1999. Determination of Organochlorine Levels in Antarctic Skua and Penguin Eggs by Application of Combined Focused Open-Vessel Microwave-Assisted Extraction, Gel-Permeation Chromatography, Adsorption Chromatography, and GC/ECD. Int. J. Environ. </w:t>
      </w:r>
      <w:r w:rsidRPr="003C4CDC">
        <w:rPr>
          <w:rFonts w:cs="Times New Roman"/>
          <w:noProof/>
          <w:sz w:val="16"/>
          <w:szCs w:val="24"/>
          <w:lang w:val="de-DE"/>
        </w:rPr>
        <w:t>Anal. Chem. 73, 309–328. https://doi.org/10.1080/03067319908032672</w:t>
      </w:r>
    </w:p>
    <w:p w14:paraId="63D78A45" w14:textId="77777777" w:rsidR="0065270F" w:rsidRPr="0065270F" w:rsidRDefault="0065270F" w:rsidP="0065270F">
      <w:pPr>
        <w:widowControl w:val="0"/>
        <w:autoSpaceDE w:val="0"/>
        <w:autoSpaceDN w:val="0"/>
        <w:adjustRightInd w:val="0"/>
        <w:spacing w:line="360" w:lineRule="auto"/>
        <w:ind w:left="480" w:hanging="480"/>
        <w:rPr>
          <w:rFonts w:cs="Times New Roman"/>
          <w:noProof/>
          <w:sz w:val="16"/>
          <w:szCs w:val="24"/>
        </w:rPr>
      </w:pPr>
      <w:r w:rsidRPr="003C4CDC">
        <w:rPr>
          <w:rFonts w:cs="Times New Roman"/>
          <w:noProof/>
          <w:sz w:val="16"/>
          <w:szCs w:val="24"/>
          <w:lang w:val="de-DE"/>
        </w:rPr>
        <w:t xml:space="preserve">Wolschke, H., Meng, X.-Z., Xie, Z., Ebinghaus, R., Cai, M., 2015. </w:t>
      </w:r>
      <w:r w:rsidRPr="0065270F">
        <w:rPr>
          <w:rFonts w:cs="Times New Roman"/>
          <w:noProof/>
          <w:sz w:val="16"/>
          <w:szCs w:val="24"/>
        </w:rPr>
        <w:t>Novel flame retardants (N-FRs), polybrominated diphenyl ethers (PBDEs) and dioxin-like polychlorinated biphenyls (DL-PCBs) in fish, penguin, and skua from King George Island, Antarctica. Mar. Pollut. Bull. 96, 513–518. https://doi.org/10.1016/j.marpolbul.2015.04.012</w:t>
      </w:r>
    </w:p>
    <w:p w14:paraId="5EE06BA1" w14:textId="77777777" w:rsidR="0065270F" w:rsidRPr="003C4CDC" w:rsidRDefault="0065270F" w:rsidP="0065270F">
      <w:pPr>
        <w:widowControl w:val="0"/>
        <w:autoSpaceDE w:val="0"/>
        <w:autoSpaceDN w:val="0"/>
        <w:adjustRightInd w:val="0"/>
        <w:spacing w:line="360" w:lineRule="auto"/>
        <w:ind w:left="480" w:hanging="480"/>
        <w:rPr>
          <w:rFonts w:cs="Times New Roman"/>
          <w:noProof/>
          <w:sz w:val="16"/>
          <w:szCs w:val="24"/>
          <w:lang w:val="de-DE"/>
        </w:rPr>
      </w:pPr>
      <w:r w:rsidRPr="0065270F">
        <w:rPr>
          <w:rFonts w:cs="Times New Roman"/>
          <w:noProof/>
          <w:sz w:val="16"/>
          <w:szCs w:val="24"/>
        </w:rPr>
        <w:t xml:space="preserve">Yogui, G.T., Sericano, J.L., 2009. Levels and pattern of polybrominated diphenyl ethers in eggs of Antarctic seabirds: Endemic versus migratory species. </w:t>
      </w:r>
      <w:r w:rsidRPr="003C4CDC">
        <w:rPr>
          <w:rFonts w:cs="Times New Roman"/>
          <w:noProof/>
          <w:sz w:val="16"/>
          <w:szCs w:val="24"/>
          <w:lang w:val="de-DE"/>
        </w:rPr>
        <w:t>Environ. Pollut. 157, 975–980. https://doi.org/10.1016/j.envpol.2008.10.016</w:t>
      </w:r>
    </w:p>
    <w:p w14:paraId="628DF546" w14:textId="77777777" w:rsidR="0065270F" w:rsidRPr="0065270F" w:rsidRDefault="0065270F" w:rsidP="0065270F">
      <w:pPr>
        <w:widowControl w:val="0"/>
        <w:autoSpaceDE w:val="0"/>
        <w:autoSpaceDN w:val="0"/>
        <w:adjustRightInd w:val="0"/>
        <w:spacing w:line="360" w:lineRule="auto"/>
        <w:ind w:left="480" w:hanging="480"/>
        <w:rPr>
          <w:noProof/>
          <w:sz w:val="16"/>
        </w:rPr>
      </w:pPr>
      <w:r w:rsidRPr="003C4CDC">
        <w:rPr>
          <w:rFonts w:cs="Times New Roman"/>
          <w:noProof/>
          <w:sz w:val="16"/>
          <w:szCs w:val="24"/>
          <w:lang w:val="de-DE"/>
        </w:rPr>
        <w:t xml:space="preserve">Zheng, S., Wang, P., Sun, H., Matsiko, J., Hao, Y., Meng, D., Li, Y., Zhang, G., Zhang, Q., Jiang, G., 2018. </w:t>
      </w:r>
      <w:r w:rsidRPr="0065270F">
        <w:rPr>
          <w:rFonts w:cs="Times New Roman"/>
          <w:noProof/>
          <w:sz w:val="16"/>
          <w:szCs w:val="24"/>
        </w:rPr>
        <w:t>Tissue distribution and maternal transfer of persistent organic pollutants in Kentish Plovers (Charadrius alexandrines) from Cangzhou Wetland, Bohai Bay, China. Sci. Total Environ. 612, 1105–1113. https://doi.org/10.1016/J.SCITOTENV.2017.08.323</w:t>
      </w:r>
    </w:p>
    <w:p w14:paraId="7B076CF2" w14:textId="77777777" w:rsidR="00FF14F3" w:rsidRDefault="00FF14F3" w:rsidP="00E02605">
      <w:pPr>
        <w:widowControl w:val="0"/>
        <w:autoSpaceDE w:val="0"/>
        <w:autoSpaceDN w:val="0"/>
        <w:adjustRightInd w:val="0"/>
        <w:spacing w:line="360" w:lineRule="auto"/>
      </w:pPr>
      <w:r>
        <w:fldChar w:fldCharType="end"/>
      </w:r>
    </w:p>
    <w:p w14:paraId="66EB7D0B" w14:textId="77777777" w:rsidR="00A8222C" w:rsidRDefault="00A8222C" w:rsidP="00A30DB4">
      <w:pPr>
        <w:widowControl w:val="0"/>
        <w:autoSpaceDE w:val="0"/>
        <w:autoSpaceDN w:val="0"/>
        <w:adjustRightInd w:val="0"/>
        <w:spacing w:line="240" w:lineRule="auto"/>
      </w:pPr>
    </w:p>
    <w:p w14:paraId="7328F605" w14:textId="77777777" w:rsidR="00A8222C" w:rsidRDefault="00A8222C" w:rsidP="00A30DB4">
      <w:pPr>
        <w:widowControl w:val="0"/>
        <w:autoSpaceDE w:val="0"/>
        <w:autoSpaceDN w:val="0"/>
        <w:adjustRightInd w:val="0"/>
        <w:spacing w:line="240" w:lineRule="auto"/>
      </w:pPr>
    </w:p>
    <w:p w14:paraId="057314A8" w14:textId="77777777" w:rsidR="00A8222C" w:rsidRPr="00A8222C" w:rsidRDefault="00A8222C" w:rsidP="00A8222C">
      <w:pPr>
        <w:rPr>
          <w:lang w:val="en"/>
        </w:rPr>
      </w:pPr>
    </w:p>
    <w:sectPr w:rsidR="00A8222C" w:rsidRPr="00A8222C" w:rsidSect="003C4CDC">
      <w:pgSz w:w="11906" w:h="16838"/>
      <w:pgMar w:top="1417" w:right="1417" w:bottom="56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8C0617" w16cid:durableId="1EE47505"/>
  <w16cid:commentId w16cid:paraId="6E93235D" w16cid:durableId="1EE47506"/>
  <w16cid:commentId w16cid:paraId="22F6EA56" w16cid:durableId="1EE47507"/>
  <w16cid:commentId w16cid:paraId="1FA8EF10" w16cid:durableId="1EE47508"/>
  <w16cid:commentId w16cid:paraId="7ED56A8F" w16cid:durableId="1EE47509"/>
  <w16cid:commentId w16cid:paraId="6DCA839B" w16cid:durableId="1EE4750C"/>
  <w16cid:commentId w16cid:paraId="36E87077" w16cid:durableId="1EE4750F"/>
  <w16cid:commentId w16cid:paraId="1456A592" w16cid:durableId="1EE47510"/>
  <w16cid:commentId w16cid:paraId="330F44EB" w16cid:durableId="1EE47511"/>
  <w16cid:commentId w16cid:paraId="7F627739" w16cid:durableId="1EE47829"/>
  <w16cid:commentId w16cid:paraId="4BDE50CF" w16cid:durableId="1EE47512"/>
  <w16cid:commentId w16cid:paraId="2E2DFC06" w16cid:durableId="1EE47515"/>
  <w16cid:commentId w16cid:paraId="56DED5BB" w16cid:durableId="1EE47517"/>
  <w16cid:commentId w16cid:paraId="026C83C0" w16cid:durableId="1EE47518"/>
  <w16cid:commentId w16cid:paraId="2A8871EF" w16cid:durableId="1EE47519"/>
  <w16cid:commentId w16cid:paraId="4F87956C" w16cid:durableId="1EE4751A"/>
  <w16cid:commentId w16cid:paraId="189422E9" w16cid:durableId="1EE4751B"/>
  <w16cid:commentId w16cid:paraId="5AF038DC" w16cid:durableId="1EE4751C"/>
  <w16cid:commentId w16cid:paraId="46DE0ADD" w16cid:durableId="1EE489B6"/>
  <w16cid:commentId w16cid:paraId="3FC52789" w16cid:durableId="1EE4751D"/>
  <w16cid:commentId w16cid:paraId="3118B105" w16cid:durableId="1EE4751F"/>
  <w16cid:commentId w16cid:paraId="6E415419" w16cid:durableId="1EE47520"/>
  <w16cid:commentId w16cid:paraId="7F7FBF66" w16cid:durableId="1EE47521"/>
  <w16cid:commentId w16cid:paraId="5B443053" w16cid:durableId="1EE47522"/>
  <w16cid:commentId w16cid:paraId="5727A515" w16cid:durableId="1EE47523"/>
  <w16cid:commentId w16cid:paraId="27CC61E4" w16cid:durableId="1EE47524"/>
  <w16cid:commentId w16cid:paraId="62A3DCB2" w16cid:durableId="1EE47525"/>
  <w16cid:commentId w16cid:paraId="09005F99" w16cid:durableId="1EE47526"/>
  <w16cid:commentId w16cid:paraId="647C1484" w16cid:durableId="1EE47527"/>
  <w16cid:commentId w16cid:paraId="072BF9F4" w16cid:durableId="1EE47528"/>
  <w16cid:commentId w16cid:paraId="6FA7BB9D" w16cid:durableId="1EE47529"/>
  <w16cid:commentId w16cid:paraId="5C428941" w16cid:durableId="1EE4752A"/>
  <w16cid:commentId w16cid:paraId="5AA1745A" w16cid:durableId="1EE4752B"/>
  <w16cid:commentId w16cid:paraId="20AEF0E9" w16cid:durableId="1EE4752C"/>
  <w16cid:commentId w16cid:paraId="21CE1898" w16cid:durableId="1EE4752F"/>
  <w16cid:commentId w16cid:paraId="541F9800" w16cid:durableId="1EE47530"/>
  <w16cid:commentId w16cid:paraId="1F1B7947" w16cid:durableId="1EE47531"/>
  <w16cid:commentId w16cid:paraId="0D80FD94" w16cid:durableId="1EE4932D"/>
  <w16cid:commentId w16cid:paraId="1966F994" w16cid:durableId="1EE493D9"/>
  <w16cid:commentId w16cid:paraId="641442BE" w16cid:durableId="1EE47532"/>
  <w16cid:commentId w16cid:paraId="625E0A7A" w16cid:durableId="1EE47533"/>
  <w16cid:commentId w16cid:paraId="422976CB" w16cid:durableId="1EE47534"/>
  <w16cid:commentId w16cid:paraId="179CC2B5" w16cid:durableId="1EE47535"/>
  <w16cid:commentId w16cid:paraId="7646E5DD" w16cid:durableId="1EE47536"/>
  <w16cid:commentId w16cid:paraId="622BCD8E" w16cid:durableId="1EE47537"/>
  <w16cid:commentId w16cid:paraId="78F32C2D" w16cid:durableId="1EE495AB"/>
  <w16cid:commentId w16cid:paraId="2BB8BF8E" w16cid:durableId="1EE47538"/>
  <w16cid:commentId w16cid:paraId="04012B00" w16cid:durableId="1EE4753A"/>
  <w16cid:commentId w16cid:paraId="4E5298E8" w16cid:durableId="1EE4753B"/>
  <w16cid:commentId w16cid:paraId="126066C9" w16cid:durableId="1EE4753C"/>
  <w16cid:commentId w16cid:paraId="73260A4E" w16cid:durableId="1EE4753F"/>
  <w16cid:commentId w16cid:paraId="53ED3D43" w16cid:durableId="1EE47540"/>
  <w16cid:commentId w16cid:paraId="7EC531E4" w16cid:durableId="1EE47542"/>
  <w16cid:commentId w16cid:paraId="7CCF79CD" w16cid:durableId="1EE47543"/>
  <w16cid:commentId w16cid:paraId="2988B543" w16cid:durableId="1EE47544"/>
  <w16cid:commentId w16cid:paraId="6009DC42" w16cid:durableId="1EE47545"/>
  <w16cid:commentId w16cid:paraId="2EE89EDD" w16cid:durableId="1EE4A66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279D1" w14:textId="77777777" w:rsidR="007334C8" w:rsidRDefault="007334C8" w:rsidP="002A2FC0">
      <w:pPr>
        <w:spacing w:after="0" w:line="240" w:lineRule="auto"/>
      </w:pPr>
      <w:r>
        <w:separator/>
      </w:r>
    </w:p>
  </w:endnote>
  <w:endnote w:type="continuationSeparator" w:id="0">
    <w:p w14:paraId="1719BC30" w14:textId="77777777" w:rsidR="007334C8" w:rsidRDefault="007334C8" w:rsidP="002A2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37AF4" w14:textId="77777777" w:rsidR="007334C8" w:rsidRDefault="007334C8" w:rsidP="002A2FC0">
      <w:pPr>
        <w:spacing w:after="0" w:line="240" w:lineRule="auto"/>
      </w:pPr>
      <w:r>
        <w:separator/>
      </w:r>
    </w:p>
  </w:footnote>
  <w:footnote w:type="continuationSeparator" w:id="0">
    <w:p w14:paraId="258C3A66" w14:textId="77777777" w:rsidR="007334C8" w:rsidRDefault="007334C8" w:rsidP="002A2F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B76C11"/>
    <w:multiLevelType w:val="hybridMultilevel"/>
    <w:tmpl w:val="02C0C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DB4"/>
    <w:rsid w:val="00002241"/>
    <w:rsid w:val="000033FE"/>
    <w:rsid w:val="00004B5C"/>
    <w:rsid w:val="00007B50"/>
    <w:rsid w:val="000102DB"/>
    <w:rsid w:val="000168CA"/>
    <w:rsid w:val="00020A53"/>
    <w:rsid w:val="000256C2"/>
    <w:rsid w:val="00026A5A"/>
    <w:rsid w:val="00030749"/>
    <w:rsid w:val="0003115E"/>
    <w:rsid w:val="00040245"/>
    <w:rsid w:val="00041AB1"/>
    <w:rsid w:val="0004670E"/>
    <w:rsid w:val="000571C0"/>
    <w:rsid w:val="00063250"/>
    <w:rsid w:val="000844D6"/>
    <w:rsid w:val="00091835"/>
    <w:rsid w:val="0009640F"/>
    <w:rsid w:val="00096665"/>
    <w:rsid w:val="000A0793"/>
    <w:rsid w:val="000A0D5B"/>
    <w:rsid w:val="000A1AB3"/>
    <w:rsid w:val="000A3817"/>
    <w:rsid w:val="000C1F8A"/>
    <w:rsid w:val="000C672B"/>
    <w:rsid w:val="000D4570"/>
    <w:rsid w:val="000D6C26"/>
    <w:rsid w:val="000D709D"/>
    <w:rsid w:val="000E41BE"/>
    <w:rsid w:val="00106258"/>
    <w:rsid w:val="00111E36"/>
    <w:rsid w:val="00121F3E"/>
    <w:rsid w:val="00124063"/>
    <w:rsid w:val="00124FAC"/>
    <w:rsid w:val="00126872"/>
    <w:rsid w:val="00127014"/>
    <w:rsid w:val="00127750"/>
    <w:rsid w:val="001323FB"/>
    <w:rsid w:val="00140B00"/>
    <w:rsid w:val="00143FD9"/>
    <w:rsid w:val="001505E5"/>
    <w:rsid w:val="001518BE"/>
    <w:rsid w:val="0016061E"/>
    <w:rsid w:val="0016298E"/>
    <w:rsid w:val="00163DD6"/>
    <w:rsid w:val="0016606F"/>
    <w:rsid w:val="00166B07"/>
    <w:rsid w:val="00171E62"/>
    <w:rsid w:val="00172E05"/>
    <w:rsid w:val="00173EA5"/>
    <w:rsid w:val="0018086C"/>
    <w:rsid w:val="00182217"/>
    <w:rsid w:val="00182F5D"/>
    <w:rsid w:val="001832EA"/>
    <w:rsid w:val="00186A35"/>
    <w:rsid w:val="00190518"/>
    <w:rsid w:val="001A28C4"/>
    <w:rsid w:val="001A29D8"/>
    <w:rsid w:val="001A2B5E"/>
    <w:rsid w:val="001A3868"/>
    <w:rsid w:val="001C1BFC"/>
    <w:rsid w:val="001D179D"/>
    <w:rsid w:val="001D2D87"/>
    <w:rsid w:val="001D4010"/>
    <w:rsid w:val="001E014D"/>
    <w:rsid w:val="001E01E5"/>
    <w:rsid w:val="001E39F3"/>
    <w:rsid w:val="001F0863"/>
    <w:rsid w:val="001F24DB"/>
    <w:rsid w:val="0020057A"/>
    <w:rsid w:val="00202191"/>
    <w:rsid w:val="00206353"/>
    <w:rsid w:val="00211C01"/>
    <w:rsid w:val="00215F5C"/>
    <w:rsid w:val="00220448"/>
    <w:rsid w:val="00222024"/>
    <w:rsid w:val="00223900"/>
    <w:rsid w:val="002252C3"/>
    <w:rsid w:val="00231362"/>
    <w:rsid w:val="00235890"/>
    <w:rsid w:val="00235FCE"/>
    <w:rsid w:val="0024161F"/>
    <w:rsid w:val="00251619"/>
    <w:rsid w:val="00255486"/>
    <w:rsid w:val="00261EAD"/>
    <w:rsid w:val="00262D3D"/>
    <w:rsid w:val="00272255"/>
    <w:rsid w:val="002729E3"/>
    <w:rsid w:val="002736A3"/>
    <w:rsid w:val="00275B67"/>
    <w:rsid w:val="002807D5"/>
    <w:rsid w:val="002856D0"/>
    <w:rsid w:val="00287BDC"/>
    <w:rsid w:val="002901C7"/>
    <w:rsid w:val="002920E2"/>
    <w:rsid w:val="002A0B5D"/>
    <w:rsid w:val="002A2FC0"/>
    <w:rsid w:val="002A45FB"/>
    <w:rsid w:val="002A56BA"/>
    <w:rsid w:val="002A6B89"/>
    <w:rsid w:val="002C449C"/>
    <w:rsid w:val="002D2094"/>
    <w:rsid w:val="002E4122"/>
    <w:rsid w:val="002E7133"/>
    <w:rsid w:val="002F03CC"/>
    <w:rsid w:val="0030296F"/>
    <w:rsid w:val="00304151"/>
    <w:rsid w:val="00311B14"/>
    <w:rsid w:val="00313A38"/>
    <w:rsid w:val="0031408C"/>
    <w:rsid w:val="0031742F"/>
    <w:rsid w:val="00317534"/>
    <w:rsid w:val="003369C8"/>
    <w:rsid w:val="00342439"/>
    <w:rsid w:val="00347F59"/>
    <w:rsid w:val="0036526C"/>
    <w:rsid w:val="003656C1"/>
    <w:rsid w:val="003727DC"/>
    <w:rsid w:val="003728D8"/>
    <w:rsid w:val="00376570"/>
    <w:rsid w:val="0038018B"/>
    <w:rsid w:val="003810A1"/>
    <w:rsid w:val="00381ABB"/>
    <w:rsid w:val="00383B80"/>
    <w:rsid w:val="003845D7"/>
    <w:rsid w:val="00385541"/>
    <w:rsid w:val="00393E16"/>
    <w:rsid w:val="003A0C4A"/>
    <w:rsid w:val="003A3C06"/>
    <w:rsid w:val="003A4CFF"/>
    <w:rsid w:val="003A6339"/>
    <w:rsid w:val="003B10B4"/>
    <w:rsid w:val="003B3F41"/>
    <w:rsid w:val="003B469F"/>
    <w:rsid w:val="003B712B"/>
    <w:rsid w:val="003C4CDC"/>
    <w:rsid w:val="003C5CCF"/>
    <w:rsid w:val="003D04C5"/>
    <w:rsid w:val="003D09DD"/>
    <w:rsid w:val="003D0AA3"/>
    <w:rsid w:val="003D1772"/>
    <w:rsid w:val="003F36FF"/>
    <w:rsid w:val="003F5480"/>
    <w:rsid w:val="003F5AFB"/>
    <w:rsid w:val="00402B26"/>
    <w:rsid w:val="00404DFE"/>
    <w:rsid w:val="00407018"/>
    <w:rsid w:val="00407134"/>
    <w:rsid w:val="00413948"/>
    <w:rsid w:val="0041484A"/>
    <w:rsid w:val="0042290D"/>
    <w:rsid w:val="00425692"/>
    <w:rsid w:val="00426522"/>
    <w:rsid w:val="0042741C"/>
    <w:rsid w:val="00434574"/>
    <w:rsid w:val="00452A97"/>
    <w:rsid w:val="0045486A"/>
    <w:rsid w:val="00455BB5"/>
    <w:rsid w:val="00470592"/>
    <w:rsid w:val="004724E1"/>
    <w:rsid w:val="00496FEA"/>
    <w:rsid w:val="004A1B88"/>
    <w:rsid w:val="004C0ED9"/>
    <w:rsid w:val="004C1364"/>
    <w:rsid w:val="004C1B7C"/>
    <w:rsid w:val="004C1C56"/>
    <w:rsid w:val="004D277E"/>
    <w:rsid w:val="004D27A9"/>
    <w:rsid w:val="004D43CA"/>
    <w:rsid w:val="004E0309"/>
    <w:rsid w:val="004E632A"/>
    <w:rsid w:val="004F2C8A"/>
    <w:rsid w:val="004F4860"/>
    <w:rsid w:val="00507385"/>
    <w:rsid w:val="005100ED"/>
    <w:rsid w:val="005163C0"/>
    <w:rsid w:val="00521C19"/>
    <w:rsid w:val="00536070"/>
    <w:rsid w:val="005408CA"/>
    <w:rsid w:val="005420A4"/>
    <w:rsid w:val="00545390"/>
    <w:rsid w:val="00547D0C"/>
    <w:rsid w:val="0055413F"/>
    <w:rsid w:val="005542CF"/>
    <w:rsid w:val="0057187B"/>
    <w:rsid w:val="00571D6A"/>
    <w:rsid w:val="00572D63"/>
    <w:rsid w:val="0057678C"/>
    <w:rsid w:val="0057741D"/>
    <w:rsid w:val="00582850"/>
    <w:rsid w:val="00584715"/>
    <w:rsid w:val="00587DCC"/>
    <w:rsid w:val="005944B5"/>
    <w:rsid w:val="005954DA"/>
    <w:rsid w:val="00596F20"/>
    <w:rsid w:val="005A001E"/>
    <w:rsid w:val="005A0E57"/>
    <w:rsid w:val="005A4404"/>
    <w:rsid w:val="005B0BB4"/>
    <w:rsid w:val="005B3A3F"/>
    <w:rsid w:val="005C36D7"/>
    <w:rsid w:val="005D5AF4"/>
    <w:rsid w:val="005E1042"/>
    <w:rsid w:val="005E4185"/>
    <w:rsid w:val="005E73D3"/>
    <w:rsid w:val="005E7B77"/>
    <w:rsid w:val="0060683A"/>
    <w:rsid w:val="006104E2"/>
    <w:rsid w:val="00612C9A"/>
    <w:rsid w:val="00614EFB"/>
    <w:rsid w:val="00615097"/>
    <w:rsid w:val="006200BC"/>
    <w:rsid w:val="00624C40"/>
    <w:rsid w:val="00625DB3"/>
    <w:rsid w:val="00630C1F"/>
    <w:rsid w:val="00637D6C"/>
    <w:rsid w:val="00640558"/>
    <w:rsid w:val="00641C70"/>
    <w:rsid w:val="0064217E"/>
    <w:rsid w:val="006522FB"/>
    <w:rsid w:val="0065270F"/>
    <w:rsid w:val="00657939"/>
    <w:rsid w:val="006617DA"/>
    <w:rsid w:val="00664F03"/>
    <w:rsid w:val="0067396F"/>
    <w:rsid w:val="00682E65"/>
    <w:rsid w:val="006A21EF"/>
    <w:rsid w:val="006A4658"/>
    <w:rsid w:val="006C01A8"/>
    <w:rsid w:val="006C6A28"/>
    <w:rsid w:val="006D7649"/>
    <w:rsid w:val="006E1368"/>
    <w:rsid w:val="006F000A"/>
    <w:rsid w:val="006F2B0E"/>
    <w:rsid w:val="0070179A"/>
    <w:rsid w:val="00707DD1"/>
    <w:rsid w:val="007140CD"/>
    <w:rsid w:val="00731A2D"/>
    <w:rsid w:val="007334C8"/>
    <w:rsid w:val="00734B89"/>
    <w:rsid w:val="00735BEE"/>
    <w:rsid w:val="00751CD5"/>
    <w:rsid w:val="007713FB"/>
    <w:rsid w:val="00771BBB"/>
    <w:rsid w:val="00781077"/>
    <w:rsid w:val="00785F24"/>
    <w:rsid w:val="00787393"/>
    <w:rsid w:val="00792FF7"/>
    <w:rsid w:val="00797121"/>
    <w:rsid w:val="007A5981"/>
    <w:rsid w:val="007C64E6"/>
    <w:rsid w:val="007E7E13"/>
    <w:rsid w:val="007F0917"/>
    <w:rsid w:val="007F5059"/>
    <w:rsid w:val="007F7AD8"/>
    <w:rsid w:val="00805EA6"/>
    <w:rsid w:val="00810F5C"/>
    <w:rsid w:val="00813D94"/>
    <w:rsid w:val="00821E7B"/>
    <w:rsid w:val="0083257A"/>
    <w:rsid w:val="008343A8"/>
    <w:rsid w:val="00834EC0"/>
    <w:rsid w:val="00855634"/>
    <w:rsid w:val="00863579"/>
    <w:rsid w:val="00866D43"/>
    <w:rsid w:val="008741BB"/>
    <w:rsid w:val="008772B5"/>
    <w:rsid w:val="00885B7A"/>
    <w:rsid w:val="0088646E"/>
    <w:rsid w:val="0088774A"/>
    <w:rsid w:val="008A4050"/>
    <w:rsid w:val="008A5353"/>
    <w:rsid w:val="008A6A28"/>
    <w:rsid w:val="008F0D36"/>
    <w:rsid w:val="008F6E34"/>
    <w:rsid w:val="008F7850"/>
    <w:rsid w:val="00901618"/>
    <w:rsid w:val="00904DEB"/>
    <w:rsid w:val="00917349"/>
    <w:rsid w:val="00924F9F"/>
    <w:rsid w:val="00925687"/>
    <w:rsid w:val="00927324"/>
    <w:rsid w:val="00932431"/>
    <w:rsid w:val="00934463"/>
    <w:rsid w:val="009347EF"/>
    <w:rsid w:val="00940FD6"/>
    <w:rsid w:val="00944D4B"/>
    <w:rsid w:val="00945DC3"/>
    <w:rsid w:val="00947640"/>
    <w:rsid w:val="009520E8"/>
    <w:rsid w:val="00952A89"/>
    <w:rsid w:val="009573F9"/>
    <w:rsid w:val="009619A5"/>
    <w:rsid w:val="009622DB"/>
    <w:rsid w:val="009700CF"/>
    <w:rsid w:val="00970D61"/>
    <w:rsid w:val="00970F32"/>
    <w:rsid w:val="00972740"/>
    <w:rsid w:val="00973543"/>
    <w:rsid w:val="009735B1"/>
    <w:rsid w:val="00980F4B"/>
    <w:rsid w:val="00981ACC"/>
    <w:rsid w:val="0098437E"/>
    <w:rsid w:val="00991A6A"/>
    <w:rsid w:val="00993842"/>
    <w:rsid w:val="00995E97"/>
    <w:rsid w:val="009A25B2"/>
    <w:rsid w:val="009B2FD8"/>
    <w:rsid w:val="009B6A03"/>
    <w:rsid w:val="009B7508"/>
    <w:rsid w:val="009C51D4"/>
    <w:rsid w:val="009C6954"/>
    <w:rsid w:val="009C7491"/>
    <w:rsid w:val="009C79AB"/>
    <w:rsid w:val="009D293A"/>
    <w:rsid w:val="009D7BA4"/>
    <w:rsid w:val="009E1439"/>
    <w:rsid w:val="009F3C9F"/>
    <w:rsid w:val="00A0295D"/>
    <w:rsid w:val="00A03029"/>
    <w:rsid w:val="00A060B9"/>
    <w:rsid w:val="00A15746"/>
    <w:rsid w:val="00A1585D"/>
    <w:rsid w:val="00A26352"/>
    <w:rsid w:val="00A3040C"/>
    <w:rsid w:val="00A30DB4"/>
    <w:rsid w:val="00A34A09"/>
    <w:rsid w:val="00A4048F"/>
    <w:rsid w:val="00A40722"/>
    <w:rsid w:val="00A45BF0"/>
    <w:rsid w:val="00A471C9"/>
    <w:rsid w:val="00A50B97"/>
    <w:rsid w:val="00A5221E"/>
    <w:rsid w:val="00A55663"/>
    <w:rsid w:val="00A55676"/>
    <w:rsid w:val="00A57200"/>
    <w:rsid w:val="00A573B4"/>
    <w:rsid w:val="00A656D5"/>
    <w:rsid w:val="00A80505"/>
    <w:rsid w:val="00A81FC4"/>
    <w:rsid w:val="00A8222C"/>
    <w:rsid w:val="00A858AD"/>
    <w:rsid w:val="00A873FE"/>
    <w:rsid w:val="00A87F7D"/>
    <w:rsid w:val="00A91FEC"/>
    <w:rsid w:val="00AA6117"/>
    <w:rsid w:val="00AB03D5"/>
    <w:rsid w:val="00AB534A"/>
    <w:rsid w:val="00AC7CD7"/>
    <w:rsid w:val="00AD0E69"/>
    <w:rsid w:val="00AD4E08"/>
    <w:rsid w:val="00AE0C3B"/>
    <w:rsid w:val="00AE21D7"/>
    <w:rsid w:val="00AE3EB8"/>
    <w:rsid w:val="00AE5462"/>
    <w:rsid w:val="00AE6B8B"/>
    <w:rsid w:val="00AF4F3E"/>
    <w:rsid w:val="00B019DA"/>
    <w:rsid w:val="00B07FEC"/>
    <w:rsid w:val="00B11B79"/>
    <w:rsid w:val="00B153B4"/>
    <w:rsid w:val="00B2386D"/>
    <w:rsid w:val="00B2482E"/>
    <w:rsid w:val="00B25693"/>
    <w:rsid w:val="00B26403"/>
    <w:rsid w:val="00B31526"/>
    <w:rsid w:val="00B32A32"/>
    <w:rsid w:val="00B33181"/>
    <w:rsid w:val="00B35D3D"/>
    <w:rsid w:val="00B36EBE"/>
    <w:rsid w:val="00B414D7"/>
    <w:rsid w:val="00B41A9D"/>
    <w:rsid w:val="00B45D94"/>
    <w:rsid w:val="00B52C7C"/>
    <w:rsid w:val="00B709D6"/>
    <w:rsid w:val="00B72F7A"/>
    <w:rsid w:val="00B84429"/>
    <w:rsid w:val="00B85270"/>
    <w:rsid w:val="00B86FCC"/>
    <w:rsid w:val="00B90C24"/>
    <w:rsid w:val="00B9649E"/>
    <w:rsid w:val="00B96FC9"/>
    <w:rsid w:val="00B97EF1"/>
    <w:rsid w:val="00BA1251"/>
    <w:rsid w:val="00BA5BCC"/>
    <w:rsid w:val="00BB6486"/>
    <w:rsid w:val="00BC3D63"/>
    <w:rsid w:val="00BC573C"/>
    <w:rsid w:val="00BD30B5"/>
    <w:rsid w:val="00BD3889"/>
    <w:rsid w:val="00BD4D23"/>
    <w:rsid w:val="00BD6CDF"/>
    <w:rsid w:val="00BE1C43"/>
    <w:rsid w:val="00BE31F0"/>
    <w:rsid w:val="00BE6118"/>
    <w:rsid w:val="00BF2602"/>
    <w:rsid w:val="00BF314B"/>
    <w:rsid w:val="00BF3FF7"/>
    <w:rsid w:val="00C01C47"/>
    <w:rsid w:val="00C053CC"/>
    <w:rsid w:val="00C05650"/>
    <w:rsid w:val="00C0611C"/>
    <w:rsid w:val="00C07220"/>
    <w:rsid w:val="00C12320"/>
    <w:rsid w:val="00C13CF1"/>
    <w:rsid w:val="00C17F57"/>
    <w:rsid w:val="00C20FF4"/>
    <w:rsid w:val="00C21C15"/>
    <w:rsid w:val="00C31F8C"/>
    <w:rsid w:val="00C36EE4"/>
    <w:rsid w:val="00C57A78"/>
    <w:rsid w:val="00C57C79"/>
    <w:rsid w:val="00C65565"/>
    <w:rsid w:val="00C6620C"/>
    <w:rsid w:val="00C67853"/>
    <w:rsid w:val="00C741DA"/>
    <w:rsid w:val="00C77733"/>
    <w:rsid w:val="00C86E08"/>
    <w:rsid w:val="00C86E44"/>
    <w:rsid w:val="00C910C5"/>
    <w:rsid w:val="00CA13F6"/>
    <w:rsid w:val="00CA19B6"/>
    <w:rsid w:val="00CA615A"/>
    <w:rsid w:val="00CB0601"/>
    <w:rsid w:val="00CC4D8C"/>
    <w:rsid w:val="00CC7286"/>
    <w:rsid w:val="00CD1165"/>
    <w:rsid w:val="00CD326A"/>
    <w:rsid w:val="00CD4F66"/>
    <w:rsid w:val="00CD7DCD"/>
    <w:rsid w:val="00CE6754"/>
    <w:rsid w:val="00CF159B"/>
    <w:rsid w:val="00CF2343"/>
    <w:rsid w:val="00CF2A48"/>
    <w:rsid w:val="00CF495F"/>
    <w:rsid w:val="00CF5FB1"/>
    <w:rsid w:val="00D04B02"/>
    <w:rsid w:val="00D069C0"/>
    <w:rsid w:val="00D07441"/>
    <w:rsid w:val="00D14D07"/>
    <w:rsid w:val="00D26EB4"/>
    <w:rsid w:val="00D278BE"/>
    <w:rsid w:val="00D308F1"/>
    <w:rsid w:val="00D46531"/>
    <w:rsid w:val="00D46EAA"/>
    <w:rsid w:val="00D55BE3"/>
    <w:rsid w:val="00D56FF2"/>
    <w:rsid w:val="00D60C71"/>
    <w:rsid w:val="00D6498A"/>
    <w:rsid w:val="00D65C29"/>
    <w:rsid w:val="00D67361"/>
    <w:rsid w:val="00D73537"/>
    <w:rsid w:val="00D76E07"/>
    <w:rsid w:val="00D84AD2"/>
    <w:rsid w:val="00D9621E"/>
    <w:rsid w:val="00D96881"/>
    <w:rsid w:val="00DB15D1"/>
    <w:rsid w:val="00DC6F70"/>
    <w:rsid w:val="00DC77D5"/>
    <w:rsid w:val="00DD2292"/>
    <w:rsid w:val="00DE1B85"/>
    <w:rsid w:val="00DF435D"/>
    <w:rsid w:val="00E004AE"/>
    <w:rsid w:val="00E00A74"/>
    <w:rsid w:val="00E012D8"/>
    <w:rsid w:val="00E02605"/>
    <w:rsid w:val="00E06CFF"/>
    <w:rsid w:val="00E1131E"/>
    <w:rsid w:val="00E11AAF"/>
    <w:rsid w:val="00E12549"/>
    <w:rsid w:val="00E130A1"/>
    <w:rsid w:val="00E13CFD"/>
    <w:rsid w:val="00E1785C"/>
    <w:rsid w:val="00E27FBC"/>
    <w:rsid w:val="00E416C7"/>
    <w:rsid w:val="00E423CC"/>
    <w:rsid w:val="00E44B2F"/>
    <w:rsid w:val="00E45BDF"/>
    <w:rsid w:val="00E46C1F"/>
    <w:rsid w:val="00E620B3"/>
    <w:rsid w:val="00E648C2"/>
    <w:rsid w:val="00E67988"/>
    <w:rsid w:val="00E71399"/>
    <w:rsid w:val="00E74821"/>
    <w:rsid w:val="00E76A86"/>
    <w:rsid w:val="00E76E8D"/>
    <w:rsid w:val="00E8100A"/>
    <w:rsid w:val="00E81747"/>
    <w:rsid w:val="00E926E4"/>
    <w:rsid w:val="00E95D84"/>
    <w:rsid w:val="00E97832"/>
    <w:rsid w:val="00EA30AF"/>
    <w:rsid w:val="00EC2B56"/>
    <w:rsid w:val="00EC3B0C"/>
    <w:rsid w:val="00EC67BD"/>
    <w:rsid w:val="00ED0EF9"/>
    <w:rsid w:val="00ED6A21"/>
    <w:rsid w:val="00EE6128"/>
    <w:rsid w:val="00EF22D6"/>
    <w:rsid w:val="00EF24AC"/>
    <w:rsid w:val="00F06FC4"/>
    <w:rsid w:val="00F10D3C"/>
    <w:rsid w:val="00F15562"/>
    <w:rsid w:val="00F3030A"/>
    <w:rsid w:val="00F421A8"/>
    <w:rsid w:val="00F44038"/>
    <w:rsid w:val="00F50CE3"/>
    <w:rsid w:val="00F511CF"/>
    <w:rsid w:val="00F55676"/>
    <w:rsid w:val="00F83A2F"/>
    <w:rsid w:val="00F83DF2"/>
    <w:rsid w:val="00F86B1B"/>
    <w:rsid w:val="00F86E2E"/>
    <w:rsid w:val="00F91D44"/>
    <w:rsid w:val="00F925B5"/>
    <w:rsid w:val="00F93ABB"/>
    <w:rsid w:val="00F942E6"/>
    <w:rsid w:val="00FA1092"/>
    <w:rsid w:val="00FA37C6"/>
    <w:rsid w:val="00FB2EA6"/>
    <w:rsid w:val="00FB3018"/>
    <w:rsid w:val="00FB4876"/>
    <w:rsid w:val="00FC0687"/>
    <w:rsid w:val="00FC20D1"/>
    <w:rsid w:val="00FD19BD"/>
    <w:rsid w:val="00FD6C17"/>
    <w:rsid w:val="00FD6D8F"/>
    <w:rsid w:val="00FE3CDE"/>
    <w:rsid w:val="00FE6BF9"/>
    <w:rsid w:val="00FF1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848EF6"/>
  <w15:chartTrackingRefBased/>
  <w15:docId w15:val="{CF96CF05-7CEB-4610-8F3D-A617D5559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7"/>
        <w:szCs w:val="22"/>
        <w:lang w:val="en-GB" w:eastAsia="en-US" w:bidi="ar-SA"/>
      </w:rPr>
    </w:rPrDefault>
    <w:pPrDefault>
      <w:pPr>
        <w:spacing w:after="200" w:line="30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5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0D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30DB4"/>
    <w:pPr>
      <w:ind w:left="720"/>
      <w:contextualSpacing/>
    </w:pPr>
  </w:style>
  <w:style w:type="character" w:styleId="Hyperlink">
    <w:name w:val="Hyperlink"/>
    <w:basedOn w:val="DefaultParagraphFont"/>
    <w:uiPriority w:val="99"/>
    <w:unhideWhenUsed/>
    <w:rsid w:val="00A8222C"/>
    <w:rPr>
      <w:color w:val="0000FF" w:themeColor="hyperlink"/>
      <w:u w:val="single"/>
    </w:rPr>
  </w:style>
  <w:style w:type="character" w:styleId="FollowedHyperlink">
    <w:name w:val="FollowedHyperlink"/>
    <w:basedOn w:val="DefaultParagraphFont"/>
    <w:uiPriority w:val="99"/>
    <w:semiHidden/>
    <w:unhideWhenUsed/>
    <w:rsid w:val="00231362"/>
    <w:rPr>
      <w:color w:val="800080" w:themeColor="followedHyperlink"/>
      <w:u w:val="single"/>
    </w:rPr>
  </w:style>
  <w:style w:type="character" w:styleId="CommentReference">
    <w:name w:val="annotation reference"/>
    <w:basedOn w:val="DefaultParagraphFont"/>
    <w:uiPriority w:val="99"/>
    <w:semiHidden/>
    <w:unhideWhenUsed/>
    <w:rsid w:val="002A2FC0"/>
    <w:rPr>
      <w:sz w:val="16"/>
      <w:szCs w:val="16"/>
    </w:rPr>
  </w:style>
  <w:style w:type="paragraph" w:styleId="CommentText">
    <w:name w:val="annotation text"/>
    <w:basedOn w:val="Normal"/>
    <w:link w:val="CommentTextChar"/>
    <w:uiPriority w:val="99"/>
    <w:semiHidden/>
    <w:unhideWhenUsed/>
    <w:rsid w:val="002A2FC0"/>
    <w:pPr>
      <w:spacing w:line="240" w:lineRule="auto"/>
    </w:pPr>
    <w:rPr>
      <w:sz w:val="20"/>
      <w:szCs w:val="20"/>
    </w:rPr>
  </w:style>
  <w:style w:type="character" w:customStyle="1" w:styleId="CommentTextChar">
    <w:name w:val="Comment Text Char"/>
    <w:basedOn w:val="DefaultParagraphFont"/>
    <w:link w:val="CommentText"/>
    <w:uiPriority w:val="99"/>
    <w:semiHidden/>
    <w:rsid w:val="002A2FC0"/>
    <w:rPr>
      <w:sz w:val="20"/>
      <w:szCs w:val="20"/>
    </w:rPr>
  </w:style>
  <w:style w:type="paragraph" w:styleId="Header">
    <w:name w:val="header"/>
    <w:basedOn w:val="Normal"/>
    <w:link w:val="HeaderChar"/>
    <w:uiPriority w:val="99"/>
    <w:unhideWhenUsed/>
    <w:rsid w:val="002A2FC0"/>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2FC0"/>
  </w:style>
  <w:style w:type="paragraph" w:styleId="Footer">
    <w:name w:val="footer"/>
    <w:basedOn w:val="Normal"/>
    <w:link w:val="FooterChar"/>
    <w:uiPriority w:val="99"/>
    <w:unhideWhenUsed/>
    <w:rsid w:val="002A2FC0"/>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2FC0"/>
  </w:style>
  <w:style w:type="paragraph" w:styleId="BalloonText">
    <w:name w:val="Balloon Text"/>
    <w:basedOn w:val="Normal"/>
    <w:link w:val="BalloonTextChar"/>
    <w:uiPriority w:val="99"/>
    <w:semiHidden/>
    <w:unhideWhenUsed/>
    <w:rsid w:val="002A2F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FC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4048F"/>
    <w:rPr>
      <w:b/>
      <w:bCs/>
    </w:rPr>
  </w:style>
  <w:style w:type="character" w:customStyle="1" w:styleId="CommentSubjectChar">
    <w:name w:val="Comment Subject Char"/>
    <w:basedOn w:val="CommentTextChar"/>
    <w:link w:val="CommentSubject"/>
    <w:uiPriority w:val="99"/>
    <w:semiHidden/>
    <w:rsid w:val="00A4048F"/>
    <w:rPr>
      <w:b/>
      <w:bCs/>
      <w:sz w:val="20"/>
      <w:szCs w:val="20"/>
    </w:rPr>
  </w:style>
  <w:style w:type="character" w:styleId="LineNumber">
    <w:name w:val="line number"/>
    <w:basedOn w:val="DefaultParagraphFont"/>
    <w:uiPriority w:val="99"/>
    <w:semiHidden/>
    <w:unhideWhenUsed/>
    <w:rsid w:val="00B52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405786">
      <w:bodyDiv w:val="1"/>
      <w:marLeft w:val="0"/>
      <w:marRight w:val="0"/>
      <w:marTop w:val="0"/>
      <w:marBottom w:val="0"/>
      <w:divBdr>
        <w:top w:val="none" w:sz="0" w:space="0" w:color="auto"/>
        <w:left w:val="none" w:sz="0" w:space="0" w:color="auto"/>
        <w:bottom w:val="none" w:sz="0" w:space="0" w:color="auto"/>
        <w:right w:val="none" w:sz="0" w:space="0" w:color="auto"/>
      </w:divBdr>
      <w:divsChild>
        <w:div w:id="1077827294">
          <w:marLeft w:val="0"/>
          <w:marRight w:val="0"/>
          <w:marTop w:val="0"/>
          <w:marBottom w:val="0"/>
          <w:divBdr>
            <w:top w:val="none" w:sz="0" w:space="0" w:color="auto"/>
            <w:left w:val="none" w:sz="0" w:space="0" w:color="auto"/>
            <w:bottom w:val="none" w:sz="0" w:space="0" w:color="auto"/>
            <w:right w:val="none" w:sz="0" w:space="0" w:color="auto"/>
          </w:divBdr>
          <w:divsChild>
            <w:div w:id="499388966">
              <w:marLeft w:val="0"/>
              <w:marRight w:val="0"/>
              <w:marTop w:val="100"/>
              <w:marBottom w:val="100"/>
              <w:divBdr>
                <w:top w:val="none" w:sz="0" w:space="0" w:color="auto"/>
                <w:left w:val="none" w:sz="0" w:space="0" w:color="auto"/>
                <w:bottom w:val="none" w:sz="0" w:space="0" w:color="auto"/>
                <w:right w:val="none" w:sz="0" w:space="0" w:color="auto"/>
              </w:divBdr>
              <w:divsChild>
                <w:div w:id="19283046">
                  <w:marLeft w:val="0"/>
                  <w:marRight w:val="0"/>
                  <w:marTop w:val="0"/>
                  <w:marBottom w:val="0"/>
                  <w:divBdr>
                    <w:top w:val="none" w:sz="0" w:space="0" w:color="auto"/>
                    <w:left w:val="none" w:sz="0" w:space="0" w:color="auto"/>
                    <w:bottom w:val="none" w:sz="0" w:space="0" w:color="auto"/>
                    <w:right w:val="none" w:sz="0" w:space="0" w:color="auto"/>
                  </w:divBdr>
                  <w:divsChild>
                    <w:div w:id="637420428">
                      <w:marLeft w:val="0"/>
                      <w:marRight w:val="0"/>
                      <w:marTop w:val="0"/>
                      <w:marBottom w:val="0"/>
                      <w:divBdr>
                        <w:top w:val="none" w:sz="0" w:space="0" w:color="auto"/>
                        <w:left w:val="none" w:sz="0" w:space="0" w:color="auto"/>
                        <w:bottom w:val="none" w:sz="0" w:space="0" w:color="auto"/>
                        <w:right w:val="none" w:sz="0" w:space="0" w:color="auto"/>
                      </w:divBdr>
                      <w:divsChild>
                        <w:div w:id="1261525623">
                          <w:marLeft w:val="0"/>
                          <w:marRight w:val="0"/>
                          <w:marTop w:val="0"/>
                          <w:marBottom w:val="0"/>
                          <w:divBdr>
                            <w:top w:val="none" w:sz="0" w:space="0" w:color="auto"/>
                            <w:left w:val="none" w:sz="0" w:space="0" w:color="auto"/>
                            <w:bottom w:val="none" w:sz="0" w:space="0" w:color="auto"/>
                            <w:right w:val="none" w:sz="0" w:space="0" w:color="auto"/>
                          </w:divBdr>
                          <w:divsChild>
                            <w:div w:id="1120956462">
                              <w:marLeft w:val="0"/>
                              <w:marRight w:val="0"/>
                              <w:marTop w:val="0"/>
                              <w:marBottom w:val="0"/>
                              <w:divBdr>
                                <w:top w:val="none" w:sz="0" w:space="0" w:color="auto"/>
                                <w:left w:val="none" w:sz="0" w:space="0" w:color="auto"/>
                                <w:bottom w:val="none" w:sz="0" w:space="0" w:color="auto"/>
                                <w:right w:val="none" w:sz="0" w:space="0" w:color="auto"/>
                              </w:divBdr>
                              <w:divsChild>
                                <w:div w:id="1942369929">
                                  <w:marLeft w:val="0"/>
                                  <w:marRight w:val="0"/>
                                  <w:marTop w:val="100"/>
                                  <w:marBottom w:val="100"/>
                                  <w:divBdr>
                                    <w:top w:val="none" w:sz="0" w:space="0" w:color="auto"/>
                                    <w:left w:val="none" w:sz="0" w:space="0" w:color="auto"/>
                                    <w:bottom w:val="none" w:sz="0" w:space="0" w:color="auto"/>
                                    <w:right w:val="none" w:sz="0" w:space="0" w:color="auto"/>
                                  </w:divBdr>
                                  <w:divsChild>
                                    <w:div w:id="1619986335">
                                      <w:marLeft w:val="0"/>
                                      <w:marRight w:val="0"/>
                                      <w:marTop w:val="0"/>
                                      <w:marBottom w:val="0"/>
                                      <w:divBdr>
                                        <w:top w:val="none" w:sz="0" w:space="0" w:color="auto"/>
                                        <w:left w:val="none" w:sz="0" w:space="0" w:color="auto"/>
                                        <w:bottom w:val="none" w:sz="0" w:space="0" w:color="auto"/>
                                        <w:right w:val="none" w:sz="0" w:space="0" w:color="auto"/>
                                      </w:divBdr>
                                      <w:divsChild>
                                        <w:div w:id="17828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7863668">
      <w:bodyDiv w:val="1"/>
      <w:marLeft w:val="0"/>
      <w:marRight w:val="0"/>
      <w:marTop w:val="0"/>
      <w:marBottom w:val="0"/>
      <w:divBdr>
        <w:top w:val="none" w:sz="0" w:space="0" w:color="auto"/>
        <w:left w:val="none" w:sz="0" w:space="0" w:color="auto"/>
        <w:bottom w:val="none" w:sz="0" w:space="0" w:color="auto"/>
        <w:right w:val="none" w:sz="0" w:space="0" w:color="auto"/>
      </w:divBdr>
      <w:divsChild>
        <w:div w:id="1416316113">
          <w:marLeft w:val="0"/>
          <w:marRight w:val="0"/>
          <w:marTop w:val="0"/>
          <w:marBottom w:val="0"/>
          <w:divBdr>
            <w:top w:val="none" w:sz="0" w:space="0" w:color="auto"/>
            <w:left w:val="none" w:sz="0" w:space="0" w:color="auto"/>
            <w:bottom w:val="none" w:sz="0" w:space="0" w:color="auto"/>
            <w:right w:val="none" w:sz="0" w:space="0" w:color="auto"/>
          </w:divBdr>
          <w:divsChild>
            <w:div w:id="172913300">
              <w:marLeft w:val="0"/>
              <w:marRight w:val="0"/>
              <w:marTop w:val="100"/>
              <w:marBottom w:val="100"/>
              <w:divBdr>
                <w:top w:val="none" w:sz="0" w:space="0" w:color="auto"/>
                <w:left w:val="none" w:sz="0" w:space="0" w:color="auto"/>
                <w:bottom w:val="none" w:sz="0" w:space="0" w:color="auto"/>
                <w:right w:val="none" w:sz="0" w:space="0" w:color="auto"/>
              </w:divBdr>
              <w:divsChild>
                <w:div w:id="1820422205">
                  <w:marLeft w:val="0"/>
                  <w:marRight w:val="0"/>
                  <w:marTop w:val="0"/>
                  <w:marBottom w:val="0"/>
                  <w:divBdr>
                    <w:top w:val="none" w:sz="0" w:space="0" w:color="auto"/>
                    <w:left w:val="none" w:sz="0" w:space="0" w:color="auto"/>
                    <w:bottom w:val="none" w:sz="0" w:space="0" w:color="auto"/>
                    <w:right w:val="none" w:sz="0" w:space="0" w:color="auto"/>
                  </w:divBdr>
                  <w:divsChild>
                    <w:div w:id="1268657995">
                      <w:marLeft w:val="0"/>
                      <w:marRight w:val="0"/>
                      <w:marTop w:val="0"/>
                      <w:marBottom w:val="0"/>
                      <w:divBdr>
                        <w:top w:val="none" w:sz="0" w:space="0" w:color="auto"/>
                        <w:left w:val="none" w:sz="0" w:space="0" w:color="auto"/>
                        <w:bottom w:val="none" w:sz="0" w:space="0" w:color="auto"/>
                        <w:right w:val="none" w:sz="0" w:space="0" w:color="auto"/>
                      </w:divBdr>
                      <w:divsChild>
                        <w:div w:id="1798597201">
                          <w:marLeft w:val="0"/>
                          <w:marRight w:val="0"/>
                          <w:marTop w:val="0"/>
                          <w:marBottom w:val="0"/>
                          <w:divBdr>
                            <w:top w:val="none" w:sz="0" w:space="0" w:color="auto"/>
                            <w:left w:val="none" w:sz="0" w:space="0" w:color="auto"/>
                            <w:bottom w:val="none" w:sz="0" w:space="0" w:color="auto"/>
                            <w:right w:val="none" w:sz="0" w:space="0" w:color="auto"/>
                          </w:divBdr>
                          <w:divsChild>
                            <w:div w:id="1624120431">
                              <w:marLeft w:val="0"/>
                              <w:marRight w:val="0"/>
                              <w:marTop w:val="0"/>
                              <w:marBottom w:val="0"/>
                              <w:divBdr>
                                <w:top w:val="none" w:sz="0" w:space="0" w:color="auto"/>
                                <w:left w:val="none" w:sz="0" w:space="0" w:color="auto"/>
                                <w:bottom w:val="none" w:sz="0" w:space="0" w:color="auto"/>
                                <w:right w:val="none" w:sz="0" w:space="0" w:color="auto"/>
                              </w:divBdr>
                              <w:divsChild>
                                <w:div w:id="447774181">
                                  <w:marLeft w:val="0"/>
                                  <w:marRight w:val="0"/>
                                  <w:marTop w:val="100"/>
                                  <w:marBottom w:val="100"/>
                                  <w:divBdr>
                                    <w:top w:val="none" w:sz="0" w:space="0" w:color="auto"/>
                                    <w:left w:val="none" w:sz="0" w:space="0" w:color="auto"/>
                                    <w:bottom w:val="none" w:sz="0" w:space="0" w:color="auto"/>
                                    <w:right w:val="none" w:sz="0" w:space="0" w:color="auto"/>
                                  </w:divBdr>
                                  <w:divsChild>
                                    <w:div w:id="674262108">
                                      <w:marLeft w:val="0"/>
                                      <w:marRight w:val="0"/>
                                      <w:marTop w:val="0"/>
                                      <w:marBottom w:val="0"/>
                                      <w:divBdr>
                                        <w:top w:val="none" w:sz="0" w:space="0" w:color="auto"/>
                                        <w:left w:val="none" w:sz="0" w:space="0" w:color="auto"/>
                                        <w:bottom w:val="none" w:sz="0" w:space="0" w:color="auto"/>
                                        <w:right w:val="none" w:sz="0" w:space="0" w:color="auto"/>
                                      </w:divBdr>
                                      <w:divsChild>
                                        <w:div w:id="20939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4332846">
      <w:bodyDiv w:val="1"/>
      <w:marLeft w:val="0"/>
      <w:marRight w:val="0"/>
      <w:marTop w:val="0"/>
      <w:marBottom w:val="0"/>
      <w:divBdr>
        <w:top w:val="none" w:sz="0" w:space="0" w:color="auto"/>
        <w:left w:val="none" w:sz="0" w:space="0" w:color="auto"/>
        <w:bottom w:val="none" w:sz="0" w:space="0" w:color="auto"/>
        <w:right w:val="none" w:sz="0" w:space="0" w:color="auto"/>
      </w:divBdr>
    </w:div>
    <w:div w:id="190784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microsoft.com/office/2016/09/relationships/commentsIds" Target="commentsIds.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86554828263141"/>
          <c:y val="6.1624649859943981E-2"/>
          <c:w val="0.69242683928312643"/>
          <c:h val="0.59247579346699308"/>
        </c:manualLayout>
      </c:layout>
      <c:barChart>
        <c:barDir val="col"/>
        <c:grouping val="clustered"/>
        <c:varyColors val="0"/>
        <c:ser>
          <c:idx val="0"/>
          <c:order val="0"/>
          <c:tx>
            <c:strRef>
              <c:f>PCB!$E$29:$E$30</c:f>
              <c:strCache>
                <c:ptCount val="2"/>
                <c:pt idx="0">
                  <c:v>Subcutaneous fat</c:v>
                </c:pt>
                <c:pt idx="1">
                  <c:v>Skua (n=2)</c:v>
                </c:pt>
              </c:strCache>
            </c:strRef>
          </c:tx>
          <c:spPr>
            <a:solidFill>
              <a:schemeClr val="accent1"/>
            </a:solidFill>
            <a:ln>
              <a:noFill/>
            </a:ln>
            <a:effectLst/>
          </c:spPr>
          <c:invertIfNegative val="0"/>
          <c:cat>
            <c:strRef>
              <c:f>PCB!$D$31:$D$45</c:f>
              <c:strCache>
                <c:ptCount val="15"/>
                <c:pt idx="0">
                  <c:v>PCB 123</c:v>
                </c:pt>
                <c:pt idx="1">
                  <c:v>PCB 118</c:v>
                </c:pt>
                <c:pt idx="2">
                  <c:v>PCB 114</c:v>
                </c:pt>
                <c:pt idx="3">
                  <c:v>PCB 105</c:v>
                </c:pt>
                <c:pt idx="4">
                  <c:v>PCB 167</c:v>
                </c:pt>
                <c:pt idx="5">
                  <c:v>PCB 156</c:v>
                </c:pt>
                <c:pt idx="6">
                  <c:v>PCB 157</c:v>
                </c:pt>
                <c:pt idx="7">
                  <c:v>PCB 189</c:v>
                </c:pt>
                <c:pt idx="8">
                  <c:v>PCB 28</c:v>
                </c:pt>
                <c:pt idx="9">
                  <c:v>PCB 52</c:v>
                </c:pt>
                <c:pt idx="10">
                  <c:v>PCB 101</c:v>
                </c:pt>
                <c:pt idx="11">
                  <c:v>PCB 153</c:v>
                </c:pt>
                <c:pt idx="12">
                  <c:v>PCB 138</c:v>
                </c:pt>
                <c:pt idx="13">
                  <c:v>PCB 180</c:v>
                </c:pt>
                <c:pt idx="14">
                  <c:v>PCBs Sum</c:v>
                </c:pt>
              </c:strCache>
            </c:strRef>
          </c:cat>
          <c:val>
            <c:numRef>
              <c:f>PCB!$E$31:$E$45</c:f>
              <c:numCache>
                <c:formatCode>General</c:formatCode>
                <c:ptCount val="15"/>
                <c:pt idx="0">
                  <c:v>7.4854531911465605</c:v>
                </c:pt>
                <c:pt idx="1">
                  <c:v>2.9756901224773786</c:v>
                </c:pt>
                <c:pt idx="2">
                  <c:v>14.458170103502418</c:v>
                </c:pt>
                <c:pt idx="3">
                  <c:v>150.96730627236522</c:v>
                </c:pt>
                <c:pt idx="4">
                  <c:v>291.68000156884494</c:v>
                </c:pt>
                <c:pt idx="5">
                  <c:v>286.59397832380199</c:v>
                </c:pt>
                <c:pt idx="6">
                  <c:v>61.634105959223675</c:v>
                </c:pt>
                <c:pt idx="7">
                  <c:v>71.966474128002432</c:v>
                </c:pt>
                <c:pt idx="8">
                  <c:v>3.3919523005962922</c:v>
                </c:pt>
                <c:pt idx="9">
                  <c:v>3.0639965565569156</c:v>
                </c:pt>
                <c:pt idx="10">
                  <c:v>63.427935551490684</c:v>
                </c:pt>
                <c:pt idx="11">
                  <c:v>5558.2188129166498</c:v>
                </c:pt>
                <c:pt idx="12">
                  <c:v>1638.3365881912146</c:v>
                </c:pt>
                <c:pt idx="13">
                  <c:v>5644.8180759498719</c:v>
                </c:pt>
                <c:pt idx="14">
                  <c:v>13799.018541135745</c:v>
                </c:pt>
              </c:numCache>
            </c:numRef>
          </c:val>
          <c:extLst>
            <c:ext xmlns:c16="http://schemas.microsoft.com/office/drawing/2014/chart" uri="{C3380CC4-5D6E-409C-BE32-E72D297353CC}">
              <c16:uniqueId val="{00000000-0E67-4FCB-BEB9-689326AB5185}"/>
            </c:ext>
          </c:extLst>
        </c:ser>
        <c:dLbls>
          <c:showLegendKey val="0"/>
          <c:showVal val="0"/>
          <c:showCatName val="0"/>
          <c:showSerName val="0"/>
          <c:showPercent val="0"/>
          <c:showBubbleSize val="0"/>
        </c:dLbls>
        <c:gapWidth val="219"/>
        <c:overlap val="-27"/>
        <c:axId val="424108200"/>
        <c:axId val="425402024"/>
      </c:barChart>
      <c:scatterChart>
        <c:scatterStyle val="lineMarker"/>
        <c:varyColors val="0"/>
        <c:ser>
          <c:idx val="1"/>
          <c:order val="1"/>
          <c:tx>
            <c:strRef>
              <c:f>PCB!$F$29:$F$30</c:f>
              <c:strCache>
                <c:ptCount val="2"/>
                <c:pt idx="0">
                  <c:v>Subcutaneous fat</c:v>
                </c:pt>
                <c:pt idx="1">
                  <c:v>Gull (n=1)</c:v>
                </c:pt>
              </c:strCache>
            </c:strRef>
          </c:tx>
          <c:spPr>
            <a:ln w="25400" cap="rnd">
              <a:noFill/>
              <a:round/>
            </a:ln>
            <a:effectLst/>
          </c:spPr>
          <c:marker>
            <c:symbol val="circle"/>
            <c:size val="5"/>
            <c:spPr>
              <a:solidFill>
                <a:schemeClr val="accent2"/>
              </a:solidFill>
              <a:ln w="9525">
                <a:solidFill>
                  <a:schemeClr val="accent2"/>
                </a:solidFill>
              </a:ln>
              <a:effectLst/>
            </c:spPr>
          </c:marker>
          <c:xVal>
            <c:strRef>
              <c:f>PCB!$D$31:$D$45</c:f>
              <c:strCache>
                <c:ptCount val="15"/>
                <c:pt idx="0">
                  <c:v>PCB 123</c:v>
                </c:pt>
                <c:pt idx="1">
                  <c:v>PCB 118</c:v>
                </c:pt>
                <c:pt idx="2">
                  <c:v>PCB 114</c:v>
                </c:pt>
                <c:pt idx="3">
                  <c:v>PCB 105</c:v>
                </c:pt>
                <c:pt idx="4">
                  <c:v>PCB 167</c:v>
                </c:pt>
                <c:pt idx="5">
                  <c:v>PCB 156</c:v>
                </c:pt>
                <c:pt idx="6">
                  <c:v>PCB 157</c:v>
                </c:pt>
                <c:pt idx="7">
                  <c:v>PCB 189</c:v>
                </c:pt>
                <c:pt idx="8">
                  <c:v>PCB 28</c:v>
                </c:pt>
                <c:pt idx="9">
                  <c:v>PCB 52</c:v>
                </c:pt>
                <c:pt idx="10">
                  <c:v>PCB 101</c:v>
                </c:pt>
                <c:pt idx="11">
                  <c:v>PCB 153</c:v>
                </c:pt>
                <c:pt idx="12">
                  <c:v>PCB 138</c:v>
                </c:pt>
                <c:pt idx="13">
                  <c:v>PCB 180</c:v>
                </c:pt>
                <c:pt idx="14">
                  <c:v>PCBs Sum</c:v>
                </c:pt>
              </c:strCache>
            </c:strRef>
          </c:xVal>
          <c:yVal>
            <c:numRef>
              <c:f>PCB!$F$31:$F$45</c:f>
              <c:numCache>
                <c:formatCode>General</c:formatCode>
                <c:ptCount val="15"/>
                <c:pt idx="0">
                  <c:v>2.0155037122234383</c:v>
                </c:pt>
                <c:pt idx="1">
                  <c:v>120.56617877553292</c:v>
                </c:pt>
                <c:pt idx="2">
                  <c:v>2.1690091965990481</c:v>
                </c:pt>
                <c:pt idx="3">
                  <c:v>22.256524522875178</c:v>
                </c:pt>
                <c:pt idx="4">
                  <c:v>31.073341545806795</c:v>
                </c:pt>
                <c:pt idx="5">
                  <c:v>34.148701803614564</c:v>
                </c:pt>
                <c:pt idx="6">
                  <c:v>7.9049306943256976</c:v>
                </c:pt>
                <c:pt idx="7">
                  <c:v>7.7384299681338948</c:v>
                </c:pt>
                <c:pt idx="8">
                  <c:v>1.6639799789929344</c:v>
                </c:pt>
                <c:pt idx="9">
                  <c:v>0.64127228421189253</c:v>
                </c:pt>
                <c:pt idx="10">
                  <c:v>9.1836524652567313</c:v>
                </c:pt>
                <c:pt idx="11">
                  <c:v>641.04002333387291</c:v>
                </c:pt>
                <c:pt idx="12">
                  <c:v>193.11462088933075</c:v>
                </c:pt>
                <c:pt idx="13">
                  <c:v>619.38146326490016</c:v>
                </c:pt>
                <c:pt idx="14">
                  <c:v>1692.8976324356768</c:v>
                </c:pt>
              </c:numCache>
            </c:numRef>
          </c:yVal>
          <c:smooth val="0"/>
          <c:extLst>
            <c:ext xmlns:c16="http://schemas.microsoft.com/office/drawing/2014/chart" uri="{C3380CC4-5D6E-409C-BE32-E72D297353CC}">
              <c16:uniqueId val="{00000001-0E67-4FCB-BEB9-689326AB5185}"/>
            </c:ext>
          </c:extLst>
        </c:ser>
        <c:dLbls>
          <c:showLegendKey val="0"/>
          <c:showVal val="0"/>
          <c:showCatName val="0"/>
          <c:showSerName val="0"/>
          <c:showPercent val="0"/>
          <c:showBubbleSize val="0"/>
        </c:dLbls>
        <c:axId val="424108200"/>
        <c:axId val="425402024"/>
      </c:scatterChart>
      <c:catAx>
        <c:axId val="42410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5402024"/>
        <c:crossesAt val="0.1"/>
        <c:auto val="1"/>
        <c:lblAlgn val="ctr"/>
        <c:lblOffset val="100"/>
        <c:noMultiLvlLbl val="0"/>
      </c:catAx>
      <c:valAx>
        <c:axId val="42540202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C ng/g lipid</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4108200"/>
        <c:crossesAt val="1"/>
        <c:crossBetween val="between"/>
      </c:valAx>
      <c:spPr>
        <a:noFill/>
        <a:ln>
          <a:noFill/>
        </a:ln>
        <a:effectLst/>
      </c:spPr>
    </c:plotArea>
    <c:legend>
      <c:legendPos val="b"/>
      <c:layout>
        <c:manualLayout>
          <c:xMode val="edge"/>
          <c:yMode val="edge"/>
          <c:x val="4.9999901746746338E-2"/>
          <c:y val="0.85737003462802441"/>
          <c:w val="0.89999980349349273"/>
          <c:h val="0.1426299653719755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PCB!$E$11:$E$12</c:f>
              <c:strCache>
                <c:ptCount val="2"/>
                <c:pt idx="0">
                  <c:v>Liver</c:v>
                </c:pt>
                <c:pt idx="1">
                  <c:v>Skua (n=3)</c:v>
                </c:pt>
              </c:strCache>
            </c:strRef>
          </c:tx>
          <c:spPr>
            <a:solidFill>
              <a:schemeClr val="accent1"/>
            </a:solidFill>
            <a:ln>
              <a:noFill/>
            </a:ln>
            <a:effectLst/>
          </c:spPr>
          <c:invertIfNegative val="0"/>
          <c:errBars>
            <c:errBarType val="plus"/>
            <c:errValType val="cust"/>
            <c:noEndCap val="0"/>
            <c:plus>
              <c:numRef>
                <c:f>OCP!$G$31:$G$48</c:f>
                <c:numCache>
                  <c:formatCode>General</c:formatCode>
                  <c:ptCount val="18"/>
                  <c:pt idx="0">
                    <c:v>71.901902753598804</c:v>
                  </c:pt>
                  <c:pt idx="1">
                    <c:v>3.901191087876565</c:v>
                  </c:pt>
                  <c:pt idx="2">
                    <c:v>56.893138733523493</c:v>
                  </c:pt>
                  <c:pt idx="3">
                    <c:v>280.63746272437885</c:v>
                  </c:pt>
                  <c:pt idx="4">
                    <c:v>5.4523100283337662</c:v>
                  </c:pt>
                  <c:pt idx="5">
                    <c:v>2.6325598065388776</c:v>
                  </c:pt>
                  <c:pt idx="6">
                    <c:v>15.290153052700486</c:v>
                  </c:pt>
                  <c:pt idx="7">
                    <c:v>1.4898735123360538</c:v>
                  </c:pt>
                  <c:pt idx="8">
                    <c:v>3.0432973897378841</c:v>
                  </c:pt>
                  <c:pt idx="9">
                    <c:v>1.3165394205548839</c:v>
                  </c:pt>
                  <c:pt idx="10">
                    <c:v>1.6903477443928141</c:v>
                  </c:pt>
                  <c:pt idx="11">
                    <c:v>6.3694225101491853</c:v>
                  </c:pt>
                  <c:pt idx="12">
                    <c:v>11.144487303969738</c:v>
                  </c:pt>
                  <c:pt idx="13">
                    <c:v>8.5913507853424864</c:v>
                  </c:pt>
                  <c:pt idx="14">
                    <c:v>2.5312247671374362</c:v>
                  </c:pt>
                  <c:pt idx="15">
                    <c:v>2.5934689729369031</c:v>
                  </c:pt>
                  <c:pt idx="16">
                    <c:v>3.4347613854881094</c:v>
                  </c:pt>
                  <c:pt idx="17">
                    <c:v>12.47822135488104</c:v>
                  </c:pt>
                </c:numCache>
              </c:numRef>
            </c:plus>
            <c:minus>
              <c:numRef>
                <c:f>OCP!$G$31:$G$48</c:f>
                <c:numCache>
                  <c:formatCode>General</c:formatCode>
                  <c:ptCount val="18"/>
                  <c:pt idx="0">
                    <c:v>71.901902753598804</c:v>
                  </c:pt>
                  <c:pt idx="1">
                    <c:v>3.901191087876565</c:v>
                  </c:pt>
                  <c:pt idx="2">
                    <c:v>56.893138733523493</c:v>
                  </c:pt>
                  <c:pt idx="3">
                    <c:v>280.63746272437885</c:v>
                  </c:pt>
                  <c:pt idx="4">
                    <c:v>5.4523100283337662</c:v>
                  </c:pt>
                  <c:pt idx="5">
                    <c:v>2.6325598065388776</c:v>
                  </c:pt>
                  <c:pt idx="6">
                    <c:v>15.290153052700486</c:v>
                  </c:pt>
                  <c:pt idx="7">
                    <c:v>1.4898735123360538</c:v>
                  </c:pt>
                  <c:pt idx="8">
                    <c:v>3.0432973897378841</c:v>
                  </c:pt>
                  <c:pt idx="9">
                    <c:v>1.3165394205548839</c:v>
                  </c:pt>
                  <c:pt idx="10">
                    <c:v>1.6903477443928141</c:v>
                  </c:pt>
                  <c:pt idx="11">
                    <c:v>6.3694225101491853</c:v>
                  </c:pt>
                  <c:pt idx="12">
                    <c:v>11.144487303969738</c:v>
                  </c:pt>
                  <c:pt idx="13">
                    <c:v>8.5913507853424864</c:v>
                  </c:pt>
                  <c:pt idx="14">
                    <c:v>2.5312247671374362</c:v>
                  </c:pt>
                  <c:pt idx="15">
                    <c:v>2.5934689729369031</c:v>
                  </c:pt>
                  <c:pt idx="16">
                    <c:v>3.4347613854881094</c:v>
                  </c:pt>
                  <c:pt idx="17">
                    <c:v>12.47822135488104</c:v>
                  </c:pt>
                </c:numCache>
              </c:numRef>
            </c:minus>
            <c:spPr>
              <a:noFill/>
              <a:ln w="9525" cap="flat" cmpd="sng" algn="ctr">
                <a:solidFill>
                  <a:schemeClr val="tx1">
                    <a:lumMod val="65000"/>
                    <a:lumOff val="35000"/>
                  </a:schemeClr>
                </a:solidFill>
                <a:round/>
              </a:ln>
              <a:effectLst/>
            </c:spPr>
          </c:errBars>
          <c:cat>
            <c:strRef>
              <c:f>PCB!$D$13:$D$27</c:f>
              <c:strCache>
                <c:ptCount val="15"/>
                <c:pt idx="0">
                  <c:v>PCB 123</c:v>
                </c:pt>
                <c:pt idx="1">
                  <c:v>PCB 118</c:v>
                </c:pt>
                <c:pt idx="2">
                  <c:v>PCB 114</c:v>
                </c:pt>
                <c:pt idx="3">
                  <c:v>PCB 105</c:v>
                </c:pt>
                <c:pt idx="4">
                  <c:v>PCB 167</c:v>
                </c:pt>
                <c:pt idx="5">
                  <c:v>PCB 156</c:v>
                </c:pt>
                <c:pt idx="6">
                  <c:v>PCB 157</c:v>
                </c:pt>
                <c:pt idx="7">
                  <c:v>PCB 189</c:v>
                </c:pt>
                <c:pt idx="8">
                  <c:v>PCB 28</c:v>
                </c:pt>
                <c:pt idx="9">
                  <c:v>PCB 52</c:v>
                </c:pt>
                <c:pt idx="10">
                  <c:v>PCB 101</c:v>
                </c:pt>
                <c:pt idx="11">
                  <c:v>PCB 153</c:v>
                </c:pt>
                <c:pt idx="12">
                  <c:v>PCB 138</c:v>
                </c:pt>
                <c:pt idx="13">
                  <c:v>PCB 180</c:v>
                </c:pt>
                <c:pt idx="14">
                  <c:v>PCBs Sum</c:v>
                </c:pt>
              </c:strCache>
            </c:strRef>
          </c:cat>
          <c:val>
            <c:numRef>
              <c:f>PCB!$E$13:$E$27</c:f>
              <c:numCache>
                <c:formatCode>General</c:formatCode>
                <c:ptCount val="15"/>
                <c:pt idx="0">
                  <c:v>2.7604295930654823</c:v>
                </c:pt>
                <c:pt idx="1">
                  <c:v>18.346812440855889</c:v>
                </c:pt>
                <c:pt idx="2">
                  <c:v>33.404145704364602</c:v>
                </c:pt>
                <c:pt idx="3">
                  <c:v>328.81449541120418</c:v>
                </c:pt>
                <c:pt idx="4">
                  <c:v>499.08803600158257</c:v>
                </c:pt>
                <c:pt idx="5">
                  <c:v>516.90258889389531</c:v>
                </c:pt>
                <c:pt idx="6">
                  <c:v>116.1430040976289</c:v>
                </c:pt>
                <c:pt idx="7">
                  <c:v>129.26172072152292</c:v>
                </c:pt>
                <c:pt idx="8">
                  <c:v>42.222063937115593</c:v>
                </c:pt>
                <c:pt idx="9">
                  <c:v>0.45421081258793689</c:v>
                </c:pt>
                <c:pt idx="10">
                  <c:v>168.69836005184894</c:v>
                </c:pt>
                <c:pt idx="11">
                  <c:v>10438.10177847772</c:v>
                </c:pt>
                <c:pt idx="12">
                  <c:v>3267.1631238653113</c:v>
                </c:pt>
                <c:pt idx="13">
                  <c:v>9071.4569921434722</c:v>
                </c:pt>
                <c:pt idx="14">
                  <c:v>24632.817762152175</c:v>
                </c:pt>
              </c:numCache>
            </c:numRef>
          </c:val>
          <c:extLst>
            <c:ext xmlns:c16="http://schemas.microsoft.com/office/drawing/2014/chart" uri="{C3380CC4-5D6E-409C-BE32-E72D297353CC}">
              <c16:uniqueId val="{00000000-E06D-40B4-85CB-C6ADEACE2C69}"/>
            </c:ext>
          </c:extLst>
        </c:ser>
        <c:dLbls>
          <c:showLegendKey val="0"/>
          <c:showVal val="0"/>
          <c:showCatName val="0"/>
          <c:showSerName val="0"/>
          <c:showPercent val="0"/>
          <c:showBubbleSize val="0"/>
        </c:dLbls>
        <c:gapWidth val="219"/>
        <c:overlap val="-27"/>
        <c:axId val="424109376"/>
        <c:axId val="424108592"/>
      </c:barChart>
      <c:scatterChart>
        <c:scatterStyle val="lineMarker"/>
        <c:varyColors val="0"/>
        <c:ser>
          <c:idx val="1"/>
          <c:order val="1"/>
          <c:tx>
            <c:strRef>
              <c:f>PCB!$F$11:$F$12</c:f>
              <c:strCache>
                <c:ptCount val="2"/>
                <c:pt idx="0">
                  <c:v>Liver</c:v>
                </c:pt>
                <c:pt idx="1">
                  <c:v>Gull (n=1)</c:v>
                </c:pt>
              </c:strCache>
            </c:strRef>
          </c:tx>
          <c:spPr>
            <a:ln w="25400" cap="rnd">
              <a:noFill/>
              <a:round/>
            </a:ln>
            <a:effectLst/>
          </c:spPr>
          <c:marker>
            <c:symbol val="circle"/>
            <c:size val="5"/>
            <c:spPr>
              <a:solidFill>
                <a:schemeClr val="accent2"/>
              </a:solidFill>
              <a:ln w="9525">
                <a:solidFill>
                  <a:schemeClr val="accent2"/>
                </a:solidFill>
              </a:ln>
              <a:effectLst/>
            </c:spPr>
          </c:marker>
          <c:xVal>
            <c:strRef>
              <c:f>PCB!$D$13:$D$27</c:f>
              <c:strCache>
                <c:ptCount val="15"/>
                <c:pt idx="0">
                  <c:v>PCB 123</c:v>
                </c:pt>
                <c:pt idx="1">
                  <c:v>PCB 118</c:v>
                </c:pt>
                <c:pt idx="2">
                  <c:v>PCB 114</c:v>
                </c:pt>
                <c:pt idx="3">
                  <c:v>PCB 105</c:v>
                </c:pt>
                <c:pt idx="4">
                  <c:v>PCB 167</c:v>
                </c:pt>
                <c:pt idx="5">
                  <c:v>PCB 156</c:v>
                </c:pt>
                <c:pt idx="6">
                  <c:v>PCB 157</c:v>
                </c:pt>
                <c:pt idx="7">
                  <c:v>PCB 189</c:v>
                </c:pt>
                <c:pt idx="8">
                  <c:v>PCB 28</c:v>
                </c:pt>
                <c:pt idx="9">
                  <c:v>PCB 52</c:v>
                </c:pt>
                <c:pt idx="10">
                  <c:v>PCB 101</c:v>
                </c:pt>
                <c:pt idx="11">
                  <c:v>PCB 153</c:v>
                </c:pt>
                <c:pt idx="12">
                  <c:v>PCB 138</c:v>
                </c:pt>
                <c:pt idx="13">
                  <c:v>PCB 180</c:v>
                </c:pt>
                <c:pt idx="14">
                  <c:v>PCBs Sum</c:v>
                </c:pt>
              </c:strCache>
            </c:strRef>
          </c:xVal>
          <c:yVal>
            <c:numRef>
              <c:f>PCB!$F$13:$F$27</c:f>
              <c:numCache>
                <c:formatCode>General</c:formatCode>
                <c:ptCount val="15"/>
                <c:pt idx="0">
                  <c:v>0</c:v>
                </c:pt>
                <c:pt idx="1">
                  <c:v>3063.6540734940486</c:v>
                </c:pt>
                <c:pt idx="2">
                  <c:v>115.15375994832202</c:v>
                </c:pt>
                <c:pt idx="3">
                  <c:v>1428.5679695689182</c:v>
                </c:pt>
                <c:pt idx="4">
                  <c:v>238.88551288655327</c:v>
                </c:pt>
                <c:pt idx="5">
                  <c:v>319.87064571686045</c:v>
                </c:pt>
                <c:pt idx="6">
                  <c:v>336.38007311717081</c:v>
                </c:pt>
                <c:pt idx="7">
                  <c:v>37.060634446772553</c:v>
                </c:pt>
                <c:pt idx="8">
                  <c:v>536.64680116751538</c:v>
                </c:pt>
                <c:pt idx="9">
                  <c:v>909.39201291403469</c:v>
                </c:pt>
                <c:pt idx="10">
                  <c:v>2847.3446417576597</c:v>
                </c:pt>
                <c:pt idx="11">
                  <c:v>5784.9238109214284</c:v>
                </c:pt>
                <c:pt idx="12">
                  <c:v>5252.2314213961845</c:v>
                </c:pt>
                <c:pt idx="13">
                  <c:v>2576.4508101861343</c:v>
                </c:pt>
                <c:pt idx="14">
                  <c:v>23446.562167521603</c:v>
                </c:pt>
              </c:numCache>
            </c:numRef>
          </c:yVal>
          <c:smooth val="0"/>
          <c:extLst>
            <c:ext xmlns:c16="http://schemas.microsoft.com/office/drawing/2014/chart" uri="{C3380CC4-5D6E-409C-BE32-E72D297353CC}">
              <c16:uniqueId val="{00000001-E06D-40B4-85CB-C6ADEACE2C69}"/>
            </c:ext>
          </c:extLst>
        </c:ser>
        <c:dLbls>
          <c:showLegendKey val="0"/>
          <c:showVal val="0"/>
          <c:showCatName val="0"/>
          <c:showSerName val="0"/>
          <c:showPercent val="0"/>
          <c:showBubbleSize val="0"/>
        </c:dLbls>
        <c:axId val="424109376"/>
        <c:axId val="424108592"/>
      </c:scatterChart>
      <c:catAx>
        <c:axId val="42410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4108592"/>
        <c:crossesAt val="0.1"/>
        <c:auto val="1"/>
        <c:lblAlgn val="ctr"/>
        <c:lblOffset val="100"/>
        <c:noMultiLvlLbl val="0"/>
      </c:catAx>
      <c:valAx>
        <c:axId val="42410859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C ng/g lipid</a:t>
                </a:r>
              </a:p>
            </c:rich>
          </c:tx>
          <c:layout>
            <c:manualLayout>
              <c:xMode val="edge"/>
              <c:yMode val="edge"/>
              <c:x val="8.8105726872246701E-2"/>
              <c:y val="0.2840863925057103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4109376"/>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844904307596472"/>
          <c:y val="5.7925223802001054E-2"/>
          <c:w val="0.6861213776849322"/>
          <c:h val="0.64827364588905056"/>
        </c:manualLayout>
      </c:layout>
      <c:barChart>
        <c:barDir val="col"/>
        <c:grouping val="clustered"/>
        <c:varyColors val="0"/>
        <c:ser>
          <c:idx val="0"/>
          <c:order val="0"/>
          <c:tx>
            <c:strRef>
              <c:f>PCB!$E$47:$E$48</c:f>
              <c:strCache>
                <c:ptCount val="2"/>
                <c:pt idx="0">
                  <c:v>Muscle</c:v>
                </c:pt>
                <c:pt idx="1">
                  <c:v>Skua (n=3)</c:v>
                </c:pt>
              </c:strCache>
            </c:strRef>
          </c:tx>
          <c:spPr>
            <a:solidFill>
              <a:schemeClr val="accent1"/>
            </a:solidFill>
            <a:ln w="25400">
              <a:noFill/>
            </a:ln>
            <a:effectLst/>
          </c:spPr>
          <c:invertIfNegative val="0"/>
          <c:errBars>
            <c:errBarType val="plus"/>
            <c:errValType val="cust"/>
            <c:noEndCap val="0"/>
            <c:plus>
              <c:numRef>
                <c:f>OCP!$G$59:$G$76</c:f>
                <c:numCache>
                  <c:formatCode>General</c:formatCode>
                  <c:ptCount val="18"/>
                  <c:pt idx="0">
                    <c:v>6.9681843092738607</c:v>
                  </c:pt>
                  <c:pt idx="1">
                    <c:v>2.7690187770194892</c:v>
                  </c:pt>
                  <c:pt idx="2">
                    <c:v>7.5014213836525609</c:v>
                  </c:pt>
                  <c:pt idx="3">
                    <c:v>12.530304023891279</c:v>
                  </c:pt>
                  <c:pt idx="4">
                    <c:v>11.058130403937449</c:v>
                  </c:pt>
                  <c:pt idx="5">
                    <c:v>4.8684025008097871</c:v>
                  </c:pt>
                  <c:pt idx="6">
                    <c:v>12.632169746896388</c:v>
                  </c:pt>
                  <c:pt idx="7">
                    <c:v>4.1826944618915975</c:v>
                  </c:pt>
                  <c:pt idx="8">
                    <c:v>51.943429870307426</c:v>
                  </c:pt>
                  <c:pt idx="9">
                    <c:v>3.8636297427169208</c:v>
                  </c:pt>
                  <c:pt idx="10">
                    <c:v>8.565312884198665</c:v>
                  </c:pt>
                  <c:pt idx="11">
                    <c:v>21.645381308117965</c:v>
                  </c:pt>
                  <c:pt idx="12">
                    <c:v>14.406401314018126</c:v>
                  </c:pt>
                  <c:pt idx="13">
                    <c:v>18.203414353652356</c:v>
                  </c:pt>
                  <c:pt idx="14">
                    <c:v>18.404879556219441</c:v>
                  </c:pt>
                  <c:pt idx="15">
                    <c:v>72.219226439899231</c:v>
                  </c:pt>
                  <c:pt idx="16">
                    <c:v>12.392742432560611</c:v>
                  </c:pt>
                  <c:pt idx="17">
                    <c:v>4.2845780281962789</c:v>
                  </c:pt>
                </c:numCache>
              </c:numRef>
            </c:plus>
            <c:minus>
              <c:numRef>
                <c:f>OCP!$G$59:$G$76</c:f>
                <c:numCache>
                  <c:formatCode>General</c:formatCode>
                  <c:ptCount val="18"/>
                  <c:pt idx="0">
                    <c:v>6.9681843092738607</c:v>
                  </c:pt>
                  <c:pt idx="1">
                    <c:v>2.7690187770194892</c:v>
                  </c:pt>
                  <c:pt idx="2">
                    <c:v>7.5014213836525609</c:v>
                  </c:pt>
                  <c:pt idx="3">
                    <c:v>12.530304023891279</c:v>
                  </c:pt>
                  <c:pt idx="4">
                    <c:v>11.058130403937449</c:v>
                  </c:pt>
                  <c:pt idx="5">
                    <c:v>4.8684025008097871</c:v>
                  </c:pt>
                  <c:pt idx="6">
                    <c:v>12.632169746896388</c:v>
                  </c:pt>
                  <c:pt idx="7">
                    <c:v>4.1826944618915975</c:v>
                  </c:pt>
                  <c:pt idx="8">
                    <c:v>51.943429870307426</c:v>
                  </c:pt>
                  <c:pt idx="9">
                    <c:v>3.8636297427169208</c:v>
                  </c:pt>
                  <c:pt idx="10">
                    <c:v>8.565312884198665</c:v>
                  </c:pt>
                  <c:pt idx="11">
                    <c:v>21.645381308117965</c:v>
                  </c:pt>
                  <c:pt idx="12">
                    <c:v>14.406401314018126</c:v>
                  </c:pt>
                  <c:pt idx="13">
                    <c:v>18.203414353652356</c:v>
                  </c:pt>
                  <c:pt idx="14">
                    <c:v>18.404879556219441</c:v>
                  </c:pt>
                  <c:pt idx="15">
                    <c:v>72.219226439899231</c:v>
                  </c:pt>
                  <c:pt idx="16">
                    <c:v>12.392742432560611</c:v>
                  </c:pt>
                  <c:pt idx="17">
                    <c:v>4.2845780281962789</c:v>
                  </c:pt>
                </c:numCache>
              </c:numRef>
            </c:minus>
            <c:spPr>
              <a:noFill/>
              <a:ln w="9525" cap="flat" cmpd="sng" algn="ctr">
                <a:solidFill>
                  <a:schemeClr val="tx1">
                    <a:lumMod val="65000"/>
                    <a:lumOff val="35000"/>
                  </a:schemeClr>
                </a:solidFill>
                <a:round/>
              </a:ln>
              <a:effectLst/>
            </c:spPr>
          </c:errBars>
          <c:cat>
            <c:strRef>
              <c:f>PCB!$D$49:$D$63</c:f>
              <c:strCache>
                <c:ptCount val="15"/>
                <c:pt idx="0">
                  <c:v>PCB 123</c:v>
                </c:pt>
                <c:pt idx="1">
                  <c:v>PCB 118</c:v>
                </c:pt>
                <c:pt idx="2">
                  <c:v>PCB 114</c:v>
                </c:pt>
                <c:pt idx="3">
                  <c:v>PCB 105</c:v>
                </c:pt>
                <c:pt idx="4">
                  <c:v>PCB 167</c:v>
                </c:pt>
                <c:pt idx="5">
                  <c:v>PCB 156</c:v>
                </c:pt>
                <c:pt idx="6">
                  <c:v>PCB 157</c:v>
                </c:pt>
                <c:pt idx="7">
                  <c:v>PCB 189</c:v>
                </c:pt>
                <c:pt idx="8">
                  <c:v>PCB 28</c:v>
                </c:pt>
                <c:pt idx="9">
                  <c:v>PCB 52</c:v>
                </c:pt>
                <c:pt idx="10">
                  <c:v>PCB 101</c:v>
                </c:pt>
                <c:pt idx="11">
                  <c:v>PCB 153</c:v>
                </c:pt>
                <c:pt idx="12">
                  <c:v>PCB 138</c:v>
                </c:pt>
                <c:pt idx="13">
                  <c:v>PCB 180</c:v>
                </c:pt>
                <c:pt idx="14">
                  <c:v>Sum</c:v>
                </c:pt>
              </c:strCache>
            </c:strRef>
          </c:cat>
          <c:val>
            <c:numRef>
              <c:f>PCB!$E$49:$E$63</c:f>
              <c:numCache>
                <c:formatCode>General</c:formatCode>
                <c:ptCount val="15"/>
                <c:pt idx="0">
                  <c:v>0.73446074953123053</c:v>
                </c:pt>
                <c:pt idx="1">
                  <c:v>269.45965058025166</c:v>
                </c:pt>
                <c:pt idx="2">
                  <c:v>0.10692734204219101</c:v>
                </c:pt>
                <c:pt idx="3">
                  <c:v>53.96481624154449</c:v>
                </c:pt>
                <c:pt idx="4">
                  <c:v>61.888442799880345</c:v>
                </c:pt>
                <c:pt idx="5">
                  <c:v>72.353665921163184</c:v>
                </c:pt>
                <c:pt idx="6">
                  <c:v>26.471722995160196</c:v>
                </c:pt>
                <c:pt idx="7">
                  <c:v>13.47649044766648</c:v>
                </c:pt>
                <c:pt idx="8">
                  <c:v>5.2701299015707068</c:v>
                </c:pt>
                <c:pt idx="9">
                  <c:v>2.1378340944202825</c:v>
                </c:pt>
                <c:pt idx="10">
                  <c:v>21.14769191102074</c:v>
                </c:pt>
                <c:pt idx="11">
                  <c:v>1369.5622745965404</c:v>
                </c:pt>
                <c:pt idx="12">
                  <c:v>495.32143425943042</c:v>
                </c:pt>
                <c:pt idx="13">
                  <c:v>1129.8982719325984</c:v>
                </c:pt>
                <c:pt idx="14">
                  <c:v>3521.7938137728206</c:v>
                </c:pt>
              </c:numCache>
            </c:numRef>
          </c:val>
          <c:extLst>
            <c:ext xmlns:c16="http://schemas.microsoft.com/office/drawing/2014/chart" uri="{C3380CC4-5D6E-409C-BE32-E72D297353CC}">
              <c16:uniqueId val="{00000000-E0E8-47C1-A39A-FC80FC4BDE5D}"/>
            </c:ext>
          </c:extLst>
        </c:ser>
        <c:ser>
          <c:idx val="1"/>
          <c:order val="1"/>
          <c:tx>
            <c:strRef>
              <c:f>PCB!$F$47:$F$48</c:f>
              <c:strCache>
                <c:ptCount val="2"/>
                <c:pt idx="0">
                  <c:v>Muscle</c:v>
                </c:pt>
                <c:pt idx="1">
                  <c:v>Gull (n=3)</c:v>
                </c:pt>
              </c:strCache>
            </c:strRef>
          </c:tx>
          <c:spPr>
            <a:solidFill>
              <a:schemeClr val="accent2"/>
            </a:solidFill>
            <a:ln w="25400">
              <a:noFill/>
            </a:ln>
            <a:effectLst/>
          </c:spPr>
          <c:invertIfNegative val="0"/>
          <c:errBars>
            <c:errBarType val="plus"/>
            <c:errValType val="cust"/>
            <c:noEndCap val="0"/>
            <c:plus>
              <c:numRef>
                <c:f>OCP!$H$59:$H$76</c:f>
                <c:numCache>
                  <c:formatCode>General</c:formatCode>
                  <c:ptCount val="18"/>
                  <c:pt idx="0">
                    <c:v>7.6000857927141512</c:v>
                  </c:pt>
                  <c:pt idx="1">
                    <c:v>4.578958992823261</c:v>
                  </c:pt>
                  <c:pt idx="2">
                    <c:v>15.838676446694413</c:v>
                  </c:pt>
                  <c:pt idx="3">
                    <c:v>71.315828062316982</c:v>
                  </c:pt>
                  <c:pt idx="4">
                    <c:v>3.12860587484839</c:v>
                  </c:pt>
                  <c:pt idx="5">
                    <c:v>7.5619447177517713</c:v>
                  </c:pt>
                  <c:pt idx="6">
                    <c:v>29.901294230049071</c:v>
                  </c:pt>
                  <c:pt idx="7">
                    <c:v>27.892271868642727</c:v>
                  </c:pt>
                  <c:pt idx="8">
                    <c:v>92.436717155499366</c:v>
                  </c:pt>
                  <c:pt idx="9">
                    <c:v>5.92110353814261</c:v>
                  </c:pt>
                  <c:pt idx="10">
                    <c:v>98.299431148729298</c:v>
                  </c:pt>
                  <c:pt idx="11">
                    <c:v>39.632459505676174</c:v>
                  </c:pt>
                  <c:pt idx="12">
                    <c:v>67.491559222086195</c:v>
                  </c:pt>
                  <c:pt idx="13">
                    <c:v>8.2530527870010246</c:v>
                  </c:pt>
                  <c:pt idx="14">
                    <c:v>2.3265928142660841</c:v>
                  </c:pt>
                  <c:pt idx="15">
                    <c:v>134.33174051365216</c:v>
                  </c:pt>
                  <c:pt idx="16">
                    <c:v>3.6811027640814502</c:v>
                  </c:pt>
                  <c:pt idx="17">
                    <c:v>1.0272078334452086</c:v>
                  </c:pt>
                </c:numCache>
              </c:numRef>
            </c:plus>
            <c:minus>
              <c:numRef>
                <c:f>OCP!$H$59:$H$76</c:f>
                <c:numCache>
                  <c:formatCode>General</c:formatCode>
                  <c:ptCount val="18"/>
                  <c:pt idx="0">
                    <c:v>7.6000857927141512</c:v>
                  </c:pt>
                  <c:pt idx="1">
                    <c:v>4.578958992823261</c:v>
                  </c:pt>
                  <c:pt idx="2">
                    <c:v>15.838676446694413</c:v>
                  </c:pt>
                  <c:pt idx="3">
                    <c:v>71.315828062316982</c:v>
                  </c:pt>
                  <c:pt idx="4">
                    <c:v>3.12860587484839</c:v>
                  </c:pt>
                  <c:pt idx="5">
                    <c:v>7.5619447177517713</c:v>
                  </c:pt>
                  <c:pt idx="6">
                    <c:v>29.901294230049071</c:v>
                  </c:pt>
                  <c:pt idx="7">
                    <c:v>27.892271868642727</c:v>
                  </c:pt>
                  <c:pt idx="8">
                    <c:v>92.436717155499366</c:v>
                  </c:pt>
                  <c:pt idx="9">
                    <c:v>5.92110353814261</c:v>
                  </c:pt>
                  <c:pt idx="10">
                    <c:v>98.299431148729298</c:v>
                  </c:pt>
                  <c:pt idx="11">
                    <c:v>39.632459505676174</c:v>
                  </c:pt>
                  <c:pt idx="12">
                    <c:v>67.491559222086195</c:v>
                  </c:pt>
                  <c:pt idx="13">
                    <c:v>8.2530527870010246</c:v>
                  </c:pt>
                  <c:pt idx="14">
                    <c:v>2.3265928142660841</c:v>
                  </c:pt>
                  <c:pt idx="15">
                    <c:v>134.33174051365216</c:v>
                  </c:pt>
                  <c:pt idx="16">
                    <c:v>3.6811027640814502</c:v>
                  </c:pt>
                  <c:pt idx="17">
                    <c:v>1.0272078334452086</c:v>
                  </c:pt>
                </c:numCache>
              </c:numRef>
            </c:minus>
            <c:spPr>
              <a:noFill/>
              <a:ln w="9525" cap="flat" cmpd="sng" algn="ctr">
                <a:solidFill>
                  <a:schemeClr val="accent6">
                    <a:lumMod val="75000"/>
                  </a:schemeClr>
                </a:solidFill>
                <a:round/>
              </a:ln>
              <a:effectLst/>
            </c:spPr>
          </c:errBars>
          <c:cat>
            <c:strRef>
              <c:f>PCB!$D$49:$D$63</c:f>
              <c:strCache>
                <c:ptCount val="15"/>
                <c:pt idx="0">
                  <c:v>PCB 123</c:v>
                </c:pt>
                <c:pt idx="1">
                  <c:v>PCB 118</c:v>
                </c:pt>
                <c:pt idx="2">
                  <c:v>PCB 114</c:v>
                </c:pt>
                <c:pt idx="3">
                  <c:v>PCB 105</c:v>
                </c:pt>
                <c:pt idx="4">
                  <c:v>PCB 167</c:v>
                </c:pt>
                <c:pt idx="5">
                  <c:v>PCB 156</c:v>
                </c:pt>
                <c:pt idx="6">
                  <c:v>PCB 157</c:v>
                </c:pt>
                <c:pt idx="7">
                  <c:v>PCB 189</c:v>
                </c:pt>
                <c:pt idx="8">
                  <c:v>PCB 28</c:v>
                </c:pt>
                <c:pt idx="9">
                  <c:v>PCB 52</c:v>
                </c:pt>
                <c:pt idx="10">
                  <c:v>PCB 101</c:v>
                </c:pt>
                <c:pt idx="11">
                  <c:v>PCB 153</c:v>
                </c:pt>
                <c:pt idx="12">
                  <c:v>PCB 138</c:v>
                </c:pt>
                <c:pt idx="13">
                  <c:v>PCB 180</c:v>
                </c:pt>
                <c:pt idx="14">
                  <c:v>Sum</c:v>
                </c:pt>
              </c:strCache>
            </c:strRef>
          </c:cat>
          <c:val>
            <c:numRef>
              <c:f>PCB!$F$49:$F$63</c:f>
              <c:numCache>
                <c:formatCode>General</c:formatCode>
                <c:ptCount val="15"/>
                <c:pt idx="0">
                  <c:v>0.58572724887706651</c:v>
                </c:pt>
                <c:pt idx="1">
                  <c:v>123.87823853896649</c:v>
                </c:pt>
                <c:pt idx="2">
                  <c:v>9.8081379278203595E-2</c:v>
                </c:pt>
                <c:pt idx="3">
                  <c:v>27.482930885257101</c:v>
                </c:pt>
                <c:pt idx="4">
                  <c:v>32.200106204613967</c:v>
                </c:pt>
                <c:pt idx="5">
                  <c:v>37.513313962072715</c:v>
                </c:pt>
                <c:pt idx="6">
                  <c:v>8.9616739987785508</c:v>
                </c:pt>
                <c:pt idx="7">
                  <c:v>5.278286865162551</c:v>
                </c:pt>
                <c:pt idx="8">
                  <c:v>2.1896817125140591</c:v>
                </c:pt>
                <c:pt idx="9">
                  <c:v>0.39142418216515951</c:v>
                </c:pt>
                <c:pt idx="10">
                  <c:v>5.6171714723736921</c:v>
                </c:pt>
                <c:pt idx="11">
                  <c:v>628.09876461558588</c:v>
                </c:pt>
                <c:pt idx="12">
                  <c:v>257.16456248311079</c:v>
                </c:pt>
                <c:pt idx="13">
                  <c:v>537.58450265728823</c:v>
                </c:pt>
                <c:pt idx="14">
                  <c:v>1667.0444662060445</c:v>
                </c:pt>
              </c:numCache>
            </c:numRef>
          </c:val>
          <c:extLst>
            <c:ext xmlns:c16="http://schemas.microsoft.com/office/drawing/2014/chart" uri="{C3380CC4-5D6E-409C-BE32-E72D297353CC}">
              <c16:uniqueId val="{00000001-E0E8-47C1-A39A-FC80FC4BDE5D}"/>
            </c:ext>
          </c:extLst>
        </c:ser>
        <c:dLbls>
          <c:showLegendKey val="0"/>
          <c:showVal val="0"/>
          <c:showCatName val="0"/>
          <c:showSerName val="0"/>
          <c:showPercent val="0"/>
          <c:showBubbleSize val="0"/>
        </c:dLbls>
        <c:gapWidth val="150"/>
        <c:axId val="425400456"/>
        <c:axId val="425401240"/>
      </c:barChart>
      <c:catAx>
        <c:axId val="42540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5401240"/>
        <c:crossesAt val="1.0000000000000002E-2"/>
        <c:auto val="1"/>
        <c:lblAlgn val="ctr"/>
        <c:lblOffset val="100"/>
        <c:noMultiLvlLbl val="0"/>
      </c:catAx>
      <c:valAx>
        <c:axId val="42540124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C ng/g lipid</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5400456"/>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OCP!$D$57:$D$58</c:f>
              <c:strCache>
                <c:ptCount val="2"/>
                <c:pt idx="0">
                  <c:v>Muscle</c:v>
                </c:pt>
                <c:pt idx="1">
                  <c:v>Skua (n=3)</c:v>
                </c:pt>
              </c:strCache>
            </c:strRef>
          </c:tx>
          <c:spPr>
            <a:solidFill>
              <a:schemeClr val="accent1"/>
            </a:solidFill>
            <a:ln>
              <a:noFill/>
            </a:ln>
            <a:effectLst/>
          </c:spPr>
          <c:invertIfNegative val="0"/>
          <c:errBars>
            <c:errBarType val="plus"/>
            <c:errValType val="cust"/>
            <c:noEndCap val="0"/>
            <c:plus>
              <c:numRef>
                <c:f>OCP!$G$59:$G$76</c:f>
                <c:numCache>
                  <c:formatCode>General</c:formatCode>
                  <c:ptCount val="18"/>
                  <c:pt idx="0">
                    <c:v>2.6243898564075661</c:v>
                  </c:pt>
                  <c:pt idx="1">
                    <c:v>1.0655082204708759</c:v>
                  </c:pt>
                  <c:pt idx="2">
                    <c:v>2.4589544878530667</c:v>
                  </c:pt>
                  <c:pt idx="3">
                    <c:v>3.8060472443865687</c:v>
                  </c:pt>
                  <c:pt idx="4">
                    <c:v>1.1592738883093923</c:v>
                  </c:pt>
                  <c:pt idx="5">
                    <c:v>1.4243519104929561</c:v>
                  </c:pt>
                  <c:pt idx="6">
                    <c:v>1.1326833955285418</c:v>
                  </c:pt>
                  <c:pt idx="7">
                    <c:v>1.2358981016742383</c:v>
                  </c:pt>
                  <c:pt idx="8">
                    <c:v>30.984599788391641</c:v>
                  </c:pt>
                  <c:pt idx="9">
                    <c:v>1.03174908154659</c:v>
                  </c:pt>
                  <c:pt idx="10">
                    <c:v>1.3336649601600215</c:v>
                  </c:pt>
                  <c:pt idx="11">
                    <c:v>1.7333817325719321</c:v>
                  </c:pt>
                  <c:pt idx="12">
                    <c:v>2.4995998475033718</c:v>
                  </c:pt>
                  <c:pt idx="13">
                    <c:v>23.78660152137105</c:v>
                  </c:pt>
                  <c:pt idx="14">
                    <c:v>13.769697620343244</c:v>
                  </c:pt>
                  <c:pt idx="15">
                    <c:v>2.8633788456555336</c:v>
                  </c:pt>
                  <c:pt idx="16">
                    <c:v>2.6287735435010204</c:v>
                  </c:pt>
                  <c:pt idx="17">
                    <c:v>4.5318393650114928</c:v>
                  </c:pt>
                </c:numCache>
              </c:numRef>
            </c:plus>
            <c:minus>
              <c:numRef>
                <c:f>OCP!$G$59:$G$76</c:f>
                <c:numCache>
                  <c:formatCode>General</c:formatCode>
                  <c:ptCount val="18"/>
                  <c:pt idx="0">
                    <c:v>2.6243898564075661</c:v>
                  </c:pt>
                  <c:pt idx="1">
                    <c:v>1.0655082204708759</c:v>
                  </c:pt>
                  <c:pt idx="2">
                    <c:v>2.4589544878530667</c:v>
                  </c:pt>
                  <c:pt idx="3">
                    <c:v>3.8060472443865687</c:v>
                  </c:pt>
                  <c:pt idx="4">
                    <c:v>1.1592738883093923</c:v>
                  </c:pt>
                  <c:pt idx="5">
                    <c:v>1.4243519104929561</c:v>
                  </c:pt>
                  <c:pt idx="6">
                    <c:v>1.1326833955285418</c:v>
                  </c:pt>
                  <c:pt idx="7">
                    <c:v>1.2358981016742383</c:v>
                  </c:pt>
                  <c:pt idx="8">
                    <c:v>30.984599788391641</c:v>
                  </c:pt>
                  <c:pt idx="9">
                    <c:v>1.03174908154659</c:v>
                  </c:pt>
                  <c:pt idx="10">
                    <c:v>1.3336649601600215</c:v>
                  </c:pt>
                  <c:pt idx="11">
                    <c:v>1.7333817325719321</c:v>
                  </c:pt>
                  <c:pt idx="12">
                    <c:v>2.4995998475033718</c:v>
                  </c:pt>
                  <c:pt idx="13">
                    <c:v>23.78660152137105</c:v>
                  </c:pt>
                  <c:pt idx="14">
                    <c:v>13.769697620343244</c:v>
                  </c:pt>
                  <c:pt idx="15">
                    <c:v>2.8633788456555336</c:v>
                  </c:pt>
                  <c:pt idx="16">
                    <c:v>2.6287735435010204</c:v>
                  </c:pt>
                  <c:pt idx="17">
                    <c:v>4.5318393650114928</c:v>
                  </c:pt>
                </c:numCache>
              </c:numRef>
            </c:minus>
            <c:spPr>
              <a:noFill/>
              <a:ln w="9525" cap="flat" cmpd="sng" algn="ctr">
                <a:solidFill>
                  <a:schemeClr val="tx1">
                    <a:lumMod val="65000"/>
                    <a:lumOff val="35000"/>
                  </a:schemeClr>
                </a:solidFill>
                <a:round/>
              </a:ln>
              <a:effectLst/>
            </c:spPr>
          </c:errBars>
          <c:cat>
            <c:strRef>
              <c:f>OCP!$C$59:$C$76</c:f>
              <c:strCache>
                <c:ptCount val="18"/>
                <c:pt idx="0">
                  <c:v>HCB</c:v>
                </c:pt>
                <c:pt idx="1">
                  <c:v>HCH-α</c:v>
                </c:pt>
                <c:pt idx="2">
                  <c:v>HCH-γ</c:v>
                </c:pt>
                <c:pt idx="3">
                  <c:v>HCH-β</c:v>
                </c:pt>
                <c:pt idx="4">
                  <c:v>HCH-δ</c:v>
                </c:pt>
                <c:pt idx="5">
                  <c:v>Heptachlor</c:v>
                </c:pt>
                <c:pt idx="6">
                  <c:v>Oxychlordane</c:v>
                </c:pt>
                <c:pt idx="7">
                  <c:v>op'-DDE</c:v>
                </c:pt>
                <c:pt idx="8">
                  <c:v>Heptachlor epoxide </c:v>
                </c:pt>
                <c:pt idx="9">
                  <c:v>trans-Chlordane</c:v>
                </c:pt>
                <c:pt idx="10">
                  <c:v>cis-Chlordane</c:v>
                </c:pt>
                <c:pt idx="11">
                  <c:v>pp'-DDE</c:v>
                </c:pt>
                <c:pt idx="12">
                  <c:v>Endosulfan-α</c:v>
                </c:pt>
                <c:pt idx="13">
                  <c:v>op'-DDD </c:v>
                </c:pt>
                <c:pt idx="14">
                  <c:v>op'-DDT</c:v>
                </c:pt>
                <c:pt idx="15">
                  <c:v>pp'-TDE(DDD)</c:v>
                </c:pt>
                <c:pt idx="16">
                  <c:v>pp'-DDT</c:v>
                </c:pt>
                <c:pt idx="17">
                  <c:v>Methoxychlor</c:v>
                </c:pt>
              </c:strCache>
            </c:strRef>
          </c:cat>
          <c:val>
            <c:numRef>
              <c:f>OCP!$D$59:$D$76</c:f>
              <c:numCache>
                <c:formatCode>0</c:formatCode>
                <c:ptCount val="18"/>
                <c:pt idx="0">
                  <c:v>1548.4996530034514</c:v>
                </c:pt>
                <c:pt idx="1">
                  <c:v>2.9151988901067432</c:v>
                </c:pt>
                <c:pt idx="2">
                  <c:v>18.12447982840418</c:v>
                </c:pt>
                <c:pt idx="3">
                  <c:v>89.075382428921415</c:v>
                </c:pt>
                <c:pt idx="4">
                  <c:v>4.1488932309941191</c:v>
                </c:pt>
                <c:pt idx="5">
                  <c:v>5.6134802074299852</c:v>
                </c:pt>
                <c:pt idx="6">
                  <c:v>508.60171185288067</c:v>
                </c:pt>
                <c:pt idx="7">
                  <c:v>1.6832367798682262</c:v>
                </c:pt>
                <c:pt idx="8">
                  <c:v>2.1747120661935204</c:v>
                </c:pt>
                <c:pt idx="9">
                  <c:v>24.221409069479471</c:v>
                </c:pt>
                <c:pt idx="10">
                  <c:v>51.346608928030349</c:v>
                </c:pt>
                <c:pt idx="11">
                  <c:v>10766.581938768364</c:v>
                </c:pt>
                <c:pt idx="12">
                  <c:v>4.4586034000408432</c:v>
                </c:pt>
                <c:pt idx="13">
                  <c:v>24.768308627007357</c:v>
                </c:pt>
                <c:pt idx="14">
                  <c:v>1.1979174468151406</c:v>
                </c:pt>
                <c:pt idx="15">
                  <c:v>54.275105125552493</c:v>
                </c:pt>
                <c:pt idx="16" formatCode="General">
                  <c:v>315.2122597819444</c:v>
                </c:pt>
                <c:pt idx="17" formatCode="General">
                  <c:v>187.68137720974758</c:v>
                </c:pt>
              </c:numCache>
            </c:numRef>
          </c:val>
          <c:extLst>
            <c:ext xmlns:c16="http://schemas.microsoft.com/office/drawing/2014/chart" uri="{C3380CC4-5D6E-409C-BE32-E72D297353CC}">
              <c16:uniqueId val="{00000000-FD82-4458-B53E-9C2E02F7206D}"/>
            </c:ext>
          </c:extLst>
        </c:ser>
        <c:ser>
          <c:idx val="1"/>
          <c:order val="1"/>
          <c:tx>
            <c:strRef>
              <c:f>OCP!$E$57:$E$58</c:f>
              <c:strCache>
                <c:ptCount val="2"/>
                <c:pt idx="0">
                  <c:v>Muscle</c:v>
                </c:pt>
                <c:pt idx="1">
                  <c:v>Gull (n=3)</c:v>
                </c:pt>
              </c:strCache>
            </c:strRef>
          </c:tx>
          <c:spPr>
            <a:solidFill>
              <a:schemeClr val="accent2"/>
            </a:solidFill>
            <a:ln w="25400">
              <a:noFill/>
            </a:ln>
            <a:effectLst/>
          </c:spPr>
          <c:invertIfNegative val="0"/>
          <c:errBars>
            <c:errBarType val="plus"/>
            <c:errValType val="cust"/>
            <c:noEndCap val="0"/>
            <c:plus>
              <c:numRef>
                <c:f>OCP!$H$59:$H$76</c:f>
                <c:numCache>
                  <c:formatCode>General</c:formatCode>
                  <c:ptCount val="18"/>
                  <c:pt idx="0">
                    <c:v>1.2645243238978707</c:v>
                  </c:pt>
                  <c:pt idx="1">
                    <c:v>1.6012509901335219</c:v>
                  </c:pt>
                  <c:pt idx="2">
                    <c:v>2.8522300452336342</c:v>
                  </c:pt>
                  <c:pt idx="3">
                    <c:v>2.4322208093757323</c:v>
                  </c:pt>
                  <c:pt idx="4">
                    <c:v>1.5333020836834081</c:v>
                  </c:pt>
                  <c:pt idx="5">
                    <c:v>1.7619002174506526</c:v>
                  </c:pt>
                  <c:pt idx="6">
                    <c:v>1.4109798971945484</c:v>
                  </c:pt>
                  <c:pt idx="7">
                    <c:v>6.2892271096251502</c:v>
                  </c:pt>
                  <c:pt idx="8">
                    <c:v>20.076265871302802</c:v>
                  </c:pt>
                  <c:pt idx="9">
                    <c:v>1.0764150893055722</c:v>
                  </c:pt>
                  <c:pt idx="10">
                    <c:v>5.479440214323736</c:v>
                  </c:pt>
                  <c:pt idx="11">
                    <c:v>1.0860449892147797</c:v>
                  </c:pt>
                  <c:pt idx="12">
                    <c:v>18.705453855559192</c:v>
                  </c:pt>
                  <c:pt idx="13">
                    <c:v>1.2187566384597373</c:v>
                  </c:pt>
                  <c:pt idx="14">
                    <c:v>3.4227162678108742</c:v>
                  </c:pt>
                  <c:pt idx="15">
                    <c:v>1.7929904927772664</c:v>
                  </c:pt>
                  <c:pt idx="16">
                    <c:v>2.3215314293678997</c:v>
                  </c:pt>
                  <c:pt idx="17">
                    <c:v>1.3093795844441605</c:v>
                  </c:pt>
                </c:numCache>
              </c:numRef>
            </c:plus>
            <c:minus>
              <c:numRef>
                <c:f>OCP!$H$59:$H$76</c:f>
                <c:numCache>
                  <c:formatCode>General</c:formatCode>
                  <c:ptCount val="18"/>
                  <c:pt idx="0">
                    <c:v>1.2645243238978707</c:v>
                  </c:pt>
                  <c:pt idx="1">
                    <c:v>1.6012509901335219</c:v>
                  </c:pt>
                  <c:pt idx="2">
                    <c:v>2.8522300452336342</c:v>
                  </c:pt>
                  <c:pt idx="3">
                    <c:v>2.4322208093757323</c:v>
                  </c:pt>
                  <c:pt idx="4">
                    <c:v>1.5333020836834081</c:v>
                  </c:pt>
                  <c:pt idx="5">
                    <c:v>1.7619002174506526</c:v>
                  </c:pt>
                  <c:pt idx="6">
                    <c:v>1.4109798971945484</c:v>
                  </c:pt>
                  <c:pt idx="7">
                    <c:v>6.2892271096251502</c:v>
                  </c:pt>
                  <c:pt idx="8">
                    <c:v>20.076265871302802</c:v>
                  </c:pt>
                  <c:pt idx="9">
                    <c:v>1.0764150893055722</c:v>
                  </c:pt>
                  <c:pt idx="10">
                    <c:v>5.479440214323736</c:v>
                  </c:pt>
                  <c:pt idx="11">
                    <c:v>1.0860449892147797</c:v>
                  </c:pt>
                  <c:pt idx="12">
                    <c:v>18.705453855559192</c:v>
                  </c:pt>
                  <c:pt idx="13">
                    <c:v>1.2187566384597373</c:v>
                  </c:pt>
                  <c:pt idx="14">
                    <c:v>3.4227162678108742</c:v>
                  </c:pt>
                  <c:pt idx="15">
                    <c:v>1.7929904927772664</c:v>
                  </c:pt>
                  <c:pt idx="16">
                    <c:v>2.3215314293678997</c:v>
                  </c:pt>
                  <c:pt idx="17">
                    <c:v>1.3093795844441605</c:v>
                  </c:pt>
                </c:numCache>
              </c:numRef>
            </c:minus>
            <c:spPr>
              <a:noFill/>
              <a:ln w="9525" cap="flat" cmpd="sng" algn="ctr">
                <a:solidFill>
                  <a:schemeClr val="accent6">
                    <a:lumMod val="75000"/>
                  </a:schemeClr>
                </a:solidFill>
                <a:round/>
              </a:ln>
              <a:effectLst/>
            </c:spPr>
          </c:errBars>
          <c:cat>
            <c:strRef>
              <c:f>OCP!$C$59:$C$76</c:f>
              <c:strCache>
                <c:ptCount val="18"/>
                <c:pt idx="0">
                  <c:v>HCB</c:v>
                </c:pt>
                <c:pt idx="1">
                  <c:v>HCH-α</c:v>
                </c:pt>
                <c:pt idx="2">
                  <c:v>HCH-γ</c:v>
                </c:pt>
                <c:pt idx="3">
                  <c:v>HCH-β</c:v>
                </c:pt>
                <c:pt idx="4">
                  <c:v>HCH-δ</c:v>
                </c:pt>
                <c:pt idx="5">
                  <c:v>Heptachlor</c:v>
                </c:pt>
                <c:pt idx="6">
                  <c:v>Oxychlordane</c:v>
                </c:pt>
                <c:pt idx="7">
                  <c:v>op'-DDE</c:v>
                </c:pt>
                <c:pt idx="8">
                  <c:v>Heptachlor epoxide </c:v>
                </c:pt>
                <c:pt idx="9">
                  <c:v>trans-Chlordane</c:v>
                </c:pt>
                <c:pt idx="10">
                  <c:v>cis-Chlordane</c:v>
                </c:pt>
                <c:pt idx="11">
                  <c:v>pp'-DDE</c:v>
                </c:pt>
                <c:pt idx="12">
                  <c:v>Endosulfan-α</c:v>
                </c:pt>
                <c:pt idx="13">
                  <c:v>op'-DDD </c:v>
                </c:pt>
                <c:pt idx="14">
                  <c:v>op'-DDT</c:v>
                </c:pt>
                <c:pt idx="15">
                  <c:v>pp'-TDE(DDD)</c:v>
                </c:pt>
                <c:pt idx="16">
                  <c:v>pp'-DDT</c:v>
                </c:pt>
                <c:pt idx="17">
                  <c:v>Methoxychlor</c:v>
                </c:pt>
              </c:strCache>
            </c:strRef>
          </c:cat>
          <c:val>
            <c:numRef>
              <c:f>OCP!$E$59:$E$76</c:f>
              <c:numCache>
                <c:formatCode>0</c:formatCode>
                <c:ptCount val="18"/>
                <c:pt idx="0">
                  <c:v>808.77198234127479</c:v>
                </c:pt>
                <c:pt idx="1">
                  <c:v>1.5989996781696867</c:v>
                </c:pt>
                <c:pt idx="2">
                  <c:v>13.610232788639458</c:v>
                </c:pt>
                <c:pt idx="3">
                  <c:v>8.7318767210577342</c:v>
                </c:pt>
                <c:pt idx="4">
                  <c:v>2.2914602182915393</c:v>
                </c:pt>
                <c:pt idx="5">
                  <c:v>2.7716481824913228</c:v>
                </c:pt>
                <c:pt idx="6">
                  <c:v>81.177234232492751</c:v>
                </c:pt>
                <c:pt idx="7">
                  <c:v>0.42709508512451849</c:v>
                </c:pt>
                <c:pt idx="8">
                  <c:v>0.5003653067475401</c:v>
                </c:pt>
                <c:pt idx="9">
                  <c:v>9.0082955628932044</c:v>
                </c:pt>
                <c:pt idx="10">
                  <c:v>4.4209695491919456</c:v>
                </c:pt>
                <c:pt idx="11">
                  <c:v>1845.1903811806119</c:v>
                </c:pt>
                <c:pt idx="12">
                  <c:v>0.47595799400789712</c:v>
                </c:pt>
                <c:pt idx="13">
                  <c:v>23.196601909045285</c:v>
                </c:pt>
                <c:pt idx="14">
                  <c:v>8.7265915133235037</c:v>
                </c:pt>
                <c:pt idx="15">
                  <c:v>5.8918888489735739</c:v>
                </c:pt>
                <c:pt idx="16" formatCode="General">
                  <c:v>172.24157939389627</c:v>
                </c:pt>
                <c:pt idx="17" formatCode="General">
                  <c:v>110.13764457824277</c:v>
                </c:pt>
              </c:numCache>
            </c:numRef>
          </c:val>
          <c:extLst>
            <c:ext xmlns:c16="http://schemas.microsoft.com/office/drawing/2014/chart" uri="{C3380CC4-5D6E-409C-BE32-E72D297353CC}">
              <c16:uniqueId val="{00000001-FD82-4458-B53E-9C2E02F7206D}"/>
            </c:ext>
          </c:extLst>
        </c:ser>
        <c:dLbls>
          <c:showLegendKey val="0"/>
          <c:showVal val="0"/>
          <c:showCatName val="0"/>
          <c:showSerName val="0"/>
          <c:showPercent val="0"/>
          <c:showBubbleSize val="0"/>
        </c:dLbls>
        <c:gapWidth val="150"/>
        <c:axId val="427194448"/>
        <c:axId val="427195232"/>
      </c:barChart>
      <c:catAx>
        <c:axId val="42719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7195232"/>
        <c:crossesAt val="0.1"/>
        <c:auto val="1"/>
        <c:lblAlgn val="ctr"/>
        <c:lblOffset val="100"/>
        <c:noMultiLvlLbl val="0"/>
      </c:catAx>
      <c:valAx>
        <c:axId val="42719523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C ng/g lipid</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7194448"/>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OCP!$D$29:$D$30</c:f>
              <c:strCache>
                <c:ptCount val="2"/>
                <c:pt idx="0">
                  <c:v>Subcutaneous fat</c:v>
                </c:pt>
                <c:pt idx="1">
                  <c:v>Skua (n=2)</c:v>
                </c:pt>
              </c:strCache>
            </c:strRef>
          </c:tx>
          <c:spPr>
            <a:solidFill>
              <a:schemeClr val="accent1"/>
            </a:solidFill>
            <a:ln>
              <a:noFill/>
            </a:ln>
            <a:effectLst/>
          </c:spPr>
          <c:invertIfNegative val="0"/>
          <c:cat>
            <c:strRef>
              <c:f>OCP!$C$31:$C$48</c:f>
              <c:strCache>
                <c:ptCount val="18"/>
                <c:pt idx="0">
                  <c:v>HCB</c:v>
                </c:pt>
                <c:pt idx="1">
                  <c:v>HCH-α</c:v>
                </c:pt>
                <c:pt idx="2">
                  <c:v>HCH-γ</c:v>
                </c:pt>
                <c:pt idx="3">
                  <c:v>HCH-β</c:v>
                </c:pt>
                <c:pt idx="4">
                  <c:v>HCH-δ</c:v>
                </c:pt>
                <c:pt idx="5">
                  <c:v>Heptachlor</c:v>
                </c:pt>
                <c:pt idx="6">
                  <c:v>Oxychlordane</c:v>
                </c:pt>
                <c:pt idx="7">
                  <c:v>op'-DDE</c:v>
                </c:pt>
                <c:pt idx="8">
                  <c:v>Heptachlor epoxide </c:v>
                </c:pt>
                <c:pt idx="9">
                  <c:v>trans-Chlordane</c:v>
                </c:pt>
                <c:pt idx="10">
                  <c:v>cis-Chlordane</c:v>
                </c:pt>
                <c:pt idx="11">
                  <c:v>pp'-DDE</c:v>
                </c:pt>
                <c:pt idx="12">
                  <c:v>Endosulfan-α</c:v>
                </c:pt>
                <c:pt idx="13">
                  <c:v>op'-DDD </c:v>
                </c:pt>
                <c:pt idx="14">
                  <c:v>op'-DDT</c:v>
                </c:pt>
                <c:pt idx="15">
                  <c:v>pp'-TDE(DDD)</c:v>
                </c:pt>
                <c:pt idx="16">
                  <c:v>pp'-DDT</c:v>
                </c:pt>
                <c:pt idx="17">
                  <c:v>Methoxychlor</c:v>
                </c:pt>
              </c:strCache>
            </c:strRef>
          </c:cat>
          <c:val>
            <c:numRef>
              <c:f>OCP!$D$31:$D$48</c:f>
              <c:numCache>
                <c:formatCode>0</c:formatCode>
                <c:ptCount val="18"/>
                <c:pt idx="0">
                  <c:v>276.47168235561816</c:v>
                </c:pt>
                <c:pt idx="1">
                  <c:v>0.21486477587763839</c:v>
                </c:pt>
                <c:pt idx="2">
                  <c:v>10.1262262733882</c:v>
                </c:pt>
                <c:pt idx="3">
                  <c:v>46.811375581440565</c:v>
                </c:pt>
                <c:pt idx="4">
                  <c:v>0.16620600529106053</c:v>
                </c:pt>
                <c:pt idx="5">
                  <c:v>0.73588097162480415</c:v>
                </c:pt>
                <c:pt idx="6">
                  <c:v>244.7627081888418</c:v>
                </c:pt>
                <c:pt idx="7">
                  <c:v>1.9540815993024843</c:v>
                </c:pt>
                <c:pt idx="8">
                  <c:v>0.92692166386823882</c:v>
                </c:pt>
                <c:pt idx="9">
                  <c:v>4.0578046562043237</c:v>
                </c:pt>
                <c:pt idx="10">
                  <c:v>26.799213628407799</c:v>
                </c:pt>
                <c:pt idx="11">
                  <c:v>10099.084028715954</c:v>
                </c:pt>
                <c:pt idx="12">
                  <c:v>1.3180328085698878</c:v>
                </c:pt>
                <c:pt idx="13">
                  <c:v>1.2619437674302787</c:v>
                </c:pt>
                <c:pt idx="14">
                  <c:v>1.9456280707008768</c:v>
                </c:pt>
                <c:pt idx="15">
                  <c:v>66.607939431419169</c:v>
                </c:pt>
                <c:pt idx="16" formatCode="General">
                  <c:v>81.260418621573336</c:v>
                </c:pt>
                <c:pt idx="17" formatCode="General">
                  <c:v>2.4545333423589333</c:v>
                </c:pt>
              </c:numCache>
            </c:numRef>
          </c:val>
          <c:extLst>
            <c:ext xmlns:c16="http://schemas.microsoft.com/office/drawing/2014/chart" uri="{C3380CC4-5D6E-409C-BE32-E72D297353CC}">
              <c16:uniqueId val="{00000000-F5EA-4873-B55F-153AE893AAEA}"/>
            </c:ext>
          </c:extLst>
        </c:ser>
        <c:dLbls>
          <c:showLegendKey val="0"/>
          <c:showVal val="0"/>
          <c:showCatName val="0"/>
          <c:showSerName val="0"/>
          <c:showPercent val="0"/>
          <c:showBubbleSize val="0"/>
        </c:dLbls>
        <c:gapWidth val="219"/>
        <c:overlap val="-27"/>
        <c:axId val="427194840"/>
        <c:axId val="432735832"/>
      </c:barChart>
      <c:scatterChart>
        <c:scatterStyle val="lineMarker"/>
        <c:varyColors val="0"/>
        <c:ser>
          <c:idx val="1"/>
          <c:order val="1"/>
          <c:tx>
            <c:strRef>
              <c:f>OCP!$E$29:$E$30</c:f>
              <c:strCache>
                <c:ptCount val="2"/>
                <c:pt idx="0">
                  <c:v>Subcutaneous fat</c:v>
                </c:pt>
                <c:pt idx="1">
                  <c:v>Gull (n=1)</c:v>
                </c:pt>
              </c:strCache>
            </c:strRef>
          </c:tx>
          <c:spPr>
            <a:ln w="25400" cap="rnd">
              <a:noFill/>
              <a:round/>
            </a:ln>
            <a:effectLst/>
          </c:spPr>
          <c:marker>
            <c:symbol val="circle"/>
            <c:size val="5"/>
            <c:spPr>
              <a:solidFill>
                <a:schemeClr val="accent2"/>
              </a:solidFill>
              <a:ln w="9525">
                <a:solidFill>
                  <a:schemeClr val="accent2"/>
                </a:solidFill>
              </a:ln>
              <a:effectLst/>
            </c:spPr>
          </c:marker>
          <c:xVal>
            <c:strRef>
              <c:f>OCP!$C$31:$C$48</c:f>
              <c:strCache>
                <c:ptCount val="18"/>
                <c:pt idx="0">
                  <c:v>HCB</c:v>
                </c:pt>
                <c:pt idx="1">
                  <c:v>HCH-α</c:v>
                </c:pt>
                <c:pt idx="2">
                  <c:v>HCH-γ</c:v>
                </c:pt>
                <c:pt idx="3">
                  <c:v>HCH-β</c:v>
                </c:pt>
                <c:pt idx="4">
                  <c:v>HCH-δ</c:v>
                </c:pt>
                <c:pt idx="5">
                  <c:v>Heptachlor</c:v>
                </c:pt>
                <c:pt idx="6">
                  <c:v>Oxychlordane</c:v>
                </c:pt>
                <c:pt idx="7">
                  <c:v>op'-DDE</c:v>
                </c:pt>
                <c:pt idx="8">
                  <c:v>Heptachlor epoxide </c:v>
                </c:pt>
                <c:pt idx="9">
                  <c:v>trans-Chlordane</c:v>
                </c:pt>
                <c:pt idx="10">
                  <c:v>cis-Chlordane</c:v>
                </c:pt>
                <c:pt idx="11">
                  <c:v>pp'-DDE</c:v>
                </c:pt>
                <c:pt idx="12">
                  <c:v>Endosulfan-α</c:v>
                </c:pt>
                <c:pt idx="13">
                  <c:v>op'-DDD </c:v>
                </c:pt>
                <c:pt idx="14">
                  <c:v>op'-DDT</c:v>
                </c:pt>
                <c:pt idx="15">
                  <c:v>pp'-TDE(DDD)</c:v>
                </c:pt>
                <c:pt idx="16">
                  <c:v>pp'-DDT</c:v>
                </c:pt>
                <c:pt idx="17">
                  <c:v>Methoxychlor</c:v>
                </c:pt>
              </c:strCache>
            </c:strRef>
          </c:xVal>
          <c:yVal>
            <c:numRef>
              <c:f>OCP!$E$31:$E$48</c:f>
              <c:numCache>
                <c:formatCode>0</c:formatCode>
                <c:ptCount val="18"/>
                <c:pt idx="0">
                  <c:v>124.01765507766629</c:v>
                </c:pt>
                <c:pt idx="1">
                  <c:v>0.4466086971263738</c:v>
                </c:pt>
                <c:pt idx="2">
                  <c:v>1.3368235785992979</c:v>
                </c:pt>
                <c:pt idx="3">
                  <c:v>13.339933939686732</c:v>
                </c:pt>
                <c:pt idx="4">
                  <c:v>0.47419194662510872</c:v>
                </c:pt>
                <c:pt idx="5">
                  <c:v>1.0859544116597855</c:v>
                </c:pt>
                <c:pt idx="6">
                  <c:v>97.828982748865258</c:v>
                </c:pt>
                <c:pt idx="7">
                  <c:v>0.61027763302998639</c:v>
                </c:pt>
                <c:pt idx="8">
                  <c:v>0.76400078512881442</c:v>
                </c:pt>
                <c:pt idx="9">
                  <c:v>3.5915551013678102</c:v>
                </c:pt>
                <c:pt idx="10">
                  <c:v>9.4909733367250233</c:v>
                </c:pt>
                <c:pt idx="11">
                  <c:v>2907.390510677722</c:v>
                </c:pt>
                <c:pt idx="12">
                  <c:v>1.2573232043394074</c:v>
                </c:pt>
                <c:pt idx="13">
                  <c:v>23.795824107283231</c:v>
                </c:pt>
                <c:pt idx="14">
                  <c:v>0.97012042659794961</c:v>
                </c:pt>
                <c:pt idx="15">
                  <c:v>17.545994708393224</c:v>
                </c:pt>
                <c:pt idx="16" formatCode="General">
                  <c:v>104.14526881611847</c:v>
                </c:pt>
                <c:pt idx="17" formatCode="General">
                  <c:v>18.306991348500762</c:v>
                </c:pt>
              </c:numCache>
            </c:numRef>
          </c:yVal>
          <c:smooth val="0"/>
          <c:extLst>
            <c:ext xmlns:c16="http://schemas.microsoft.com/office/drawing/2014/chart" uri="{C3380CC4-5D6E-409C-BE32-E72D297353CC}">
              <c16:uniqueId val="{00000001-F5EA-4873-B55F-153AE893AAEA}"/>
            </c:ext>
          </c:extLst>
        </c:ser>
        <c:dLbls>
          <c:showLegendKey val="0"/>
          <c:showVal val="0"/>
          <c:showCatName val="0"/>
          <c:showSerName val="0"/>
          <c:showPercent val="0"/>
          <c:showBubbleSize val="0"/>
        </c:dLbls>
        <c:axId val="427194840"/>
        <c:axId val="432735832"/>
      </c:scatterChart>
      <c:catAx>
        <c:axId val="42719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2735832"/>
        <c:crossesAt val="0.1"/>
        <c:auto val="1"/>
        <c:lblAlgn val="ctr"/>
        <c:lblOffset val="100"/>
        <c:noMultiLvlLbl val="0"/>
      </c:catAx>
      <c:valAx>
        <c:axId val="43273583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C ng/g lipid</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7194840"/>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OCP!$D$4:$D$5</c:f>
              <c:strCache>
                <c:ptCount val="2"/>
                <c:pt idx="0">
                  <c:v>Liver</c:v>
                </c:pt>
                <c:pt idx="1">
                  <c:v>Skua (n=3)</c:v>
                </c:pt>
              </c:strCache>
            </c:strRef>
          </c:tx>
          <c:spPr>
            <a:solidFill>
              <a:schemeClr val="accent1"/>
            </a:solidFill>
            <a:ln>
              <a:noFill/>
            </a:ln>
            <a:effectLst/>
          </c:spPr>
          <c:invertIfNegative val="0"/>
          <c:errBars>
            <c:errBarType val="plus"/>
            <c:errValType val="cust"/>
            <c:noEndCap val="0"/>
            <c:plus>
              <c:numRef>
                <c:f>OCP!$G$6:$G$23</c:f>
                <c:numCache>
                  <c:formatCode>General</c:formatCode>
                  <c:ptCount val="18"/>
                  <c:pt idx="0">
                    <c:v>2.1868786338430755</c:v>
                  </c:pt>
                  <c:pt idx="1">
                    <c:v>3.1744690490117584</c:v>
                  </c:pt>
                  <c:pt idx="2">
                    <c:v>18.362563206650851</c:v>
                  </c:pt>
                  <c:pt idx="3">
                    <c:v>3.0085395528437613</c:v>
                  </c:pt>
                  <c:pt idx="4">
                    <c:v>1.3198282961369487</c:v>
                  </c:pt>
                  <c:pt idx="5">
                    <c:v>5.6097950484952133</c:v>
                  </c:pt>
                  <c:pt idx="6">
                    <c:v>1.5075215373432176</c:v>
                  </c:pt>
                  <c:pt idx="7">
                    <c:v>1.451442317174872</c:v>
                  </c:pt>
                  <c:pt idx="8">
                    <c:v>2.8600289392633766</c:v>
                  </c:pt>
                  <c:pt idx="9">
                    <c:v>1.7190536093693634</c:v>
                  </c:pt>
                  <c:pt idx="10">
                    <c:v>1.9193175222059236</c:v>
                  </c:pt>
                  <c:pt idx="11">
                    <c:v>1.3062806958137736</c:v>
                  </c:pt>
                  <c:pt idx="12">
                    <c:v>1.7929275525421025</c:v>
                  </c:pt>
                  <c:pt idx="13">
                    <c:v>1.3238692960310607</c:v>
                  </c:pt>
                  <c:pt idx="14">
                    <c:v>1.2854699081030276</c:v>
                  </c:pt>
                  <c:pt idx="15">
                    <c:v>1.7038280363016736</c:v>
                  </c:pt>
                  <c:pt idx="16">
                    <c:v>6.5454782945558101</c:v>
                  </c:pt>
                  <c:pt idx="17">
                    <c:v>2.7324851584918561</c:v>
                  </c:pt>
                </c:numCache>
              </c:numRef>
            </c:plus>
            <c:minus>
              <c:numRef>
                <c:f>OCP!$G$6:$G$23</c:f>
                <c:numCache>
                  <c:formatCode>General</c:formatCode>
                  <c:ptCount val="18"/>
                  <c:pt idx="0">
                    <c:v>2.1868786338430755</c:v>
                  </c:pt>
                  <c:pt idx="1">
                    <c:v>3.1744690490117584</c:v>
                  </c:pt>
                  <c:pt idx="2">
                    <c:v>18.362563206650851</c:v>
                  </c:pt>
                  <c:pt idx="3">
                    <c:v>3.0085395528437613</c:v>
                  </c:pt>
                  <c:pt idx="4">
                    <c:v>1.3198282961369487</c:v>
                  </c:pt>
                  <c:pt idx="5">
                    <c:v>5.6097950484952133</c:v>
                  </c:pt>
                  <c:pt idx="6">
                    <c:v>1.5075215373432176</c:v>
                  </c:pt>
                  <c:pt idx="7">
                    <c:v>1.451442317174872</c:v>
                  </c:pt>
                  <c:pt idx="8">
                    <c:v>2.8600289392633766</c:v>
                  </c:pt>
                  <c:pt idx="9">
                    <c:v>1.7190536093693634</c:v>
                  </c:pt>
                  <c:pt idx="10">
                    <c:v>1.9193175222059236</c:v>
                  </c:pt>
                  <c:pt idx="11">
                    <c:v>1.3062806958137736</c:v>
                  </c:pt>
                  <c:pt idx="12">
                    <c:v>1.7929275525421025</c:v>
                  </c:pt>
                  <c:pt idx="13">
                    <c:v>1.3238692960310607</c:v>
                  </c:pt>
                  <c:pt idx="14">
                    <c:v>1.2854699081030276</c:v>
                  </c:pt>
                  <c:pt idx="15">
                    <c:v>1.7038280363016736</c:v>
                  </c:pt>
                  <c:pt idx="16">
                    <c:v>6.5454782945558101</c:v>
                  </c:pt>
                  <c:pt idx="17">
                    <c:v>2.7324851584918561</c:v>
                  </c:pt>
                </c:numCache>
              </c:numRef>
            </c:minus>
            <c:spPr>
              <a:noFill/>
              <a:ln w="9525" cap="flat" cmpd="sng" algn="ctr">
                <a:solidFill>
                  <a:schemeClr val="tx1">
                    <a:lumMod val="65000"/>
                    <a:lumOff val="35000"/>
                  </a:schemeClr>
                </a:solidFill>
                <a:round/>
              </a:ln>
              <a:effectLst/>
            </c:spPr>
          </c:errBars>
          <c:cat>
            <c:strRef>
              <c:f>OCP!$C$6:$C$23</c:f>
              <c:strCache>
                <c:ptCount val="18"/>
                <c:pt idx="0">
                  <c:v>HCB</c:v>
                </c:pt>
                <c:pt idx="1">
                  <c:v>HCH-α</c:v>
                </c:pt>
                <c:pt idx="2">
                  <c:v>HCH-γ</c:v>
                </c:pt>
                <c:pt idx="3">
                  <c:v>HCH-β</c:v>
                </c:pt>
                <c:pt idx="4">
                  <c:v>HCH-δ</c:v>
                </c:pt>
                <c:pt idx="5">
                  <c:v>Heptachlor</c:v>
                </c:pt>
                <c:pt idx="6">
                  <c:v>Oxychlordane</c:v>
                </c:pt>
                <c:pt idx="7">
                  <c:v>op'-DDE</c:v>
                </c:pt>
                <c:pt idx="8">
                  <c:v>Heptachlor epoxide </c:v>
                </c:pt>
                <c:pt idx="9">
                  <c:v>trans-Chlordane</c:v>
                </c:pt>
                <c:pt idx="10">
                  <c:v>cis-Chlordane</c:v>
                </c:pt>
                <c:pt idx="11">
                  <c:v>pp'-DDE</c:v>
                </c:pt>
                <c:pt idx="12">
                  <c:v>Endosulfan-α</c:v>
                </c:pt>
                <c:pt idx="13">
                  <c:v>op'-DDD </c:v>
                </c:pt>
                <c:pt idx="14">
                  <c:v>op'-DDT</c:v>
                </c:pt>
                <c:pt idx="15">
                  <c:v>pp'-TDE(DDD)</c:v>
                </c:pt>
                <c:pt idx="16">
                  <c:v>pp'-DDT</c:v>
                </c:pt>
                <c:pt idx="17">
                  <c:v>Methoxychlor</c:v>
                </c:pt>
              </c:strCache>
            </c:strRef>
          </c:cat>
          <c:val>
            <c:numRef>
              <c:f>OCP!$D$6:$D$23</c:f>
              <c:numCache>
                <c:formatCode>0</c:formatCode>
                <c:ptCount val="18"/>
                <c:pt idx="0">
                  <c:v>3272.0365249264587</c:v>
                </c:pt>
                <c:pt idx="1">
                  <c:v>5.7972891305201033</c:v>
                </c:pt>
                <c:pt idx="2">
                  <c:v>51.220124069785641</c:v>
                </c:pt>
                <c:pt idx="3">
                  <c:v>577.26238837953463</c:v>
                </c:pt>
                <c:pt idx="4">
                  <c:v>2.1651541600542679</c:v>
                </c:pt>
                <c:pt idx="5">
                  <c:v>22.822356305789725</c:v>
                </c:pt>
                <c:pt idx="6">
                  <c:v>2139.6488239188179</c:v>
                </c:pt>
                <c:pt idx="7">
                  <c:v>9.2448208282207585</c:v>
                </c:pt>
                <c:pt idx="8">
                  <c:v>5.2863505328419969</c:v>
                </c:pt>
                <c:pt idx="9">
                  <c:v>36.586223224738298</c:v>
                </c:pt>
                <c:pt idx="10">
                  <c:v>257.34173092876188</c:v>
                </c:pt>
                <c:pt idx="11">
                  <c:v>61871.388617261829</c:v>
                </c:pt>
                <c:pt idx="12">
                  <c:v>29.332358206266605</c:v>
                </c:pt>
                <c:pt idx="13">
                  <c:v>1.4611091762159352</c:v>
                </c:pt>
                <c:pt idx="14">
                  <c:v>11.048327496858702</c:v>
                </c:pt>
                <c:pt idx="15" formatCode="General">
                  <c:v>617.61393052396477</c:v>
                </c:pt>
                <c:pt idx="16" formatCode="General">
                  <c:v>190.46683128237066</c:v>
                </c:pt>
                <c:pt idx="17" formatCode="General">
                  <c:v>78.296741120176478</c:v>
                </c:pt>
              </c:numCache>
            </c:numRef>
          </c:val>
          <c:extLst>
            <c:ext xmlns:c16="http://schemas.microsoft.com/office/drawing/2014/chart" uri="{C3380CC4-5D6E-409C-BE32-E72D297353CC}">
              <c16:uniqueId val="{00000000-CC1D-472C-9F1B-5C2C25C9AB7A}"/>
            </c:ext>
          </c:extLst>
        </c:ser>
        <c:dLbls>
          <c:showLegendKey val="0"/>
          <c:showVal val="0"/>
          <c:showCatName val="0"/>
          <c:showSerName val="0"/>
          <c:showPercent val="0"/>
          <c:showBubbleSize val="0"/>
        </c:dLbls>
        <c:gapWidth val="219"/>
        <c:overlap val="-27"/>
        <c:axId val="432736224"/>
        <c:axId val="432737400"/>
      </c:barChart>
      <c:scatterChart>
        <c:scatterStyle val="lineMarker"/>
        <c:varyColors val="0"/>
        <c:ser>
          <c:idx val="1"/>
          <c:order val="1"/>
          <c:tx>
            <c:strRef>
              <c:f>OCP!$E$4:$E$5</c:f>
              <c:strCache>
                <c:ptCount val="2"/>
                <c:pt idx="0">
                  <c:v>Liver</c:v>
                </c:pt>
                <c:pt idx="1">
                  <c:v>Gull (n=1)</c:v>
                </c:pt>
              </c:strCache>
            </c:strRef>
          </c:tx>
          <c:spPr>
            <a:ln w="25400" cap="rnd">
              <a:noFill/>
              <a:round/>
            </a:ln>
            <a:effectLst/>
          </c:spPr>
          <c:marker>
            <c:symbol val="circle"/>
            <c:size val="5"/>
            <c:spPr>
              <a:solidFill>
                <a:schemeClr val="accent2"/>
              </a:solidFill>
              <a:ln w="9525">
                <a:solidFill>
                  <a:schemeClr val="accent2"/>
                </a:solidFill>
              </a:ln>
              <a:effectLst/>
            </c:spPr>
          </c:marker>
          <c:xVal>
            <c:strRef>
              <c:f>OCP!$C$6:$C$23</c:f>
              <c:strCache>
                <c:ptCount val="18"/>
                <c:pt idx="0">
                  <c:v>HCB</c:v>
                </c:pt>
                <c:pt idx="1">
                  <c:v>HCH-α</c:v>
                </c:pt>
                <c:pt idx="2">
                  <c:v>HCH-γ</c:v>
                </c:pt>
                <c:pt idx="3">
                  <c:v>HCH-β</c:v>
                </c:pt>
                <c:pt idx="4">
                  <c:v>HCH-δ</c:v>
                </c:pt>
                <c:pt idx="5">
                  <c:v>Heptachlor</c:v>
                </c:pt>
                <c:pt idx="6">
                  <c:v>Oxychlordane</c:v>
                </c:pt>
                <c:pt idx="7">
                  <c:v>op'-DDE</c:v>
                </c:pt>
                <c:pt idx="8">
                  <c:v>Heptachlor epoxide </c:v>
                </c:pt>
                <c:pt idx="9">
                  <c:v>trans-Chlordane</c:v>
                </c:pt>
                <c:pt idx="10">
                  <c:v>cis-Chlordane</c:v>
                </c:pt>
                <c:pt idx="11">
                  <c:v>pp'-DDE</c:v>
                </c:pt>
                <c:pt idx="12">
                  <c:v>Endosulfan-α</c:v>
                </c:pt>
                <c:pt idx="13">
                  <c:v>op'-DDD </c:v>
                </c:pt>
                <c:pt idx="14">
                  <c:v>op'-DDT</c:v>
                </c:pt>
                <c:pt idx="15">
                  <c:v>pp'-TDE(DDD)</c:v>
                </c:pt>
                <c:pt idx="16">
                  <c:v>pp'-DDT</c:v>
                </c:pt>
                <c:pt idx="17">
                  <c:v>Methoxychlor</c:v>
                </c:pt>
              </c:strCache>
            </c:strRef>
          </c:xVal>
          <c:yVal>
            <c:numRef>
              <c:f>OCP!$E$6:$E$23</c:f>
              <c:numCache>
                <c:formatCode>0</c:formatCode>
                <c:ptCount val="18"/>
                <c:pt idx="0">
                  <c:v>103.47292940297599</c:v>
                </c:pt>
                <c:pt idx="1">
                  <c:v>13.380630206146758</c:v>
                </c:pt>
                <c:pt idx="2">
                  <c:v>9.2695589523402084</c:v>
                </c:pt>
                <c:pt idx="3">
                  <c:v>3.6429737415515935</c:v>
                </c:pt>
                <c:pt idx="4">
                  <c:v>1.5387584339067597</c:v>
                </c:pt>
                <c:pt idx="5">
                  <c:v>97.043839822328621</c:v>
                </c:pt>
                <c:pt idx="6">
                  <c:v>366.60455053860511</c:v>
                </c:pt>
                <c:pt idx="7">
                  <c:v>114.69939572721026</c:v>
                </c:pt>
                <c:pt idx="8">
                  <c:v>2.7049877457761373</c:v>
                </c:pt>
                <c:pt idx="9">
                  <c:v>271.60896999804237</c:v>
                </c:pt>
                <c:pt idx="10">
                  <c:v>1385.6865659035302</c:v>
                </c:pt>
                <c:pt idx="11">
                  <c:v>24515.59082698233</c:v>
                </c:pt>
                <c:pt idx="12">
                  <c:v>10.738298400363494</c:v>
                </c:pt>
                <c:pt idx="13">
                  <c:v>137.80468342246076</c:v>
                </c:pt>
                <c:pt idx="14">
                  <c:v>302.34156101008261</c:v>
                </c:pt>
                <c:pt idx="15" formatCode="General">
                  <c:v>1068.0793133401351</c:v>
                </c:pt>
                <c:pt idx="16" formatCode="General">
                  <c:v>2521.0556818359723</c:v>
                </c:pt>
                <c:pt idx="17" formatCode="General">
                  <c:v>17.242391044443821</c:v>
                </c:pt>
              </c:numCache>
            </c:numRef>
          </c:yVal>
          <c:smooth val="0"/>
          <c:extLst>
            <c:ext xmlns:c16="http://schemas.microsoft.com/office/drawing/2014/chart" uri="{C3380CC4-5D6E-409C-BE32-E72D297353CC}">
              <c16:uniqueId val="{00000001-CC1D-472C-9F1B-5C2C25C9AB7A}"/>
            </c:ext>
          </c:extLst>
        </c:ser>
        <c:dLbls>
          <c:showLegendKey val="0"/>
          <c:showVal val="0"/>
          <c:showCatName val="0"/>
          <c:showSerName val="0"/>
          <c:showPercent val="0"/>
          <c:showBubbleSize val="0"/>
        </c:dLbls>
        <c:axId val="432736224"/>
        <c:axId val="432737400"/>
      </c:scatterChart>
      <c:catAx>
        <c:axId val="43273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2737400"/>
        <c:crossesAt val="0.1"/>
        <c:auto val="1"/>
        <c:lblAlgn val="ctr"/>
        <c:lblOffset val="100"/>
        <c:noMultiLvlLbl val="0"/>
      </c:catAx>
      <c:valAx>
        <c:axId val="43273740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C ng/g lipid</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2736224"/>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PBDE!$D$4:$D$5</c:f>
              <c:strCache>
                <c:ptCount val="2"/>
                <c:pt idx="0">
                  <c:v>Liver</c:v>
                </c:pt>
                <c:pt idx="1">
                  <c:v>Skua (n=3)</c:v>
                </c:pt>
              </c:strCache>
            </c:strRef>
          </c:tx>
          <c:spPr>
            <a:solidFill>
              <a:schemeClr val="accent1"/>
            </a:solidFill>
            <a:ln>
              <a:noFill/>
            </a:ln>
            <a:effectLst/>
          </c:spPr>
          <c:invertIfNegative val="0"/>
          <c:errBars>
            <c:errBarType val="plus"/>
            <c:errValType val="cust"/>
            <c:noEndCap val="0"/>
            <c:plus>
              <c:numRef>
                <c:f>PBDE!$G$6:$G$13</c:f>
                <c:numCache>
                  <c:formatCode>General</c:formatCode>
                  <c:ptCount val="8"/>
                  <c:pt idx="0">
                    <c:v>14.283274929043483</c:v>
                  </c:pt>
                  <c:pt idx="1">
                    <c:v>3.4767829115104738</c:v>
                  </c:pt>
                  <c:pt idx="2">
                    <c:v>151.16565064170578</c:v>
                  </c:pt>
                  <c:pt idx="3">
                    <c:v>17.699287436208962</c:v>
                  </c:pt>
                  <c:pt idx="4">
                    <c:v>12.264358586783732</c:v>
                  </c:pt>
                  <c:pt idx="5">
                    <c:v>15.054947462696793</c:v>
                  </c:pt>
                  <c:pt idx="6">
                    <c:v>8.6724179766036436</c:v>
                  </c:pt>
                  <c:pt idx="7">
                    <c:v>10.403174998432913</c:v>
                  </c:pt>
                </c:numCache>
              </c:numRef>
            </c:plus>
            <c:minus>
              <c:numRef>
                <c:f>PBDE!$G$6:$G$13</c:f>
                <c:numCache>
                  <c:formatCode>General</c:formatCode>
                  <c:ptCount val="8"/>
                  <c:pt idx="0">
                    <c:v>14.283274929043483</c:v>
                  </c:pt>
                  <c:pt idx="1">
                    <c:v>3.4767829115104738</c:v>
                  </c:pt>
                  <c:pt idx="2">
                    <c:v>151.16565064170578</c:v>
                  </c:pt>
                  <c:pt idx="3">
                    <c:v>17.699287436208962</c:v>
                  </c:pt>
                  <c:pt idx="4">
                    <c:v>12.264358586783732</c:v>
                  </c:pt>
                  <c:pt idx="5">
                    <c:v>15.054947462696793</c:v>
                  </c:pt>
                  <c:pt idx="6">
                    <c:v>8.6724179766036436</c:v>
                  </c:pt>
                  <c:pt idx="7">
                    <c:v>10.403174998432913</c:v>
                  </c:pt>
                </c:numCache>
              </c:numRef>
            </c:minus>
            <c:spPr>
              <a:noFill/>
              <a:ln w="9525" cap="flat" cmpd="sng" algn="ctr">
                <a:solidFill>
                  <a:schemeClr val="tx1">
                    <a:lumMod val="65000"/>
                    <a:lumOff val="35000"/>
                  </a:schemeClr>
                </a:solidFill>
                <a:round/>
              </a:ln>
              <a:effectLst/>
            </c:spPr>
          </c:errBars>
          <c:cat>
            <c:strRef>
              <c:f>PBDE!$C$6:$C$14</c:f>
              <c:strCache>
                <c:ptCount val="9"/>
                <c:pt idx="0">
                  <c:v>BDE-47</c:v>
                </c:pt>
                <c:pt idx="1">
                  <c:v>BDE-66</c:v>
                </c:pt>
                <c:pt idx="2">
                  <c:v>BDE-100</c:v>
                </c:pt>
                <c:pt idx="3">
                  <c:v>BDE-99</c:v>
                </c:pt>
                <c:pt idx="4">
                  <c:v>BDE-154</c:v>
                </c:pt>
                <c:pt idx="5">
                  <c:v>BDE-153</c:v>
                </c:pt>
                <c:pt idx="6">
                  <c:v>BDE-138</c:v>
                </c:pt>
                <c:pt idx="7">
                  <c:v>BDE-183</c:v>
                </c:pt>
                <c:pt idx="8">
                  <c:v>BDEs Sum</c:v>
                </c:pt>
              </c:strCache>
            </c:strRef>
          </c:cat>
          <c:val>
            <c:numRef>
              <c:f>PBDE!$D$6:$D$14</c:f>
              <c:numCache>
                <c:formatCode>0</c:formatCode>
                <c:ptCount val="9"/>
                <c:pt idx="0">
                  <c:v>6.292395936617365</c:v>
                </c:pt>
                <c:pt idx="1">
                  <c:v>4.252500771028507E-2</c:v>
                </c:pt>
                <c:pt idx="2">
                  <c:v>0.49960894249504578</c:v>
                </c:pt>
                <c:pt idx="3">
                  <c:v>1.3289860239326989</c:v>
                </c:pt>
                <c:pt idx="4">
                  <c:v>1.8822006263003852</c:v>
                </c:pt>
                <c:pt idx="5">
                  <c:v>4.7155380599022303</c:v>
                </c:pt>
                <c:pt idx="6">
                  <c:v>5.0356372059860897E-2</c:v>
                </c:pt>
                <c:pt idx="7">
                  <c:v>0.46693644953908564</c:v>
                </c:pt>
                <c:pt idx="8">
                  <c:v>15.278547418556958</c:v>
                </c:pt>
              </c:numCache>
            </c:numRef>
          </c:val>
          <c:extLst>
            <c:ext xmlns:c16="http://schemas.microsoft.com/office/drawing/2014/chart" uri="{C3380CC4-5D6E-409C-BE32-E72D297353CC}">
              <c16:uniqueId val="{00000000-AAA4-44FA-8927-4650D4133747}"/>
            </c:ext>
          </c:extLst>
        </c:ser>
        <c:dLbls>
          <c:showLegendKey val="0"/>
          <c:showVal val="0"/>
          <c:showCatName val="0"/>
          <c:showSerName val="0"/>
          <c:showPercent val="0"/>
          <c:showBubbleSize val="0"/>
        </c:dLbls>
        <c:gapWidth val="219"/>
        <c:overlap val="-27"/>
        <c:axId val="431588984"/>
        <c:axId val="431589768"/>
      </c:barChart>
      <c:scatterChart>
        <c:scatterStyle val="lineMarker"/>
        <c:varyColors val="0"/>
        <c:ser>
          <c:idx val="1"/>
          <c:order val="1"/>
          <c:tx>
            <c:strRef>
              <c:f>PBDE!$E$4:$E$5</c:f>
              <c:strCache>
                <c:ptCount val="2"/>
                <c:pt idx="0">
                  <c:v>Liver</c:v>
                </c:pt>
                <c:pt idx="1">
                  <c:v>Gull (n=1)</c:v>
                </c:pt>
              </c:strCache>
            </c:strRef>
          </c:tx>
          <c:spPr>
            <a:ln w="25400" cap="rnd">
              <a:noFill/>
              <a:round/>
            </a:ln>
            <a:effectLst/>
          </c:spPr>
          <c:marker>
            <c:symbol val="circle"/>
            <c:size val="5"/>
            <c:spPr>
              <a:solidFill>
                <a:schemeClr val="accent2"/>
              </a:solidFill>
              <a:ln w="9525">
                <a:solidFill>
                  <a:schemeClr val="accent2"/>
                </a:solidFill>
              </a:ln>
              <a:effectLst/>
            </c:spPr>
          </c:marker>
          <c:xVal>
            <c:strRef>
              <c:f>PBDE!$C$6:$C$14</c:f>
              <c:strCache>
                <c:ptCount val="9"/>
                <c:pt idx="0">
                  <c:v>BDE-47</c:v>
                </c:pt>
                <c:pt idx="1">
                  <c:v>BDE-66</c:v>
                </c:pt>
                <c:pt idx="2">
                  <c:v>BDE-100</c:v>
                </c:pt>
                <c:pt idx="3">
                  <c:v>BDE-99</c:v>
                </c:pt>
                <c:pt idx="4">
                  <c:v>BDE-154</c:v>
                </c:pt>
                <c:pt idx="5">
                  <c:v>BDE-153</c:v>
                </c:pt>
                <c:pt idx="6">
                  <c:v>BDE-138</c:v>
                </c:pt>
                <c:pt idx="7">
                  <c:v>BDE-183</c:v>
                </c:pt>
                <c:pt idx="8">
                  <c:v>BDEs Sum</c:v>
                </c:pt>
              </c:strCache>
            </c:strRef>
          </c:xVal>
          <c:yVal>
            <c:numRef>
              <c:f>PBDE!$E$6:$E$14</c:f>
              <c:numCache>
                <c:formatCode>0</c:formatCode>
                <c:ptCount val="9"/>
                <c:pt idx="0">
                  <c:v>32.683052709359075</c:v>
                </c:pt>
                <c:pt idx="1">
                  <c:v>0.6027718746714007</c:v>
                </c:pt>
                <c:pt idx="2">
                  <c:v>15.899533348979055</c:v>
                </c:pt>
                <c:pt idx="3">
                  <c:v>10.767313250468048</c:v>
                </c:pt>
                <c:pt idx="4">
                  <c:v>13.367198707749965</c:v>
                </c:pt>
                <c:pt idx="5">
                  <c:v>43.383304987114379</c:v>
                </c:pt>
                <c:pt idx="6">
                  <c:v>0.53367862072329963</c:v>
                </c:pt>
                <c:pt idx="7">
                  <c:v>2.3285534652858377</c:v>
                </c:pt>
                <c:pt idx="8">
                  <c:v>119.56540696435104</c:v>
                </c:pt>
              </c:numCache>
            </c:numRef>
          </c:yVal>
          <c:smooth val="0"/>
          <c:extLst>
            <c:ext xmlns:c16="http://schemas.microsoft.com/office/drawing/2014/chart" uri="{C3380CC4-5D6E-409C-BE32-E72D297353CC}">
              <c16:uniqueId val="{00000001-AAA4-44FA-8927-4650D4133747}"/>
            </c:ext>
          </c:extLst>
        </c:ser>
        <c:dLbls>
          <c:showLegendKey val="0"/>
          <c:showVal val="0"/>
          <c:showCatName val="0"/>
          <c:showSerName val="0"/>
          <c:showPercent val="0"/>
          <c:showBubbleSize val="0"/>
        </c:dLbls>
        <c:axId val="431588984"/>
        <c:axId val="431589768"/>
      </c:scatterChart>
      <c:catAx>
        <c:axId val="4315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1589768"/>
        <c:crossesAt val="1.0000000000000002E-2"/>
        <c:auto val="1"/>
        <c:lblAlgn val="ctr"/>
        <c:lblOffset val="100"/>
        <c:noMultiLvlLbl val="0"/>
      </c:catAx>
      <c:valAx>
        <c:axId val="431589768"/>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C ng/g lipid</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1588984"/>
        <c:crossesAt val="1"/>
        <c:crossBetween val="between"/>
      </c:valAx>
      <c:spPr>
        <a:noFill/>
        <a:ln>
          <a:noFill/>
        </a:ln>
        <a:effectLst/>
      </c:spPr>
    </c:plotArea>
    <c:legend>
      <c:legendPos val="b"/>
      <c:layout>
        <c:manualLayout>
          <c:xMode val="edge"/>
          <c:yMode val="edge"/>
          <c:x val="0.12142078938245926"/>
          <c:y val="0.86872345961567121"/>
          <c:w val="0.78231515871836776"/>
          <c:h val="9.277798408019016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PBDE!$D$22:$D$23</c:f>
              <c:strCache>
                <c:ptCount val="2"/>
                <c:pt idx="0">
                  <c:v>Subcutaneous fat</c:v>
                </c:pt>
                <c:pt idx="1">
                  <c:v>Skua (n=2)</c:v>
                </c:pt>
              </c:strCache>
            </c:strRef>
          </c:tx>
          <c:spPr>
            <a:solidFill>
              <a:schemeClr val="accent1"/>
            </a:solidFill>
            <a:ln>
              <a:noFill/>
            </a:ln>
            <a:effectLst/>
          </c:spPr>
          <c:invertIfNegative val="0"/>
          <c:cat>
            <c:strRef>
              <c:f>PBDE!$C$24:$C$32</c:f>
              <c:strCache>
                <c:ptCount val="9"/>
                <c:pt idx="0">
                  <c:v>BDE-47</c:v>
                </c:pt>
                <c:pt idx="1">
                  <c:v>BDE-66</c:v>
                </c:pt>
                <c:pt idx="2">
                  <c:v>BDE-100</c:v>
                </c:pt>
                <c:pt idx="3">
                  <c:v>BDE-99</c:v>
                </c:pt>
                <c:pt idx="4">
                  <c:v>BDE-154</c:v>
                </c:pt>
                <c:pt idx="5">
                  <c:v>BDE-153</c:v>
                </c:pt>
                <c:pt idx="6">
                  <c:v>BDE-138</c:v>
                </c:pt>
                <c:pt idx="7">
                  <c:v>BDE-183</c:v>
                </c:pt>
                <c:pt idx="8">
                  <c:v>BDEs Sum</c:v>
                </c:pt>
              </c:strCache>
            </c:strRef>
          </c:cat>
          <c:val>
            <c:numRef>
              <c:f>PBDE!$D$24:$D$32</c:f>
              <c:numCache>
                <c:formatCode>0</c:formatCode>
                <c:ptCount val="9"/>
                <c:pt idx="0">
                  <c:v>6.1463083576423649</c:v>
                </c:pt>
                <c:pt idx="1">
                  <c:v>0.15148085120964766</c:v>
                </c:pt>
                <c:pt idx="2">
                  <c:v>1.0186241918471579</c:v>
                </c:pt>
                <c:pt idx="3">
                  <c:v>2.0150888671587261</c:v>
                </c:pt>
                <c:pt idx="4">
                  <c:v>0.88616466672745065</c:v>
                </c:pt>
                <c:pt idx="5">
                  <c:v>0.99903720599421264</c:v>
                </c:pt>
                <c:pt idx="6">
                  <c:v>4.9123812913913784E-3</c:v>
                </c:pt>
                <c:pt idx="7">
                  <c:v>7.1852634999290482E-2</c:v>
                </c:pt>
                <c:pt idx="8">
                  <c:v>11.293469156870243</c:v>
                </c:pt>
              </c:numCache>
            </c:numRef>
          </c:val>
          <c:extLst>
            <c:ext xmlns:c16="http://schemas.microsoft.com/office/drawing/2014/chart" uri="{C3380CC4-5D6E-409C-BE32-E72D297353CC}">
              <c16:uniqueId val="{00000000-2461-41AC-B8FF-B611D2371AAD}"/>
            </c:ext>
          </c:extLst>
        </c:ser>
        <c:dLbls>
          <c:showLegendKey val="0"/>
          <c:showVal val="0"/>
          <c:showCatName val="0"/>
          <c:showSerName val="0"/>
          <c:showPercent val="0"/>
          <c:showBubbleSize val="0"/>
        </c:dLbls>
        <c:gapWidth val="219"/>
        <c:overlap val="-27"/>
        <c:axId val="431588200"/>
        <c:axId val="431590944"/>
      </c:barChart>
      <c:scatterChart>
        <c:scatterStyle val="lineMarker"/>
        <c:varyColors val="0"/>
        <c:ser>
          <c:idx val="1"/>
          <c:order val="1"/>
          <c:tx>
            <c:strRef>
              <c:f>PBDE!$E$22:$E$23</c:f>
              <c:strCache>
                <c:ptCount val="2"/>
                <c:pt idx="0">
                  <c:v>Subcutaneous fat</c:v>
                </c:pt>
                <c:pt idx="1">
                  <c:v>Gull (n=1)</c:v>
                </c:pt>
              </c:strCache>
            </c:strRef>
          </c:tx>
          <c:spPr>
            <a:ln w="25400" cap="rnd">
              <a:noFill/>
              <a:round/>
            </a:ln>
            <a:effectLst/>
          </c:spPr>
          <c:marker>
            <c:symbol val="circle"/>
            <c:size val="5"/>
            <c:spPr>
              <a:solidFill>
                <a:schemeClr val="accent2"/>
              </a:solidFill>
              <a:ln w="9525">
                <a:solidFill>
                  <a:schemeClr val="accent2"/>
                </a:solidFill>
              </a:ln>
              <a:effectLst/>
            </c:spPr>
          </c:marker>
          <c:xVal>
            <c:strRef>
              <c:f>PBDE!$C$24:$C$32</c:f>
              <c:strCache>
                <c:ptCount val="9"/>
                <c:pt idx="0">
                  <c:v>BDE-47</c:v>
                </c:pt>
                <c:pt idx="1">
                  <c:v>BDE-66</c:v>
                </c:pt>
                <c:pt idx="2">
                  <c:v>BDE-100</c:v>
                </c:pt>
                <c:pt idx="3">
                  <c:v>BDE-99</c:v>
                </c:pt>
                <c:pt idx="4">
                  <c:v>BDE-154</c:v>
                </c:pt>
                <c:pt idx="5">
                  <c:v>BDE-153</c:v>
                </c:pt>
                <c:pt idx="6">
                  <c:v>BDE-138</c:v>
                </c:pt>
                <c:pt idx="7">
                  <c:v>BDE-183</c:v>
                </c:pt>
                <c:pt idx="8">
                  <c:v>BDEs Sum</c:v>
                </c:pt>
              </c:strCache>
            </c:strRef>
          </c:xVal>
          <c:yVal>
            <c:numRef>
              <c:f>PBDE!$E$24:$E$32</c:f>
              <c:numCache>
                <c:formatCode>0</c:formatCode>
                <c:ptCount val="9"/>
                <c:pt idx="0">
                  <c:v>7.2831625575822292</c:v>
                </c:pt>
                <c:pt idx="1">
                  <c:v>1.5252882029946083E-2</c:v>
                </c:pt>
                <c:pt idx="2">
                  <c:v>1.6070025997433444</c:v>
                </c:pt>
                <c:pt idx="3">
                  <c:v>1.5256954801200651</c:v>
                </c:pt>
                <c:pt idx="4">
                  <c:v>1.3417011943656258</c:v>
                </c:pt>
                <c:pt idx="5">
                  <c:v>1.532130204407679</c:v>
                </c:pt>
                <c:pt idx="6">
                  <c:v>1.4468347667484309E-2</c:v>
                </c:pt>
                <c:pt idx="7">
                  <c:v>0.26410004687111127</c:v>
                </c:pt>
                <c:pt idx="8">
                  <c:v>13.583513312787487</c:v>
                </c:pt>
              </c:numCache>
            </c:numRef>
          </c:yVal>
          <c:smooth val="0"/>
          <c:extLst>
            <c:ext xmlns:c16="http://schemas.microsoft.com/office/drawing/2014/chart" uri="{C3380CC4-5D6E-409C-BE32-E72D297353CC}">
              <c16:uniqueId val="{00000001-2461-41AC-B8FF-B611D2371AAD}"/>
            </c:ext>
          </c:extLst>
        </c:ser>
        <c:dLbls>
          <c:showLegendKey val="0"/>
          <c:showVal val="0"/>
          <c:showCatName val="0"/>
          <c:showSerName val="0"/>
          <c:showPercent val="0"/>
          <c:showBubbleSize val="0"/>
        </c:dLbls>
        <c:axId val="431588200"/>
        <c:axId val="431590944"/>
      </c:scatterChart>
      <c:catAx>
        <c:axId val="43158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1590944"/>
        <c:crossesAt val="1.0000000000000002E-3"/>
        <c:auto val="1"/>
        <c:lblAlgn val="ctr"/>
        <c:lblOffset val="100"/>
        <c:noMultiLvlLbl val="0"/>
      </c:catAx>
      <c:valAx>
        <c:axId val="43159094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C ng/g lipid</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1588200"/>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PBDE!$D$37:$D$38</c:f>
              <c:strCache>
                <c:ptCount val="2"/>
                <c:pt idx="0">
                  <c:v>Muscle</c:v>
                </c:pt>
                <c:pt idx="1">
                  <c:v>Skua (n=3)</c:v>
                </c:pt>
              </c:strCache>
            </c:strRef>
          </c:tx>
          <c:spPr>
            <a:solidFill>
              <a:schemeClr val="accent1"/>
            </a:solidFill>
            <a:ln>
              <a:noFill/>
            </a:ln>
            <a:effectLst/>
          </c:spPr>
          <c:invertIfNegative val="0"/>
          <c:errBars>
            <c:errBarType val="plus"/>
            <c:errValType val="cust"/>
            <c:noEndCap val="0"/>
            <c:plus>
              <c:numRef>
                <c:f>OCP!$G$59:$G$76</c:f>
                <c:numCache>
                  <c:formatCode>General</c:formatCode>
                  <c:ptCount val="18"/>
                  <c:pt idx="0">
                    <c:v>2.6243898564075661</c:v>
                  </c:pt>
                  <c:pt idx="1">
                    <c:v>1.0655082204708759</c:v>
                  </c:pt>
                  <c:pt idx="2">
                    <c:v>2.4589544878530667</c:v>
                  </c:pt>
                  <c:pt idx="3">
                    <c:v>3.8060472443865687</c:v>
                  </c:pt>
                  <c:pt idx="4">
                    <c:v>1.1592738883093923</c:v>
                  </c:pt>
                  <c:pt idx="5">
                    <c:v>1.4243519104929561</c:v>
                  </c:pt>
                  <c:pt idx="6">
                    <c:v>1.1326833955285418</c:v>
                  </c:pt>
                  <c:pt idx="7">
                    <c:v>1.2358981016742383</c:v>
                  </c:pt>
                  <c:pt idx="8">
                    <c:v>30.984599788391641</c:v>
                  </c:pt>
                  <c:pt idx="9">
                    <c:v>1.03174908154659</c:v>
                  </c:pt>
                  <c:pt idx="10">
                    <c:v>1.3336649601600215</c:v>
                  </c:pt>
                  <c:pt idx="11">
                    <c:v>1.7333817325719321</c:v>
                  </c:pt>
                  <c:pt idx="12">
                    <c:v>2.4995998475033718</c:v>
                  </c:pt>
                  <c:pt idx="13">
                    <c:v>23.78660152137105</c:v>
                  </c:pt>
                  <c:pt idx="14">
                    <c:v>13.769697620343244</c:v>
                  </c:pt>
                  <c:pt idx="15">
                    <c:v>2.8633788456555336</c:v>
                  </c:pt>
                  <c:pt idx="16">
                    <c:v>2.6287735435010204</c:v>
                  </c:pt>
                  <c:pt idx="17">
                    <c:v>4.5318393650114928</c:v>
                  </c:pt>
                </c:numCache>
              </c:numRef>
            </c:plus>
            <c:minus>
              <c:numRef>
                <c:f>OCP!$G$59:$G$76</c:f>
                <c:numCache>
                  <c:formatCode>General</c:formatCode>
                  <c:ptCount val="18"/>
                  <c:pt idx="0">
                    <c:v>2.6243898564075661</c:v>
                  </c:pt>
                  <c:pt idx="1">
                    <c:v>1.0655082204708759</c:v>
                  </c:pt>
                  <c:pt idx="2">
                    <c:v>2.4589544878530667</c:v>
                  </c:pt>
                  <c:pt idx="3">
                    <c:v>3.8060472443865687</c:v>
                  </c:pt>
                  <c:pt idx="4">
                    <c:v>1.1592738883093923</c:v>
                  </c:pt>
                  <c:pt idx="5">
                    <c:v>1.4243519104929561</c:v>
                  </c:pt>
                  <c:pt idx="6">
                    <c:v>1.1326833955285418</c:v>
                  </c:pt>
                  <c:pt idx="7">
                    <c:v>1.2358981016742383</c:v>
                  </c:pt>
                  <c:pt idx="8">
                    <c:v>30.984599788391641</c:v>
                  </c:pt>
                  <c:pt idx="9">
                    <c:v>1.03174908154659</c:v>
                  </c:pt>
                  <c:pt idx="10">
                    <c:v>1.3336649601600215</c:v>
                  </c:pt>
                  <c:pt idx="11">
                    <c:v>1.7333817325719321</c:v>
                  </c:pt>
                  <c:pt idx="12">
                    <c:v>2.4995998475033718</c:v>
                  </c:pt>
                  <c:pt idx="13">
                    <c:v>23.78660152137105</c:v>
                  </c:pt>
                  <c:pt idx="14">
                    <c:v>13.769697620343244</c:v>
                  </c:pt>
                  <c:pt idx="15">
                    <c:v>2.8633788456555336</c:v>
                  </c:pt>
                  <c:pt idx="16">
                    <c:v>2.6287735435010204</c:v>
                  </c:pt>
                  <c:pt idx="17">
                    <c:v>4.5318393650114928</c:v>
                  </c:pt>
                </c:numCache>
              </c:numRef>
            </c:minus>
            <c:spPr>
              <a:noFill/>
              <a:ln w="9525" cap="flat" cmpd="sng" algn="ctr">
                <a:solidFill>
                  <a:schemeClr val="tx1">
                    <a:lumMod val="65000"/>
                    <a:lumOff val="35000"/>
                  </a:schemeClr>
                </a:solidFill>
                <a:round/>
              </a:ln>
              <a:effectLst/>
            </c:spPr>
          </c:errBars>
          <c:cat>
            <c:strRef>
              <c:f>PBDE!$C$39:$C$47</c:f>
              <c:strCache>
                <c:ptCount val="9"/>
                <c:pt idx="0">
                  <c:v>BDE-47</c:v>
                </c:pt>
                <c:pt idx="1">
                  <c:v>BDE-66</c:v>
                </c:pt>
                <c:pt idx="2">
                  <c:v>BDE-100</c:v>
                </c:pt>
                <c:pt idx="3">
                  <c:v>BDE-99</c:v>
                </c:pt>
                <c:pt idx="4">
                  <c:v>BDE-154</c:v>
                </c:pt>
                <c:pt idx="5">
                  <c:v>BDE-153</c:v>
                </c:pt>
                <c:pt idx="6">
                  <c:v>BDE-138</c:v>
                </c:pt>
                <c:pt idx="7">
                  <c:v>BDE-183</c:v>
                </c:pt>
                <c:pt idx="8">
                  <c:v>BDEs Sum</c:v>
                </c:pt>
              </c:strCache>
            </c:strRef>
          </c:cat>
          <c:val>
            <c:numRef>
              <c:f>PBDE!$D$39:$D$47</c:f>
              <c:numCache>
                <c:formatCode>0</c:formatCode>
                <c:ptCount val="9"/>
                <c:pt idx="0">
                  <c:v>21.198385785302822</c:v>
                </c:pt>
                <c:pt idx="1">
                  <c:v>0.40858345139580965</c:v>
                </c:pt>
                <c:pt idx="2">
                  <c:v>3.3670934236557222</c:v>
                </c:pt>
                <c:pt idx="3">
                  <c:v>3.3557530997364671</c:v>
                </c:pt>
                <c:pt idx="4">
                  <c:v>3.9805162537656922</c:v>
                </c:pt>
                <c:pt idx="5">
                  <c:v>8.0734642378336172</c:v>
                </c:pt>
                <c:pt idx="6">
                  <c:v>0.19345586905915857</c:v>
                </c:pt>
                <c:pt idx="7">
                  <c:v>1.294328630547799</c:v>
                </c:pt>
                <c:pt idx="8">
                  <c:v>41.871580751297088</c:v>
                </c:pt>
              </c:numCache>
            </c:numRef>
          </c:val>
          <c:extLst>
            <c:ext xmlns:c16="http://schemas.microsoft.com/office/drawing/2014/chart" uri="{C3380CC4-5D6E-409C-BE32-E72D297353CC}">
              <c16:uniqueId val="{00000000-F6BA-4634-8B8A-447876CD79F0}"/>
            </c:ext>
          </c:extLst>
        </c:ser>
        <c:ser>
          <c:idx val="1"/>
          <c:order val="1"/>
          <c:tx>
            <c:strRef>
              <c:f>PBDE!$E$37:$E$38</c:f>
              <c:strCache>
                <c:ptCount val="2"/>
                <c:pt idx="0">
                  <c:v>Muscle</c:v>
                </c:pt>
                <c:pt idx="1">
                  <c:v>Gull (n=3)</c:v>
                </c:pt>
              </c:strCache>
            </c:strRef>
          </c:tx>
          <c:spPr>
            <a:solidFill>
              <a:schemeClr val="accent2"/>
            </a:solidFill>
            <a:ln w="25400">
              <a:noFill/>
            </a:ln>
            <a:effectLst/>
          </c:spPr>
          <c:invertIfNegative val="0"/>
          <c:errBars>
            <c:errBarType val="plus"/>
            <c:errValType val="cust"/>
            <c:noEndCap val="0"/>
            <c:plus>
              <c:numRef>
                <c:f>OCP!$H$59:$H$76</c:f>
                <c:numCache>
                  <c:formatCode>General</c:formatCode>
                  <c:ptCount val="18"/>
                  <c:pt idx="0">
                    <c:v>1.2645243238978707</c:v>
                  </c:pt>
                  <c:pt idx="1">
                    <c:v>1.6012509901335219</c:v>
                  </c:pt>
                  <c:pt idx="2">
                    <c:v>2.8522300452336342</c:v>
                  </c:pt>
                  <c:pt idx="3">
                    <c:v>2.4322208093757323</c:v>
                  </c:pt>
                  <c:pt idx="4">
                    <c:v>1.5333020836834081</c:v>
                  </c:pt>
                  <c:pt idx="5">
                    <c:v>1.7619002174506526</c:v>
                  </c:pt>
                  <c:pt idx="6">
                    <c:v>1.4109798971945484</c:v>
                  </c:pt>
                  <c:pt idx="7">
                    <c:v>6.2892271096251502</c:v>
                  </c:pt>
                  <c:pt idx="8">
                    <c:v>20.076265871302802</c:v>
                  </c:pt>
                  <c:pt idx="9">
                    <c:v>1.0764150893055722</c:v>
                  </c:pt>
                  <c:pt idx="10">
                    <c:v>5.479440214323736</c:v>
                  </c:pt>
                  <c:pt idx="11">
                    <c:v>1.0860449892147797</c:v>
                  </c:pt>
                  <c:pt idx="12">
                    <c:v>18.705453855559192</c:v>
                  </c:pt>
                  <c:pt idx="13">
                    <c:v>1.2187566384597373</c:v>
                  </c:pt>
                  <c:pt idx="14">
                    <c:v>3.4227162678108742</c:v>
                  </c:pt>
                  <c:pt idx="15">
                    <c:v>1.7929904927772664</c:v>
                  </c:pt>
                  <c:pt idx="16">
                    <c:v>2.3215314293678997</c:v>
                  </c:pt>
                  <c:pt idx="17">
                    <c:v>1.3093795844441605</c:v>
                  </c:pt>
                </c:numCache>
              </c:numRef>
            </c:plus>
            <c:minus>
              <c:numRef>
                <c:f>OCP!$H$59:$H$76</c:f>
                <c:numCache>
                  <c:formatCode>General</c:formatCode>
                  <c:ptCount val="18"/>
                  <c:pt idx="0">
                    <c:v>1.2645243238978707</c:v>
                  </c:pt>
                  <c:pt idx="1">
                    <c:v>1.6012509901335219</c:v>
                  </c:pt>
                  <c:pt idx="2">
                    <c:v>2.8522300452336342</c:v>
                  </c:pt>
                  <c:pt idx="3">
                    <c:v>2.4322208093757323</c:v>
                  </c:pt>
                  <c:pt idx="4">
                    <c:v>1.5333020836834081</c:v>
                  </c:pt>
                  <c:pt idx="5">
                    <c:v>1.7619002174506526</c:v>
                  </c:pt>
                  <c:pt idx="6">
                    <c:v>1.4109798971945484</c:v>
                  </c:pt>
                  <c:pt idx="7">
                    <c:v>6.2892271096251502</c:v>
                  </c:pt>
                  <c:pt idx="8">
                    <c:v>20.076265871302802</c:v>
                  </c:pt>
                  <c:pt idx="9">
                    <c:v>1.0764150893055722</c:v>
                  </c:pt>
                  <c:pt idx="10">
                    <c:v>5.479440214323736</c:v>
                  </c:pt>
                  <c:pt idx="11">
                    <c:v>1.0860449892147797</c:v>
                  </c:pt>
                  <c:pt idx="12">
                    <c:v>18.705453855559192</c:v>
                  </c:pt>
                  <c:pt idx="13">
                    <c:v>1.2187566384597373</c:v>
                  </c:pt>
                  <c:pt idx="14">
                    <c:v>3.4227162678108742</c:v>
                  </c:pt>
                  <c:pt idx="15">
                    <c:v>1.7929904927772664</c:v>
                  </c:pt>
                  <c:pt idx="16">
                    <c:v>2.3215314293678997</c:v>
                  </c:pt>
                  <c:pt idx="17">
                    <c:v>1.3093795844441605</c:v>
                  </c:pt>
                </c:numCache>
              </c:numRef>
            </c:minus>
            <c:spPr>
              <a:noFill/>
              <a:ln w="9525" cap="flat" cmpd="sng" algn="ctr">
                <a:solidFill>
                  <a:schemeClr val="accent6">
                    <a:lumMod val="75000"/>
                  </a:schemeClr>
                </a:solidFill>
                <a:round/>
              </a:ln>
              <a:effectLst/>
            </c:spPr>
          </c:errBars>
          <c:cat>
            <c:strRef>
              <c:f>PBDE!$C$39:$C$47</c:f>
              <c:strCache>
                <c:ptCount val="9"/>
                <c:pt idx="0">
                  <c:v>BDE-47</c:v>
                </c:pt>
                <c:pt idx="1">
                  <c:v>BDE-66</c:v>
                </c:pt>
                <c:pt idx="2">
                  <c:v>BDE-100</c:v>
                </c:pt>
                <c:pt idx="3">
                  <c:v>BDE-99</c:v>
                </c:pt>
                <c:pt idx="4">
                  <c:v>BDE-154</c:v>
                </c:pt>
                <c:pt idx="5">
                  <c:v>BDE-153</c:v>
                </c:pt>
                <c:pt idx="6">
                  <c:v>BDE-138</c:v>
                </c:pt>
                <c:pt idx="7">
                  <c:v>BDE-183</c:v>
                </c:pt>
                <c:pt idx="8">
                  <c:v>BDEs Sum</c:v>
                </c:pt>
              </c:strCache>
            </c:strRef>
          </c:cat>
          <c:val>
            <c:numRef>
              <c:f>PBDE!$E$39:$E$47</c:f>
              <c:numCache>
                <c:formatCode>0.000</c:formatCode>
                <c:ptCount val="9"/>
                <c:pt idx="0">
                  <c:v>0.14641998592742539</c:v>
                </c:pt>
                <c:pt idx="1">
                  <c:v>9.5466822559882675E-2</c:v>
                </c:pt>
                <c:pt idx="2">
                  <c:v>9.8436824622824812E-2</c:v>
                </c:pt>
                <c:pt idx="3">
                  <c:v>5.3073023161456588E-2</c:v>
                </c:pt>
                <c:pt idx="4">
                  <c:v>4.1499643628173571E-2</c:v>
                </c:pt>
                <c:pt idx="5">
                  <c:v>6.2983967622334922E-2</c:v>
                </c:pt>
                <c:pt idx="6">
                  <c:v>1.4468347667484321E-2</c:v>
                </c:pt>
                <c:pt idx="7">
                  <c:v>9.4498958129133788E-3</c:v>
                </c:pt>
                <c:pt idx="8">
                  <c:v>0.52179851100249552</c:v>
                </c:pt>
              </c:numCache>
            </c:numRef>
          </c:val>
          <c:extLst>
            <c:ext xmlns:c16="http://schemas.microsoft.com/office/drawing/2014/chart" uri="{C3380CC4-5D6E-409C-BE32-E72D297353CC}">
              <c16:uniqueId val="{00000001-F6BA-4634-8B8A-447876CD79F0}"/>
            </c:ext>
          </c:extLst>
        </c:ser>
        <c:dLbls>
          <c:showLegendKey val="0"/>
          <c:showVal val="0"/>
          <c:showCatName val="0"/>
          <c:showSerName val="0"/>
          <c:showPercent val="0"/>
          <c:showBubbleSize val="0"/>
        </c:dLbls>
        <c:gapWidth val="150"/>
        <c:axId val="431590160"/>
        <c:axId val="431591336"/>
      </c:barChart>
      <c:catAx>
        <c:axId val="43159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1591336"/>
        <c:crossesAt val="1.0000000000000002E-3"/>
        <c:auto val="1"/>
        <c:lblAlgn val="ctr"/>
        <c:lblOffset val="100"/>
        <c:noMultiLvlLbl val="0"/>
      </c:catAx>
      <c:valAx>
        <c:axId val="43159133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C ng/g lipid</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1590160"/>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7892A-C088-4A89-AF74-69DB0F40F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36501</Words>
  <Characters>208060</Characters>
  <Application>Microsoft Office Word</Application>
  <DocSecurity>4</DocSecurity>
  <Lines>1733</Lines>
  <Paragraphs>488</Paragraphs>
  <ScaleCrop>false</ScaleCrop>
  <HeadingPairs>
    <vt:vector size="2" baseType="variant">
      <vt:variant>
        <vt:lpstr>Title</vt:lpstr>
      </vt:variant>
      <vt:variant>
        <vt:i4>1</vt:i4>
      </vt:variant>
    </vt:vector>
  </HeadingPairs>
  <TitlesOfParts>
    <vt:vector size="1" baseType="lpstr">
      <vt:lpstr/>
    </vt:vector>
  </TitlesOfParts>
  <Company>Wageningen University and Research</Company>
  <LinksUpToDate>false</LinksUpToDate>
  <CharactersWithSpaces>244073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Krasnobaev, Artem</dc:creator>
  <cp:keywords/>
  <dc:description/>
  <cp:lastModifiedBy>Ager, Beverley J.</cp:lastModifiedBy>
  <cp:revision>2</cp:revision>
  <dcterms:created xsi:type="dcterms:W3CDTF">2019-04-11T13:32:00Z</dcterms:created>
  <dcterms:modified xsi:type="dcterms:W3CDTF">2019-04-11T13:32:00Z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http://www.zotero.org/styles/marine-pollution-bulletin</vt:lpwstr>
  </property>
  <property fmtid="{D5CDD505-2E9C-101B-9397-08002B2CF9AE}" pid="15" name="Mendeley Recent Style Name 6_1">
    <vt:lpwstr>Marine Pollution Bulletin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a3fb778d-4eab-3937-8de4-df0fb2e11f64</vt:lpwstr>
  </property>
  <property fmtid="{D5CDD505-2E9C-101B-9397-08002B2CF9AE}" pid="24" name="Mendeley Citation Style_1">
    <vt:lpwstr>http://www.zotero.org/styles/marine-pollution-bulletin</vt:lpwstr>
  </property>
</Properties>
</file>