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8294F" w14:textId="026AFF0B" w:rsidR="00E0110D" w:rsidRDefault="00300CD6" w:rsidP="008E463B">
      <w:pPr>
        <w:pStyle w:val="Body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B</w:t>
      </w:r>
      <w:r w:rsidR="00E03CC7">
        <w:rPr>
          <w:b/>
          <w:bCs/>
          <w:kern w:val="28"/>
          <w:sz w:val="28"/>
          <w:szCs w:val="28"/>
        </w:rPr>
        <w:t>iodiversity loss</w:t>
      </w:r>
      <w:r>
        <w:rPr>
          <w:b/>
          <w:bCs/>
          <w:kern w:val="28"/>
          <w:sz w:val="28"/>
          <w:szCs w:val="28"/>
        </w:rPr>
        <w:t xml:space="preserve"> from deep-sea mining</w:t>
      </w:r>
    </w:p>
    <w:p w14:paraId="344C55B6" w14:textId="5FF6D3DC" w:rsidR="00056A15" w:rsidRDefault="00056A15" w:rsidP="008E463B">
      <w:pPr>
        <w:pStyle w:val="Body"/>
        <w:rPr>
          <w:b/>
          <w:bCs/>
          <w:i/>
          <w:iCs/>
          <w:kern w:val="28"/>
          <w:sz w:val="28"/>
          <w:szCs w:val="28"/>
        </w:rPr>
      </w:pPr>
    </w:p>
    <w:p w14:paraId="1B2A764A" w14:textId="79497E8B" w:rsidR="00A04FF7" w:rsidRPr="00A04FF7" w:rsidRDefault="00A04FF7" w:rsidP="008E463B">
      <w:pPr>
        <w:pStyle w:val="Body"/>
        <w:rPr>
          <w:sz w:val="24"/>
          <w:szCs w:val="24"/>
        </w:rPr>
      </w:pPr>
      <w:r w:rsidRPr="00A04FF7">
        <w:rPr>
          <w:sz w:val="24"/>
          <w:szCs w:val="24"/>
        </w:rPr>
        <w:t>Published as:</w:t>
      </w:r>
    </w:p>
    <w:p w14:paraId="13889468" w14:textId="30FED46F" w:rsidR="00A04FF7" w:rsidRPr="00A04FF7" w:rsidRDefault="00A04FF7" w:rsidP="008E463B">
      <w:pPr>
        <w:pStyle w:val="Body"/>
        <w:rPr>
          <w:sz w:val="24"/>
          <w:szCs w:val="24"/>
        </w:rPr>
      </w:pPr>
      <w:r w:rsidRPr="00A04FF7">
        <w:rPr>
          <w:sz w:val="24"/>
          <w:szCs w:val="24"/>
        </w:rPr>
        <w:t xml:space="preserve">Van Dover CL, </w:t>
      </w:r>
      <w:proofErr w:type="spellStart"/>
      <w:r w:rsidRPr="00A04FF7">
        <w:rPr>
          <w:sz w:val="24"/>
          <w:szCs w:val="24"/>
        </w:rPr>
        <w:t>Ardron</w:t>
      </w:r>
      <w:proofErr w:type="spellEnd"/>
      <w:r w:rsidRPr="00A04FF7">
        <w:rPr>
          <w:sz w:val="24"/>
          <w:szCs w:val="24"/>
        </w:rPr>
        <w:t xml:space="preserve"> JA, Escobar E, Gianni M, </w:t>
      </w:r>
      <w:proofErr w:type="spellStart"/>
      <w:r w:rsidRPr="00A04FF7">
        <w:rPr>
          <w:sz w:val="24"/>
          <w:szCs w:val="24"/>
        </w:rPr>
        <w:t>Gjerde</w:t>
      </w:r>
      <w:proofErr w:type="spellEnd"/>
      <w:r w:rsidRPr="00A04FF7">
        <w:rPr>
          <w:sz w:val="24"/>
          <w:szCs w:val="24"/>
        </w:rPr>
        <w:t xml:space="preserve"> KM, </w:t>
      </w:r>
      <w:proofErr w:type="spellStart"/>
      <w:r w:rsidRPr="00A04FF7">
        <w:rPr>
          <w:sz w:val="24"/>
          <w:szCs w:val="24"/>
        </w:rPr>
        <w:t>Jaeckel</w:t>
      </w:r>
      <w:proofErr w:type="spellEnd"/>
      <w:r w:rsidRPr="00A04FF7">
        <w:rPr>
          <w:sz w:val="24"/>
          <w:szCs w:val="24"/>
        </w:rPr>
        <w:t xml:space="preserve"> A, Jones DOB, Levin LA, Niner HJ, Pendleton L, Smith CR, Thiele T, Turner PJ, Watling L, Weaver PPE (2017) Biodiversity loss from deep-sea mining. Nature Geoscience 10:464-465</w:t>
      </w:r>
      <w:r>
        <w:rPr>
          <w:sz w:val="24"/>
          <w:szCs w:val="24"/>
        </w:rPr>
        <w:t xml:space="preserve">. DOI: </w:t>
      </w:r>
      <w:r w:rsidRPr="00A04FF7">
        <w:rPr>
          <w:sz w:val="24"/>
          <w:szCs w:val="24"/>
        </w:rPr>
        <w:t>10.1038/ngeo2983</w:t>
      </w:r>
    </w:p>
    <w:p w14:paraId="4E769FBB" w14:textId="77777777" w:rsidR="00A04FF7" w:rsidRDefault="00A04FF7" w:rsidP="008E463B">
      <w:pPr>
        <w:pStyle w:val="Body"/>
        <w:rPr>
          <w:b/>
          <w:bCs/>
          <w:i/>
          <w:iCs/>
          <w:kern w:val="28"/>
          <w:sz w:val="28"/>
          <w:szCs w:val="28"/>
        </w:rPr>
      </w:pPr>
    </w:p>
    <w:p w14:paraId="0A4308B1" w14:textId="77777777" w:rsidR="008E463B" w:rsidRDefault="008E463B" w:rsidP="008E463B">
      <w:pPr>
        <w:pStyle w:val="Body"/>
        <w:rPr>
          <w:b/>
          <w:bCs/>
          <w:sz w:val="24"/>
          <w:szCs w:val="24"/>
        </w:rPr>
      </w:pPr>
    </w:p>
    <w:p w14:paraId="70456355" w14:textId="324A6FCD" w:rsidR="00E0110D" w:rsidRDefault="007E17EC">
      <w:pPr>
        <w:pStyle w:val="Body"/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 the editor – </w:t>
      </w:r>
      <w:r w:rsidR="00B62605">
        <w:rPr>
          <w:sz w:val="24"/>
          <w:szCs w:val="24"/>
        </w:rPr>
        <w:t>The emerging deep-</w:t>
      </w:r>
      <w:r>
        <w:rPr>
          <w:sz w:val="24"/>
          <w:szCs w:val="24"/>
        </w:rPr>
        <w:t xml:space="preserve">sea mining industry </w:t>
      </w:r>
      <w:r w:rsidR="0058319E">
        <w:rPr>
          <w:sz w:val="24"/>
          <w:szCs w:val="24"/>
        </w:rPr>
        <w:t xml:space="preserve">is seen by some </w:t>
      </w:r>
      <w:r w:rsidR="00F219F5">
        <w:rPr>
          <w:sz w:val="24"/>
          <w:szCs w:val="24"/>
        </w:rPr>
        <w:t>to be an</w:t>
      </w:r>
      <w:r>
        <w:rPr>
          <w:sz w:val="24"/>
          <w:szCs w:val="24"/>
        </w:rPr>
        <w:t xml:space="preserve"> engine for eco</w:t>
      </w:r>
      <w:r w:rsidR="00F75FF3">
        <w:rPr>
          <w:sz w:val="24"/>
          <w:szCs w:val="24"/>
        </w:rPr>
        <w:t xml:space="preserve">nomic development </w:t>
      </w:r>
      <w:r w:rsidR="00F219F5">
        <w:rPr>
          <w:sz w:val="24"/>
          <w:szCs w:val="24"/>
        </w:rPr>
        <w:t>in</w:t>
      </w:r>
      <w:r w:rsidR="00F75FF3">
        <w:rPr>
          <w:sz w:val="24"/>
          <w:szCs w:val="24"/>
        </w:rPr>
        <w:t xml:space="preserve"> the maritime </w:t>
      </w:r>
      <w:r>
        <w:rPr>
          <w:sz w:val="24"/>
          <w:szCs w:val="24"/>
        </w:rPr>
        <w:t>sector</w:t>
      </w:r>
      <w:r w:rsidR="008706AF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.  The International Seabed Authority</w:t>
      </w:r>
      <w:r w:rsidR="00B62605">
        <w:rPr>
          <w:sz w:val="24"/>
          <w:szCs w:val="24"/>
        </w:rPr>
        <w:t xml:space="preserve"> (ISA)</w:t>
      </w:r>
      <w:r>
        <w:rPr>
          <w:sz w:val="24"/>
          <w:szCs w:val="24"/>
        </w:rPr>
        <w:t xml:space="preserve"> – the body that regulates mining activities on the seabed beyond national jurisdiction – must </w:t>
      </w:r>
      <w:r w:rsidR="00F219F5">
        <w:rPr>
          <w:sz w:val="24"/>
          <w:szCs w:val="24"/>
        </w:rPr>
        <w:t xml:space="preserve">also </w:t>
      </w:r>
      <w:r>
        <w:rPr>
          <w:sz w:val="24"/>
          <w:szCs w:val="24"/>
        </w:rPr>
        <w:t>protect the marine environment from harmful effects that arise from mining</w:t>
      </w:r>
      <w:r w:rsidR="008706AF">
        <w:rPr>
          <w:sz w:val="24"/>
          <w:szCs w:val="24"/>
          <w:vertAlign w:val="superscript"/>
        </w:rPr>
        <w:t>2</w:t>
      </w:r>
      <w:r w:rsidR="00B62605">
        <w:rPr>
          <w:sz w:val="24"/>
          <w:szCs w:val="24"/>
        </w:rPr>
        <w:t>. The ISA</w:t>
      </w:r>
      <w:r>
        <w:rPr>
          <w:sz w:val="24"/>
          <w:szCs w:val="24"/>
        </w:rPr>
        <w:t xml:space="preserve"> is currently drafting </w:t>
      </w:r>
      <w:r w:rsidR="00C57F71">
        <w:rPr>
          <w:sz w:val="24"/>
          <w:szCs w:val="24"/>
        </w:rPr>
        <w:t>a regulatory framework for</w:t>
      </w:r>
      <w:r w:rsidR="00B62605">
        <w:rPr>
          <w:sz w:val="24"/>
          <w:szCs w:val="24"/>
        </w:rPr>
        <w:t xml:space="preserve"> deep-</w:t>
      </w:r>
      <w:r>
        <w:rPr>
          <w:sz w:val="24"/>
          <w:szCs w:val="24"/>
        </w:rPr>
        <w:t>sea mining that include</w:t>
      </w:r>
      <w:r w:rsidR="00792641">
        <w:rPr>
          <w:sz w:val="24"/>
          <w:szCs w:val="24"/>
        </w:rPr>
        <w:t>s</w:t>
      </w:r>
      <w:r>
        <w:rPr>
          <w:sz w:val="24"/>
          <w:szCs w:val="24"/>
        </w:rPr>
        <w:t xml:space="preserve"> measures for environmental protection. </w:t>
      </w:r>
      <w:r w:rsidR="00556551">
        <w:rPr>
          <w:sz w:val="24"/>
          <w:szCs w:val="24"/>
        </w:rPr>
        <w:t xml:space="preserve">Responsible </w:t>
      </w:r>
      <w:r w:rsidR="00AD697F">
        <w:rPr>
          <w:sz w:val="24"/>
          <w:szCs w:val="24"/>
        </w:rPr>
        <w:t xml:space="preserve">mining </w:t>
      </w:r>
      <w:r w:rsidR="00F219F5">
        <w:rPr>
          <w:sz w:val="24"/>
          <w:szCs w:val="24"/>
        </w:rPr>
        <w:t xml:space="preserve">increasingly </w:t>
      </w:r>
      <w:r w:rsidR="00AD697F">
        <w:rPr>
          <w:sz w:val="24"/>
          <w:szCs w:val="24"/>
        </w:rPr>
        <w:t>strives to work with no</w:t>
      </w:r>
      <w:r>
        <w:rPr>
          <w:sz w:val="24"/>
          <w:szCs w:val="24"/>
        </w:rPr>
        <w:t xml:space="preserve"> net loss of biodiversity</w:t>
      </w:r>
      <w:r>
        <w:rPr>
          <w:sz w:val="24"/>
          <w:szCs w:val="24"/>
          <w:vertAlign w:val="superscript"/>
        </w:rPr>
        <w:t>3</w:t>
      </w:r>
      <w:r w:rsidR="00556551">
        <w:rPr>
          <w:sz w:val="24"/>
          <w:szCs w:val="24"/>
        </w:rPr>
        <w:t>.</w:t>
      </w:r>
      <w:r>
        <w:rPr>
          <w:sz w:val="24"/>
          <w:szCs w:val="24"/>
        </w:rPr>
        <w:t xml:space="preserve"> Financial and regulatory frameworks commonly require extractive industries to use a four-tier mitigation hierarchy</w:t>
      </w:r>
      <w:r w:rsidR="006C19CF">
        <w:rPr>
          <w:sz w:val="24"/>
          <w:szCs w:val="24"/>
        </w:rPr>
        <w:t xml:space="preserve"> to prevent biodiversity loss</w:t>
      </w:r>
      <w:r>
        <w:rPr>
          <w:sz w:val="24"/>
          <w:szCs w:val="24"/>
        </w:rPr>
        <w:t xml:space="preserve">: in order of </w:t>
      </w:r>
      <w:r w:rsidR="00556551">
        <w:rPr>
          <w:sz w:val="24"/>
          <w:szCs w:val="24"/>
        </w:rPr>
        <w:t>priority</w:t>
      </w:r>
      <w:r>
        <w:rPr>
          <w:sz w:val="24"/>
          <w:szCs w:val="24"/>
        </w:rPr>
        <w:t xml:space="preserve">, biodiversity loss is </w:t>
      </w:r>
      <w:r w:rsidR="008B6C90">
        <w:rPr>
          <w:sz w:val="24"/>
          <w:szCs w:val="24"/>
        </w:rPr>
        <w:t xml:space="preserve">to be </w:t>
      </w:r>
      <w:r>
        <w:rPr>
          <w:sz w:val="24"/>
          <w:szCs w:val="24"/>
        </w:rPr>
        <w:t xml:space="preserve">avoided, minimized, remediated, and – as a last resort </w:t>
      </w:r>
      <w:r w:rsidR="00556551">
        <w:rPr>
          <w:sz w:val="24"/>
          <w:szCs w:val="24"/>
        </w:rPr>
        <w:t>–</w:t>
      </w:r>
      <w:r>
        <w:rPr>
          <w:sz w:val="24"/>
          <w:szCs w:val="24"/>
        </w:rPr>
        <w:t xml:space="preserve"> offset</w:t>
      </w:r>
      <w:r>
        <w:rPr>
          <w:sz w:val="24"/>
          <w:szCs w:val="24"/>
          <w:vertAlign w:val="superscript"/>
        </w:rPr>
        <w:t>4</w:t>
      </w:r>
      <w:proofErr w:type="gramStart"/>
      <w:r>
        <w:rPr>
          <w:sz w:val="24"/>
          <w:szCs w:val="24"/>
          <w:vertAlign w:val="superscript"/>
        </w:rPr>
        <w:t>,5</w:t>
      </w:r>
      <w:proofErr w:type="gramEnd"/>
      <w:r w:rsidR="00556551">
        <w:rPr>
          <w:sz w:val="24"/>
          <w:szCs w:val="24"/>
        </w:rPr>
        <w:t>.</w:t>
      </w:r>
      <w:r w:rsidR="00556551">
        <w:rPr>
          <w:b/>
          <w:bCs/>
          <w:i/>
          <w:iCs/>
          <w:sz w:val="24"/>
          <w:szCs w:val="24"/>
        </w:rPr>
        <w:t xml:space="preserve"> </w:t>
      </w:r>
      <w:r w:rsidR="00437D5B">
        <w:rPr>
          <w:sz w:val="24"/>
          <w:szCs w:val="24"/>
        </w:rPr>
        <w:t xml:space="preserve"> W</w:t>
      </w:r>
      <w:r>
        <w:rPr>
          <w:sz w:val="24"/>
          <w:szCs w:val="24"/>
        </w:rPr>
        <w:t>e argue</w:t>
      </w:r>
      <w:r w:rsidR="00437D5B">
        <w:rPr>
          <w:sz w:val="24"/>
          <w:szCs w:val="24"/>
        </w:rPr>
        <w:t xml:space="preserve"> here</w:t>
      </w:r>
      <w:r>
        <w:rPr>
          <w:sz w:val="24"/>
          <w:szCs w:val="24"/>
        </w:rPr>
        <w:t xml:space="preserve"> that mining with no net loss of biodiversity using this mitigation hierarchy in the deep sea</w:t>
      </w:r>
      <w:r w:rsidR="00437D5B">
        <w:rPr>
          <w:sz w:val="24"/>
          <w:szCs w:val="24"/>
        </w:rPr>
        <w:t xml:space="preserve"> is an unattainable goal</w:t>
      </w:r>
      <w:r>
        <w:rPr>
          <w:sz w:val="24"/>
          <w:szCs w:val="24"/>
        </w:rPr>
        <w:t xml:space="preserve">. </w:t>
      </w:r>
    </w:p>
    <w:p w14:paraId="3100B774" w14:textId="77777777" w:rsidR="00E0110D" w:rsidRDefault="00E0110D">
      <w:pPr>
        <w:pStyle w:val="Body"/>
        <w:spacing w:line="480" w:lineRule="auto"/>
        <w:rPr>
          <w:sz w:val="24"/>
          <w:szCs w:val="24"/>
        </w:rPr>
      </w:pPr>
    </w:p>
    <w:p w14:paraId="038AB57C" w14:textId="0BCDC20A" w:rsidR="00E0110D" w:rsidRPr="00B62605" w:rsidRDefault="007E17EC">
      <w:pPr>
        <w:pStyle w:val="Body"/>
        <w:spacing w:line="480" w:lineRule="auto"/>
        <w:rPr>
          <w:color w:val="000000" w:themeColor="text1"/>
          <w:sz w:val="24"/>
          <w:szCs w:val="24"/>
        </w:rPr>
      </w:pPr>
      <w:r w:rsidRPr="00B62605">
        <w:rPr>
          <w:color w:val="000000" w:themeColor="text1"/>
          <w:sz w:val="24"/>
          <w:szCs w:val="24"/>
        </w:rPr>
        <w:t xml:space="preserve">The first tier of the mitigation </w:t>
      </w:r>
      <w:r w:rsidRPr="00BC24D7">
        <w:rPr>
          <w:color w:val="000000" w:themeColor="text1"/>
          <w:sz w:val="24"/>
          <w:szCs w:val="24"/>
        </w:rPr>
        <w:t xml:space="preserve">hierarchy is avoidance. </w:t>
      </w:r>
      <w:r w:rsidR="00F44050">
        <w:rPr>
          <w:color w:val="000000" w:themeColor="text1"/>
          <w:sz w:val="24"/>
          <w:szCs w:val="24"/>
        </w:rPr>
        <w:t>Potentially u</w:t>
      </w:r>
      <w:r w:rsidR="00792641">
        <w:rPr>
          <w:color w:val="000000" w:themeColor="text1"/>
          <w:sz w:val="24"/>
          <w:szCs w:val="24"/>
        </w:rPr>
        <w:t>seful mitigation strategies</w:t>
      </w:r>
      <w:r w:rsidR="00F219F5">
        <w:rPr>
          <w:color w:val="000000" w:themeColor="text1"/>
          <w:sz w:val="24"/>
          <w:szCs w:val="24"/>
        </w:rPr>
        <w:t xml:space="preserve"> in the deep sea</w:t>
      </w:r>
      <w:r w:rsidR="00792641" w:rsidRPr="00BC24D7">
        <w:rPr>
          <w:color w:val="000000" w:themeColor="text1"/>
          <w:sz w:val="24"/>
          <w:szCs w:val="24"/>
        </w:rPr>
        <w:t xml:space="preserve"> </w:t>
      </w:r>
      <w:r w:rsidR="00792641">
        <w:rPr>
          <w:color w:val="000000" w:themeColor="text1"/>
          <w:sz w:val="24"/>
          <w:szCs w:val="24"/>
        </w:rPr>
        <w:t xml:space="preserve">include </w:t>
      </w:r>
      <w:r w:rsidRPr="00BC24D7">
        <w:rPr>
          <w:color w:val="000000" w:themeColor="text1"/>
          <w:sz w:val="24"/>
          <w:szCs w:val="24"/>
        </w:rPr>
        <w:t xml:space="preserve">patchwork extraction, whereby some minerals with associated fauna are left undisturbed, </w:t>
      </w:r>
      <w:r w:rsidR="00F219F5">
        <w:rPr>
          <w:color w:val="000000" w:themeColor="text1"/>
          <w:sz w:val="24"/>
          <w:szCs w:val="24"/>
        </w:rPr>
        <w:t>or</w:t>
      </w:r>
      <w:r w:rsidR="00792641">
        <w:rPr>
          <w:color w:val="000000" w:themeColor="text1"/>
          <w:sz w:val="24"/>
          <w:szCs w:val="24"/>
        </w:rPr>
        <w:t xml:space="preserve"> other means to limit the direct mining footprint</w:t>
      </w:r>
      <w:r w:rsidRPr="00BC24D7">
        <w:rPr>
          <w:color w:val="000000" w:themeColor="text1"/>
          <w:sz w:val="24"/>
          <w:szCs w:val="24"/>
        </w:rPr>
        <w:t xml:space="preserve">. </w:t>
      </w:r>
      <w:r w:rsidR="00D620DF">
        <w:rPr>
          <w:color w:val="000000" w:themeColor="text1"/>
          <w:sz w:val="24"/>
          <w:szCs w:val="24"/>
        </w:rPr>
        <w:t>Even so,</w:t>
      </w:r>
      <w:r w:rsidRPr="00BC24D7">
        <w:rPr>
          <w:color w:val="000000" w:themeColor="text1"/>
          <w:sz w:val="24"/>
          <w:szCs w:val="24"/>
        </w:rPr>
        <w:t xml:space="preserve"> loss of biodiversity will be unavoidable</w:t>
      </w:r>
      <w:r w:rsidR="00437D5B" w:rsidRPr="00BC24D7">
        <w:rPr>
          <w:color w:val="000000" w:themeColor="text1"/>
          <w:sz w:val="24"/>
          <w:szCs w:val="24"/>
        </w:rPr>
        <w:t xml:space="preserve"> because mining </w:t>
      </w:r>
      <w:r w:rsidR="00F219F5">
        <w:rPr>
          <w:color w:val="000000" w:themeColor="text1"/>
          <w:sz w:val="24"/>
          <w:szCs w:val="24"/>
        </w:rPr>
        <w:t xml:space="preserve">directly </w:t>
      </w:r>
      <w:r w:rsidR="00437D5B" w:rsidRPr="00BC24D7">
        <w:rPr>
          <w:color w:val="000000" w:themeColor="text1"/>
          <w:sz w:val="24"/>
          <w:szCs w:val="24"/>
        </w:rPr>
        <w:t>destroys habitat</w:t>
      </w:r>
      <w:r w:rsidR="00D620DF" w:rsidRPr="00D620DF">
        <w:rPr>
          <w:sz w:val="24"/>
          <w:szCs w:val="24"/>
        </w:rPr>
        <w:t xml:space="preserve"> </w:t>
      </w:r>
      <w:r w:rsidR="00F44050">
        <w:rPr>
          <w:sz w:val="24"/>
          <w:szCs w:val="24"/>
        </w:rPr>
        <w:t xml:space="preserve">and </w:t>
      </w:r>
      <w:r w:rsidR="00F219F5">
        <w:rPr>
          <w:sz w:val="24"/>
          <w:szCs w:val="24"/>
        </w:rPr>
        <w:t>indirectly</w:t>
      </w:r>
      <w:r w:rsidR="00B02F7C">
        <w:rPr>
          <w:sz w:val="24"/>
          <w:szCs w:val="24"/>
        </w:rPr>
        <w:t xml:space="preserve"> degrades</w:t>
      </w:r>
      <w:r w:rsidR="00F219F5">
        <w:rPr>
          <w:sz w:val="24"/>
          <w:szCs w:val="24"/>
        </w:rPr>
        <w:t xml:space="preserve"> large volumes of water column and area</w:t>
      </w:r>
      <w:r w:rsidR="00B02F7C">
        <w:rPr>
          <w:sz w:val="24"/>
          <w:szCs w:val="24"/>
        </w:rPr>
        <w:t>s</w:t>
      </w:r>
      <w:r w:rsidR="00F219F5">
        <w:rPr>
          <w:sz w:val="24"/>
          <w:szCs w:val="24"/>
        </w:rPr>
        <w:t xml:space="preserve"> of seabed due to generation of </w:t>
      </w:r>
      <w:r w:rsidR="00D620DF">
        <w:rPr>
          <w:sz w:val="24"/>
          <w:szCs w:val="24"/>
        </w:rPr>
        <w:t>sediment plumes</w:t>
      </w:r>
      <w:r w:rsidR="00B02F7C">
        <w:rPr>
          <w:sz w:val="24"/>
          <w:szCs w:val="24"/>
        </w:rPr>
        <w:t xml:space="preserve"> enriched in bioavailable metals</w:t>
      </w:r>
      <w:r w:rsidRPr="00B62605">
        <w:rPr>
          <w:color w:val="000000" w:themeColor="text1"/>
          <w:sz w:val="24"/>
          <w:szCs w:val="24"/>
        </w:rPr>
        <w:t>.</w:t>
      </w:r>
    </w:p>
    <w:p w14:paraId="7B610F70" w14:textId="77777777" w:rsidR="00E0110D" w:rsidRDefault="00E0110D">
      <w:pPr>
        <w:pStyle w:val="Body"/>
        <w:spacing w:line="480" w:lineRule="auto"/>
        <w:rPr>
          <w:sz w:val="24"/>
          <w:szCs w:val="24"/>
        </w:rPr>
      </w:pPr>
    </w:p>
    <w:p w14:paraId="559A4122" w14:textId="51B1BD2A" w:rsidR="00E0110D" w:rsidRDefault="00BC24D7"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While </w:t>
      </w:r>
      <w:r w:rsidR="008B6C90">
        <w:rPr>
          <w:sz w:val="24"/>
          <w:szCs w:val="24"/>
        </w:rPr>
        <w:t>within-</w:t>
      </w:r>
      <w:r w:rsidR="00960E72">
        <w:rPr>
          <w:sz w:val="24"/>
          <w:szCs w:val="24"/>
        </w:rPr>
        <w:t>mine</w:t>
      </w:r>
      <w:r>
        <w:rPr>
          <w:sz w:val="24"/>
          <w:szCs w:val="24"/>
        </w:rPr>
        <w:t xml:space="preserve"> biodiversity loss is inevitable, </w:t>
      </w:r>
      <w:r w:rsidR="008B6C90">
        <w:rPr>
          <w:sz w:val="24"/>
          <w:szCs w:val="24"/>
        </w:rPr>
        <w:t xml:space="preserve">innovative </w:t>
      </w:r>
      <w:r>
        <w:rPr>
          <w:sz w:val="24"/>
          <w:szCs w:val="24"/>
        </w:rPr>
        <w:t xml:space="preserve">engineering design </w:t>
      </w:r>
      <w:r w:rsidR="0019064B">
        <w:rPr>
          <w:sz w:val="24"/>
          <w:szCs w:val="24"/>
        </w:rPr>
        <w:t>might</w:t>
      </w:r>
      <w:r w:rsidR="005B6B6F">
        <w:rPr>
          <w:sz w:val="24"/>
          <w:szCs w:val="24"/>
        </w:rPr>
        <w:t xml:space="preserve"> reduce </w:t>
      </w:r>
      <w:r w:rsidR="00792641">
        <w:rPr>
          <w:sz w:val="24"/>
          <w:szCs w:val="24"/>
        </w:rPr>
        <w:t xml:space="preserve">(‘minimize”) </w:t>
      </w:r>
      <w:r w:rsidR="00300CD6">
        <w:rPr>
          <w:sz w:val="24"/>
          <w:szCs w:val="24"/>
        </w:rPr>
        <w:t>some</w:t>
      </w:r>
      <w:r w:rsidR="008B6C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risks </w:t>
      </w:r>
      <w:r w:rsidR="0019064B">
        <w:rPr>
          <w:sz w:val="24"/>
          <w:szCs w:val="24"/>
        </w:rPr>
        <w:t xml:space="preserve">to </w:t>
      </w:r>
      <w:r w:rsidR="00B02F7C">
        <w:rPr>
          <w:sz w:val="24"/>
          <w:szCs w:val="24"/>
        </w:rPr>
        <w:t>far</w:t>
      </w:r>
      <w:r w:rsidR="00300CD6">
        <w:rPr>
          <w:sz w:val="24"/>
          <w:szCs w:val="24"/>
        </w:rPr>
        <w:t>-</w:t>
      </w:r>
      <w:r w:rsidR="00B02F7C">
        <w:rPr>
          <w:sz w:val="24"/>
          <w:szCs w:val="24"/>
        </w:rPr>
        <w:t>field</w:t>
      </w:r>
      <w:r>
        <w:rPr>
          <w:sz w:val="24"/>
          <w:szCs w:val="24"/>
        </w:rPr>
        <w:t xml:space="preserve"> biodiversity.  </w:t>
      </w:r>
      <w:r w:rsidR="007E17EC">
        <w:rPr>
          <w:sz w:val="24"/>
          <w:szCs w:val="24"/>
        </w:rPr>
        <w:t xml:space="preserve">For example, </w:t>
      </w:r>
      <w:r w:rsidR="008B6C90">
        <w:rPr>
          <w:sz w:val="24"/>
          <w:szCs w:val="24"/>
        </w:rPr>
        <w:t>s</w:t>
      </w:r>
      <w:r w:rsidR="007E17EC">
        <w:rPr>
          <w:sz w:val="24"/>
          <w:szCs w:val="24"/>
        </w:rPr>
        <w:t xml:space="preserve">hrouds fitted to cutting equipment </w:t>
      </w:r>
      <w:r w:rsidR="008B6C90">
        <w:rPr>
          <w:sz w:val="24"/>
          <w:szCs w:val="24"/>
        </w:rPr>
        <w:t xml:space="preserve">might </w:t>
      </w:r>
      <w:r w:rsidR="007E17EC">
        <w:rPr>
          <w:sz w:val="24"/>
          <w:szCs w:val="24"/>
        </w:rPr>
        <w:t xml:space="preserve">reduce dispersion of sediment plumes and the </w:t>
      </w:r>
      <w:r w:rsidR="00B62605">
        <w:rPr>
          <w:sz w:val="24"/>
          <w:szCs w:val="24"/>
        </w:rPr>
        <w:t>footprint of plume impacts such as</w:t>
      </w:r>
      <w:r w:rsidR="007E17EC">
        <w:rPr>
          <w:sz w:val="24"/>
          <w:szCs w:val="24"/>
        </w:rPr>
        <w:t xml:space="preserve"> </w:t>
      </w:r>
      <w:r w:rsidR="008B6C90">
        <w:rPr>
          <w:sz w:val="24"/>
          <w:szCs w:val="24"/>
        </w:rPr>
        <w:t>burial of organisms</w:t>
      </w:r>
      <w:r w:rsidR="007E17EC">
        <w:rPr>
          <w:sz w:val="24"/>
          <w:szCs w:val="24"/>
        </w:rPr>
        <w:t xml:space="preserve">. </w:t>
      </w:r>
      <w:r w:rsidR="00B62605">
        <w:rPr>
          <w:sz w:val="24"/>
          <w:szCs w:val="24"/>
        </w:rPr>
        <w:t xml:space="preserve"> </w:t>
      </w:r>
      <w:r w:rsidR="007E17EC">
        <w:rPr>
          <w:sz w:val="24"/>
          <w:szCs w:val="24"/>
        </w:rPr>
        <w:t xml:space="preserve">Similarly, vehicle design </w:t>
      </w:r>
      <w:r w:rsidR="008B6C90">
        <w:rPr>
          <w:sz w:val="24"/>
          <w:szCs w:val="24"/>
        </w:rPr>
        <w:t>might</w:t>
      </w:r>
      <w:r w:rsidR="007E17EC">
        <w:rPr>
          <w:sz w:val="24"/>
          <w:szCs w:val="24"/>
        </w:rPr>
        <w:t xml:space="preserve"> </w:t>
      </w:r>
      <w:r w:rsidR="00B02F7C">
        <w:rPr>
          <w:sz w:val="24"/>
          <w:szCs w:val="24"/>
        </w:rPr>
        <w:t>limit</w:t>
      </w:r>
      <w:r w:rsidR="007E17EC">
        <w:rPr>
          <w:sz w:val="24"/>
          <w:szCs w:val="24"/>
        </w:rPr>
        <w:t xml:space="preserve"> compaction of seabed </w:t>
      </w:r>
      <w:r w:rsidR="007E17EC" w:rsidRPr="005B6B6F">
        <w:rPr>
          <w:sz w:val="24"/>
          <w:szCs w:val="24"/>
        </w:rPr>
        <w:t>sediment</w:t>
      </w:r>
      <w:r w:rsidR="005B6B6F" w:rsidRPr="00B62605">
        <w:rPr>
          <w:bCs/>
          <w:iCs/>
          <w:sz w:val="24"/>
          <w:szCs w:val="24"/>
        </w:rPr>
        <w:t>s</w:t>
      </w:r>
      <w:r w:rsidR="007E17EC" w:rsidRPr="005B6B6F">
        <w:rPr>
          <w:sz w:val="24"/>
          <w:szCs w:val="24"/>
        </w:rPr>
        <w:t>.</w:t>
      </w:r>
      <w:r w:rsidR="007E17EC">
        <w:rPr>
          <w:sz w:val="24"/>
          <w:szCs w:val="24"/>
        </w:rPr>
        <w:t xml:space="preserve"> </w:t>
      </w:r>
      <w:r w:rsidR="00B62605">
        <w:rPr>
          <w:sz w:val="24"/>
          <w:szCs w:val="24"/>
        </w:rPr>
        <w:t xml:space="preserve"> Of course, the efficacy of such </w:t>
      </w:r>
      <w:r w:rsidR="00637880">
        <w:rPr>
          <w:sz w:val="24"/>
          <w:szCs w:val="24"/>
        </w:rPr>
        <w:t xml:space="preserve">efforts </w:t>
      </w:r>
      <w:r w:rsidR="00B02F7C">
        <w:rPr>
          <w:sz w:val="24"/>
          <w:szCs w:val="24"/>
        </w:rPr>
        <w:t xml:space="preserve">in mitigating biodiversity loss </w:t>
      </w:r>
      <w:r w:rsidR="00B62605">
        <w:rPr>
          <w:sz w:val="24"/>
          <w:szCs w:val="24"/>
        </w:rPr>
        <w:t xml:space="preserve">would need to be tested. </w:t>
      </w:r>
    </w:p>
    <w:p w14:paraId="19C1A286" w14:textId="77777777" w:rsidR="00E0110D" w:rsidRDefault="00E0110D">
      <w:pPr>
        <w:pStyle w:val="Body"/>
        <w:spacing w:line="480" w:lineRule="auto"/>
        <w:rPr>
          <w:sz w:val="24"/>
          <w:szCs w:val="24"/>
        </w:rPr>
      </w:pPr>
    </w:p>
    <w:p w14:paraId="3484BB1C" w14:textId="469E363A" w:rsidR="00E0110D" w:rsidRDefault="007E17EC"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Remediation addresses the residual loss of biodiversity at and around a mine site</w:t>
      </w:r>
      <w:r w:rsidR="00637880">
        <w:rPr>
          <w:sz w:val="24"/>
          <w:szCs w:val="24"/>
        </w:rPr>
        <w:t xml:space="preserve"> after avoidance and minimization interventions</w:t>
      </w:r>
      <w:r>
        <w:rPr>
          <w:sz w:val="24"/>
          <w:szCs w:val="24"/>
        </w:rPr>
        <w:t xml:space="preserve">.  In the deep sea, native species are </w:t>
      </w:r>
      <w:r w:rsidR="005B6B6F">
        <w:rPr>
          <w:sz w:val="24"/>
          <w:szCs w:val="24"/>
        </w:rPr>
        <w:t xml:space="preserve">often </w:t>
      </w:r>
      <w:r>
        <w:rPr>
          <w:sz w:val="24"/>
          <w:szCs w:val="24"/>
        </w:rPr>
        <w:t xml:space="preserve">slow to recruit and recolonize disturbed habitats. </w:t>
      </w:r>
      <w:r w:rsidR="005B6B6F">
        <w:rPr>
          <w:sz w:val="24"/>
          <w:szCs w:val="24"/>
        </w:rPr>
        <w:t>Slow recovery (measured in decades to centuries)</w:t>
      </w:r>
      <w:r>
        <w:rPr>
          <w:sz w:val="24"/>
          <w:szCs w:val="24"/>
        </w:rPr>
        <w:t xml:space="preserve">, </w:t>
      </w:r>
      <w:r w:rsidR="005B6B6F">
        <w:rPr>
          <w:sz w:val="24"/>
          <w:szCs w:val="24"/>
        </w:rPr>
        <w:t>enormous spatial scales of mines</w:t>
      </w:r>
      <w:r w:rsidR="00637880">
        <w:rPr>
          <w:sz w:val="24"/>
          <w:szCs w:val="24"/>
        </w:rPr>
        <w:t xml:space="preserve"> for certain mineral resources</w:t>
      </w:r>
      <w:r w:rsidR="005B6B6F">
        <w:rPr>
          <w:sz w:val="24"/>
          <w:szCs w:val="24"/>
        </w:rPr>
        <w:t xml:space="preserve"> (</w:t>
      </w:r>
      <w:r>
        <w:rPr>
          <w:sz w:val="24"/>
          <w:szCs w:val="24"/>
        </w:rPr>
        <w:t>a single 30-year operation license to mine metal-rich</w:t>
      </w:r>
      <w:r w:rsidR="00637880">
        <w:rPr>
          <w:sz w:val="24"/>
          <w:szCs w:val="24"/>
        </w:rPr>
        <w:t xml:space="preserve"> nodules will involve</w:t>
      </w:r>
      <w:r>
        <w:rPr>
          <w:sz w:val="24"/>
          <w:szCs w:val="24"/>
        </w:rPr>
        <w:t xml:space="preserve"> an area about the size of Austria</w:t>
      </w:r>
      <w:proofErr w:type="gramStart"/>
      <w:r w:rsidR="005B6B6F">
        <w:rPr>
          <w:sz w:val="24"/>
          <w:szCs w:val="24"/>
        </w:rPr>
        <w:t>)</w:t>
      </w:r>
      <w:r w:rsidR="00C367BB">
        <w:rPr>
          <w:sz w:val="24"/>
          <w:szCs w:val="24"/>
          <w:vertAlign w:val="superscript"/>
        </w:rPr>
        <w:t>6</w:t>
      </w:r>
      <w:proofErr w:type="gramEnd"/>
      <w:r w:rsidR="00B02F7C">
        <w:rPr>
          <w:sz w:val="24"/>
          <w:szCs w:val="24"/>
        </w:rPr>
        <w:t xml:space="preserve">, </w:t>
      </w:r>
      <w:r w:rsidR="005975D4">
        <w:rPr>
          <w:sz w:val="24"/>
          <w:szCs w:val="24"/>
        </w:rPr>
        <w:t>and</w:t>
      </w:r>
      <w:r>
        <w:rPr>
          <w:sz w:val="24"/>
          <w:szCs w:val="24"/>
        </w:rPr>
        <w:t xml:space="preserve"> the high cost of working in the deep sea mean that remediation </w:t>
      </w:r>
      <w:r w:rsidR="005975D4">
        <w:rPr>
          <w:sz w:val="24"/>
          <w:szCs w:val="24"/>
        </w:rPr>
        <w:t>is unrealistic</w:t>
      </w:r>
      <w:r w:rsidR="00F75FF3"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. </w:t>
      </w:r>
      <w:r w:rsidR="00637880">
        <w:rPr>
          <w:sz w:val="24"/>
          <w:szCs w:val="24"/>
        </w:rPr>
        <w:t>Further, the science of d</w:t>
      </w:r>
      <w:r>
        <w:rPr>
          <w:sz w:val="24"/>
          <w:szCs w:val="24"/>
        </w:rPr>
        <w:t>eep-sea benthic remediation is a nascent field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. It is far from established </w:t>
      </w:r>
      <w:r w:rsidR="00637880">
        <w:rPr>
          <w:sz w:val="24"/>
          <w:szCs w:val="24"/>
        </w:rPr>
        <w:t>that</w:t>
      </w:r>
      <w:r>
        <w:rPr>
          <w:sz w:val="24"/>
          <w:szCs w:val="24"/>
        </w:rPr>
        <w:t xml:space="preserve"> </w:t>
      </w:r>
      <w:r w:rsidR="00637880">
        <w:rPr>
          <w:sz w:val="24"/>
          <w:szCs w:val="24"/>
        </w:rPr>
        <w:t>remediation</w:t>
      </w:r>
      <w:r>
        <w:rPr>
          <w:sz w:val="24"/>
          <w:szCs w:val="24"/>
        </w:rPr>
        <w:t xml:space="preserve"> of </w:t>
      </w:r>
      <w:r w:rsidR="00637880">
        <w:rPr>
          <w:sz w:val="24"/>
          <w:szCs w:val="24"/>
        </w:rPr>
        <w:t xml:space="preserve">industrial mine sites in the deep sea </w:t>
      </w:r>
      <w:r>
        <w:rPr>
          <w:sz w:val="24"/>
          <w:szCs w:val="24"/>
        </w:rPr>
        <w:t>is feasible</w:t>
      </w:r>
      <w:r w:rsidR="00637880">
        <w:rPr>
          <w:sz w:val="24"/>
          <w:szCs w:val="24"/>
        </w:rPr>
        <w:t xml:space="preserve"> for any mineral resource</w:t>
      </w:r>
      <w:r>
        <w:rPr>
          <w:sz w:val="24"/>
          <w:szCs w:val="24"/>
        </w:rPr>
        <w:t xml:space="preserve">, and we know of no remediation actions that can be applied to the water column.  </w:t>
      </w:r>
    </w:p>
    <w:p w14:paraId="630ADF23" w14:textId="77777777" w:rsidR="00E0110D" w:rsidRDefault="00E0110D">
      <w:pPr>
        <w:pStyle w:val="Body"/>
        <w:spacing w:line="480" w:lineRule="auto"/>
        <w:rPr>
          <w:sz w:val="24"/>
          <w:szCs w:val="24"/>
        </w:rPr>
      </w:pPr>
    </w:p>
    <w:p w14:paraId="6F707BE1" w14:textId="273736BB" w:rsidR="00E0110D" w:rsidRDefault="007E17EC">
      <w:pPr>
        <w:pStyle w:val="Body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The last resort </w:t>
      </w:r>
      <w:r w:rsidR="005975D4">
        <w:rPr>
          <w:sz w:val="24"/>
          <w:szCs w:val="24"/>
        </w:rPr>
        <w:t xml:space="preserve">in </w:t>
      </w:r>
      <w:r>
        <w:rPr>
          <w:sz w:val="24"/>
          <w:szCs w:val="24"/>
        </w:rPr>
        <w:t>the mitigation hierarchy</w:t>
      </w:r>
      <w:r w:rsidR="005975D4">
        <w:rPr>
          <w:sz w:val="24"/>
          <w:szCs w:val="24"/>
        </w:rPr>
        <w:t xml:space="preserve"> is “in-kind” or “like-for-like” </w:t>
      </w:r>
      <w:r w:rsidR="00116DB2">
        <w:rPr>
          <w:sz w:val="24"/>
          <w:szCs w:val="24"/>
        </w:rPr>
        <w:t xml:space="preserve">offsets within a biogeographic region. </w:t>
      </w:r>
      <w:r w:rsidR="004E43C0">
        <w:rPr>
          <w:sz w:val="24"/>
          <w:szCs w:val="24"/>
        </w:rPr>
        <w:t>When</w:t>
      </w:r>
      <w:r w:rsidR="00056A15">
        <w:rPr>
          <w:sz w:val="24"/>
          <w:szCs w:val="24"/>
        </w:rPr>
        <w:t xml:space="preserve"> </w:t>
      </w:r>
      <w:r w:rsidR="006102A2">
        <w:rPr>
          <w:sz w:val="24"/>
          <w:szCs w:val="24"/>
        </w:rPr>
        <w:t>offsets cannot be located where the affected biodiversity is found</w:t>
      </w:r>
      <w:r w:rsidR="004E43C0">
        <w:rPr>
          <w:sz w:val="24"/>
          <w:szCs w:val="24"/>
        </w:rPr>
        <w:t xml:space="preserve">, </w:t>
      </w:r>
      <w:r w:rsidR="00B02F7C">
        <w:rPr>
          <w:sz w:val="24"/>
          <w:szCs w:val="24"/>
        </w:rPr>
        <w:t>and</w:t>
      </w:r>
      <w:r w:rsidR="006102A2">
        <w:rPr>
          <w:sz w:val="24"/>
          <w:szCs w:val="24"/>
        </w:rPr>
        <w:t xml:space="preserve"> where the affected biodiversity is important for geographically restricted functions such as connectivity</w:t>
      </w:r>
      <w:r w:rsidR="00056A15">
        <w:rPr>
          <w:sz w:val="24"/>
          <w:szCs w:val="24"/>
        </w:rPr>
        <w:t>,</w:t>
      </w:r>
      <w:r w:rsidR="004E43C0">
        <w:rPr>
          <w:sz w:val="24"/>
          <w:szCs w:val="24"/>
        </w:rPr>
        <w:t xml:space="preserve"> as is the case for the deep sea,</w:t>
      </w:r>
      <w:r w:rsidR="00056A15">
        <w:rPr>
          <w:sz w:val="24"/>
          <w:szCs w:val="24"/>
        </w:rPr>
        <w:t xml:space="preserve"> </w:t>
      </w:r>
      <w:r w:rsidR="00B02F7C">
        <w:rPr>
          <w:sz w:val="24"/>
          <w:szCs w:val="24"/>
        </w:rPr>
        <w:t xml:space="preserve">in-kind </w:t>
      </w:r>
      <w:r w:rsidR="00056A15">
        <w:rPr>
          <w:sz w:val="24"/>
          <w:szCs w:val="24"/>
        </w:rPr>
        <w:t>offsets are not an appropriate mitigation strategy</w:t>
      </w:r>
      <w:r>
        <w:rPr>
          <w:sz w:val="24"/>
          <w:szCs w:val="24"/>
          <w:vertAlign w:val="superscript"/>
        </w:rPr>
        <w:t>9</w:t>
      </w:r>
      <w:r w:rsidR="00056A15">
        <w:rPr>
          <w:sz w:val="24"/>
          <w:szCs w:val="24"/>
        </w:rPr>
        <w:t xml:space="preserve">. </w:t>
      </w:r>
      <w:r w:rsidR="00116DB2">
        <w:rPr>
          <w:sz w:val="24"/>
          <w:szCs w:val="24"/>
        </w:rPr>
        <w:t>“</w:t>
      </w:r>
      <w:r w:rsidR="00056A15">
        <w:rPr>
          <w:sz w:val="24"/>
          <w:szCs w:val="24"/>
        </w:rPr>
        <w:t>O</w:t>
      </w:r>
      <w:r>
        <w:rPr>
          <w:sz w:val="24"/>
          <w:szCs w:val="24"/>
        </w:rPr>
        <w:t>ut-of-kind</w:t>
      </w:r>
      <w:r w:rsidR="00116DB2">
        <w:rPr>
          <w:sz w:val="24"/>
          <w:szCs w:val="24"/>
        </w:rPr>
        <w:t>” offsets</w:t>
      </w:r>
      <w:r>
        <w:rPr>
          <w:sz w:val="24"/>
          <w:szCs w:val="24"/>
          <w:vertAlign w:val="superscript"/>
        </w:rPr>
        <w:t>1</w:t>
      </w:r>
      <w:r w:rsidR="006102A2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, </w:t>
      </w:r>
      <w:r w:rsidR="00116DB2" w:rsidRPr="00116DB2">
        <w:rPr>
          <w:sz w:val="24"/>
          <w:szCs w:val="24"/>
        </w:rPr>
        <w:t xml:space="preserve">such as restoring coral reefs </w:t>
      </w:r>
      <w:r w:rsidR="008C734B">
        <w:rPr>
          <w:sz w:val="24"/>
          <w:szCs w:val="24"/>
        </w:rPr>
        <w:t>in exchange for</w:t>
      </w:r>
      <w:r w:rsidR="00116DB2" w:rsidRPr="00116DB2">
        <w:rPr>
          <w:sz w:val="24"/>
          <w:szCs w:val="24"/>
        </w:rPr>
        <w:t xml:space="preserve"> loss of deep-sea biodiversity</w:t>
      </w:r>
      <w:r w:rsidR="00056A15">
        <w:rPr>
          <w:sz w:val="24"/>
          <w:szCs w:val="24"/>
        </w:rPr>
        <w:t>, have been proposed, b</w:t>
      </w:r>
      <w:r>
        <w:rPr>
          <w:sz w:val="24"/>
          <w:szCs w:val="24"/>
        </w:rPr>
        <w:t xml:space="preserve">ut this practice </w:t>
      </w:r>
      <w:r w:rsidR="00B62605">
        <w:rPr>
          <w:sz w:val="24"/>
          <w:szCs w:val="24"/>
        </w:rPr>
        <w:t>assumes</w:t>
      </w:r>
      <w:r w:rsidR="00556551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hat loss of largely unknown deep-sea species and ecosystems is acceptable. We </w:t>
      </w:r>
      <w:r w:rsidR="00556551">
        <w:rPr>
          <w:sz w:val="24"/>
          <w:szCs w:val="24"/>
        </w:rPr>
        <w:t xml:space="preserve">question </w:t>
      </w:r>
      <w:r>
        <w:rPr>
          <w:sz w:val="24"/>
          <w:szCs w:val="24"/>
        </w:rPr>
        <w:t>th</w:t>
      </w:r>
      <w:r w:rsidR="00056A15">
        <w:rPr>
          <w:sz w:val="24"/>
          <w:szCs w:val="24"/>
        </w:rPr>
        <w:t>is</w:t>
      </w:r>
      <w:r>
        <w:rPr>
          <w:sz w:val="24"/>
          <w:szCs w:val="24"/>
        </w:rPr>
        <w:t xml:space="preserve"> assumption</w:t>
      </w:r>
      <w:r w:rsidR="00F0155F">
        <w:rPr>
          <w:sz w:val="24"/>
          <w:szCs w:val="24"/>
        </w:rPr>
        <w:t xml:space="preserve"> on scientific grounds</w:t>
      </w:r>
      <w:r w:rsidR="00556551" w:rsidRPr="00B62605">
        <w:rPr>
          <w:bCs/>
          <w:i/>
          <w:iCs/>
          <w:sz w:val="24"/>
          <w:szCs w:val="24"/>
        </w:rPr>
        <w:t>.</w:t>
      </w:r>
      <w:r w:rsidR="00556551"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The relationship between any gain in biological diversity in an out-of-kind setting and loss of biological diversity in the deep sea is so ambiguous as to be scientifically meaningless.  Further, compensating biodiversity </w:t>
      </w:r>
      <w:r w:rsidR="009101D6">
        <w:rPr>
          <w:sz w:val="24"/>
          <w:szCs w:val="24"/>
        </w:rPr>
        <w:t>loss in international water</w:t>
      </w:r>
      <w:r w:rsidR="00792641">
        <w:rPr>
          <w:sz w:val="24"/>
          <w:szCs w:val="24"/>
        </w:rPr>
        <w:t xml:space="preserve">s with biodiversity </w:t>
      </w:r>
      <w:r>
        <w:rPr>
          <w:sz w:val="24"/>
          <w:szCs w:val="24"/>
        </w:rPr>
        <w:t xml:space="preserve">gains </w:t>
      </w:r>
      <w:r w:rsidR="00792641">
        <w:rPr>
          <w:sz w:val="24"/>
          <w:szCs w:val="24"/>
        </w:rPr>
        <w:t>in national waters</w:t>
      </w:r>
      <w:r>
        <w:rPr>
          <w:sz w:val="24"/>
          <w:szCs w:val="24"/>
        </w:rPr>
        <w:t xml:space="preserve"> could constitute a transfer of wealth</w:t>
      </w:r>
      <w:r w:rsidR="00792641">
        <w:rPr>
          <w:sz w:val="24"/>
          <w:szCs w:val="24"/>
        </w:rPr>
        <w:t xml:space="preserve"> that</w:t>
      </w:r>
      <w:r>
        <w:rPr>
          <w:sz w:val="24"/>
          <w:szCs w:val="24"/>
        </w:rPr>
        <w:t xml:space="preserve"> run</w:t>
      </w:r>
      <w:r w:rsidR="00792641">
        <w:rPr>
          <w:sz w:val="24"/>
          <w:szCs w:val="24"/>
        </w:rPr>
        <w:t>s</w:t>
      </w:r>
      <w:r>
        <w:rPr>
          <w:sz w:val="24"/>
          <w:szCs w:val="24"/>
        </w:rPr>
        <w:t xml:space="preserve"> counter to the Law of the Sea, where benefits from deep-seabed mining</w:t>
      </w:r>
      <w:r w:rsidR="00266796">
        <w:rPr>
          <w:sz w:val="24"/>
          <w:szCs w:val="24"/>
        </w:rPr>
        <w:t xml:space="preserve"> </w:t>
      </w:r>
      <w:r>
        <w:rPr>
          <w:sz w:val="24"/>
          <w:szCs w:val="24"/>
        </w:rPr>
        <w:t>must accrue to the international community</w:t>
      </w:r>
      <w:r w:rsidR="004E43C0">
        <w:rPr>
          <w:sz w:val="24"/>
          <w:szCs w:val="24"/>
        </w:rPr>
        <w:t xml:space="preserve"> at large,</w:t>
      </w:r>
      <w:r w:rsidR="00084AFC">
        <w:rPr>
          <w:sz w:val="24"/>
          <w:szCs w:val="24"/>
        </w:rPr>
        <w:t xml:space="preserve"> as part of the “</w:t>
      </w:r>
      <w:r w:rsidR="00266796">
        <w:rPr>
          <w:sz w:val="24"/>
          <w:szCs w:val="24"/>
        </w:rPr>
        <w:t>common heritage of mankind</w:t>
      </w:r>
      <w:r w:rsidR="00084AFC">
        <w:rPr>
          <w:sz w:val="24"/>
          <w:szCs w:val="24"/>
        </w:rPr>
        <w:t>”.</w:t>
      </w:r>
      <w:r w:rsidR="0019064B">
        <w:rPr>
          <w:sz w:val="24"/>
          <w:szCs w:val="24"/>
        </w:rPr>
        <w:t xml:space="preserve">  </w:t>
      </w:r>
      <w:r w:rsidR="0019064B" w:rsidRPr="0019064B">
        <w:rPr>
          <w:sz w:val="24"/>
          <w:szCs w:val="24"/>
        </w:rPr>
        <w:t>Given the paucity of other industrial activities in the deep sea (except perhaps fisheries), it is difficult to imagin</w:t>
      </w:r>
      <w:r w:rsidR="00084AFC">
        <w:rPr>
          <w:sz w:val="24"/>
          <w:szCs w:val="24"/>
        </w:rPr>
        <w:t>e a scenario where “</w:t>
      </w:r>
      <w:r w:rsidR="00A730D3">
        <w:rPr>
          <w:sz w:val="24"/>
          <w:szCs w:val="24"/>
        </w:rPr>
        <w:t>averted risk</w:t>
      </w:r>
      <w:r w:rsidR="00084AFC">
        <w:rPr>
          <w:sz w:val="24"/>
          <w:szCs w:val="24"/>
        </w:rPr>
        <w:t xml:space="preserve">” </w:t>
      </w:r>
      <w:r w:rsidR="0019064B" w:rsidRPr="0019064B">
        <w:rPr>
          <w:sz w:val="24"/>
          <w:szCs w:val="24"/>
        </w:rPr>
        <w:t>offsets</w:t>
      </w:r>
      <w:r w:rsidR="00A730D3">
        <w:rPr>
          <w:sz w:val="24"/>
          <w:szCs w:val="24"/>
          <w:vertAlign w:val="superscript"/>
        </w:rPr>
        <w:t>10</w:t>
      </w:r>
      <w:r w:rsidR="0019064B" w:rsidRPr="0019064B">
        <w:rPr>
          <w:sz w:val="24"/>
          <w:szCs w:val="24"/>
        </w:rPr>
        <w:t xml:space="preserve"> could apply; i.e.</w:t>
      </w:r>
      <w:r w:rsidR="000D0010">
        <w:rPr>
          <w:sz w:val="24"/>
          <w:szCs w:val="24"/>
        </w:rPr>
        <w:t>,</w:t>
      </w:r>
      <w:r w:rsidR="0019064B" w:rsidRPr="0019064B">
        <w:rPr>
          <w:sz w:val="24"/>
          <w:szCs w:val="24"/>
        </w:rPr>
        <w:t xml:space="preserve"> where a mining operation could avert </w:t>
      </w:r>
      <w:r w:rsidR="0019064B">
        <w:rPr>
          <w:sz w:val="24"/>
          <w:szCs w:val="24"/>
        </w:rPr>
        <w:t xml:space="preserve">biodiversity </w:t>
      </w:r>
      <w:r w:rsidR="0019064B" w:rsidRPr="0019064B">
        <w:rPr>
          <w:sz w:val="24"/>
          <w:szCs w:val="24"/>
        </w:rPr>
        <w:t>losses from other activities.</w:t>
      </w:r>
    </w:p>
    <w:p w14:paraId="775EA3DF" w14:textId="77777777" w:rsidR="008B6C90" w:rsidRDefault="008B6C90">
      <w:pPr>
        <w:pStyle w:val="Body"/>
        <w:spacing w:line="480" w:lineRule="auto"/>
        <w:rPr>
          <w:sz w:val="24"/>
          <w:szCs w:val="24"/>
        </w:rPr>
      </w:pPr>
    </w:p>
    <w:p w14:paraId="40BC932D" w14:textId="1F9F1098" w:rsidR="008B6C90" w:rsidRPr="008B6C90" w:rsidRDefault="00195023" w:rsidP="008B6C90">
      <w:pPr>
        <w:autoSpaceDE w:val="0"/>
        <w:autoSpaceDN w:val="0"/>
        <w:adjustRightInd w:val="0"/>
        <w:spacing w:line="480" w:lineRule="auto"/>
      </w:pPr>
      <w:r w:rsidRPr="008B6C90">
        <w:t>T</w:t>
      </w:r>
      <w:r w:rsidR="007E17EC" w:rsidRPr="008B6C90">
        <w:t xml:space="preserve">he four-tier mitigation hierarchy used so often to </w:t>
      </w:r>
      <w:r w:rsidR="00056A15">
        <w:t>minimize biodiversity loss in</w:t>
      </w:r>
      <w:r w:rsidR="007E17EC" w:rsidRPr="008B6C90">
        <w:t xml:space="preserve"> terrestrial mining</w:t>
      </w:r>
      <w:r w:rsidR="00751218" w:rsidRPr="008B6C90">
        <w:t xml:space="preserve"> and offshore oil and gas operations</w:t>
      </w:r>
      <w:r w:rsidR="007E17EC" w:rsidRPr="008B6C90">
        <w:t xml:space="preserve"> </w:t>
      </w:r>
      <w:r w:rsidR="00EB0102">
        <w:t xml:space="preserve">thus </w:t>
      </w:r>
      <w:r w:rsidR="00751218" w:rsidRPr="008B6C90">
        <w:t>fails</w:t>
      </w:r>
      <w:r w:rsidR="007E17EC" w:rsidRPr="008B6C90">
        <w:t xml:space="preserve"> when applied to the </w:t>
      </w:r>
      <w:r w:rsidR="00E03CC7" w:rsidRPr="008B6C90">
        <w:t>deep ocean</w:t>
      </w:r>
      <w:r w:rsidR="008B6C90">
        <w:t>.</w:t>
      </w:r>
      <w:r w:rsidR="008B6C90" w:rsidRPr="008B6C90">
        <w:t xml:space="preserve">  </w:t>
      </w:r>
      <w:r w:rsidR="008B6C90">
        <w:t>R</w:t>
      </w:r>
      <w:r w:rsidR="008B6C90" w:rsidRPr="008B6C90">
        <w:t>esidual biodiversity loss cannot be mitigated through remediation or offsets</w:t>
      </w:r>
      <w:r w:rsidR="00056A15">
        <w:t xml:space="preserve"> and</w:t>
      </w:r>
      <w:r w:rsidR="00D620DF">
        <w:t xml:space="preserve"> </w:t>
      </w:r>
      <w:r w:rsidR="00056A15">
        <w:t>t</w:t>
      </w:r>
      <w:r w:rsidR="00EB0102">
        <w:t>he</w:t>
      </w:r>
      <w:r w:rsidR="008B6C90" w:rsidRPr="008B6C90">
        <w:t xml:space="preserve"> goal of no net biodiversity loss is not achievable for deep-seabed mining</w:t>
      </w:r>
      <w:r w:rsidR="008B6C90">
        <w:t>.</w:t>
      </w:r>
      <w:r w:rsidR="008B6C90" w:rsidRPr="008B6C90">
        <w:t xml:space="preserve">  F</w:t>
      </w:r>
      <w:r w:rsidR="00F75FF3">
        <w:t xml:space="preserve">ocus </w:t>
      </w:r>
      <w:r w:rsidR="00266796">
        <w:t xml:space="preserve">therefore </w:t>
      </w:r>
      <w:r w:rsidR="00F75FF3">
        <w:t>must</w:t>
      </w:r>
      <w:r w:rsidR="008B6C90" w:rsidRPr="008B6C90">
        <w:t xml:space="preserve"> be on avoiding and minimizing harm.  </w:t>
      </w:r>
      <w:r w:rsidR="007E17EC" w:rsidRPr="008B6C90">
        <w:t>M</w:t>
      </w:r>
      <w:r w:rsidR="00751218" w:rsidRPr="008B6C90">
        <w:t>ost m</w:t>
      </w:r>
      <w:r w:rsidR="007E17EC" w:rsidRPr="008B6C90">
        <w:t>ining-induced loss of biodiversity in the deep sea is likely</w:t>
      </w:r>
      <w:r w:rsidR="007E17EC" w:rsidRPr="008B6C90">
        <w:rPr>
          <w:b/>
          <w:bCs/>
          <w:i/>
          <w:iCs/>
        </w:rPr>
        <w:t xml:space="preserve"> </w:t>
      </w:r>
      <w:r w:rsidR="007E17EC" w:rsidRPr="008B6C90">
        <w:t xml:space="preserve">to </w:t>
      </w:r>
      <w:r w:rsidR="00751218" w:rsidRPr="008B6C90">
        <w:t xml:space="preserve">last </w:t>
      </w:r>
      <w:r w:rsidR="008B6C90">
        <w:t>“</w:t>
      </w:r>
      <w:r w:rsidR="007E17EC" w:rsidRPr="008B6C90">
        <w:t>forever</w:t>
      </w:r>
      <w:r w:rsidR="008B6C90">
        <w:t>”</w:t>
      </w:r>
      <w:r w:rsidR="007E17EC" w:rsidRPr="008B6C90">
        <w:t xml:space="preserve"> on human timescales</w:t>
      </w:r>
      <w:r w:rsidR="008B6C90" w:rsidRPr="008B6C90">
        <w:t>, given very slow natural rates of recovery in affected ecosystems</w:t>
      </w:r>
      <w:r w:rsidR="00E03CC7" w:rsidRPr="008B6C90">
        <w:t xml:space="preserve">. </w:t>
      </w:r>
      <w:r w:rsidR="008B6C90">
        <w:t xml:space="preserve"> </w:t>
      </w:r>
      <w:r w:rsidR="008B6C90" w:rsidRPr="008B6C90">
        <w:t xml:space="preserve">It is incumbent on the ISA to communicate to the public the </w:t>
      </w:r>
      <w:r w:rsidR="00056A15">
        <w:t xml:space="preserve">potentially serious </w:t>
      </w:r>
      <w:r w:rsidR="008B6C90" w:rsidRPr="008B6C90">
        <w:t xml:space="preserve">implications of </w:t>
      </w:r>
      <w:r w:rsidR="008B6C90">
        <w:t xml:space="preserve">this </w:t>
      </w:r>
      <w:r w:rsidR="008B6C90" w:rsidRPr="008B6C90">
        <w:t xml:space="preserve">loss of biodiversity and ask for </w:t>
      </w:r>
      <w:r w:rsidR="00D620DF">
        <w:t>a</w:t>
      </w:r>
      <w:r w:rsidR="008B6C90" w:rsidRPr="008B6C90">
        <w:t xml:space="preserve"> response.</w:t>
      </w:r>
    </w:p>
    <w:p w14:paraId="494D5196" w14:textId="4D7EDF9C" w:rsidR="00E0110D" w:rsidRDefault="00E0110D">
      <w:pPr>
        <w:pStyle w:val="Body"/>
        <w:spacing w:line="480" w:lineRule="auto"/>
        <w:rPr>
          <w:sz w:val="24"/>
          <w:szCs w:val="24"/>
        </w:rPr>
      </w:pPr>
    </w:p>
    <w:p w14:paraId="363FC23B" w14:textId="77777777" w:rsidR="00E0110D" w:rsidRDefault="00E0110D">
      <w:pPr>
        <w:pStyle w:val="Body"/>
        <w:spacing w:line="480" w:lineRule="auto"/>
        <w:rPr>
          <w:sz w:val="24"/>
          <w:szCs w:val="24"/>
        </w:rPr>
      </w:pPr>
    </w:p>
    <w:p w14:paraId="6850D85B" w14:textId="70BA78E0" w:rsidR="004F34CB" w:rsidRDefault="004F34CB" w:rsidP="004F34CB">
      <w:pPr>
        <w:pStyle w:val="Authors"/>
        <w:spacing w:before="0" w:line="480" w:lineRule="auto"/>
        <w:jc w:val="left"/>
        <w:rPr>
          <w:vertAlign w:val="superscript"/>
        </w:rPr>
      </w:pPr>
      <w:r w:rsidRPr="00987EE5">
        <w:rPr>
          <w:b/>
        </w:rPr>
        <w:t>Authors:</w:t>
      </w:r>
      <w:r>
        <w:t xml:space="preserve">  C. L. Van Dover</w:t>
      </w:r>
      <w:r>
        <w:rPr>
          <w:vertAlign w:val="superscript"/>
        </w:rPr>
        <w:t>1*</w:t>
      </w:r>
      <w:r>
        <w:t>, J. A. Ardron</w:t>
      </w:r>
      <w:r>
        <w:rPr>
          <w:vertAlign w:val="superscript"/>
        </w:rPr>
        <w:t>2</w:t>
      </w:r>
      <w:r>
        <w:t>, E. Escobar</w:t>
      </w:r>
      <w:r>
        <w:rPr>
          <w:vertAlign w:val="superscript"/>
        </w:rPr>
        <w:t>3</w:t>
      </w:r>
      <w:r>
        <w:t>, M. Gianni</w:t>
      </w:r>
      <w:r>
        <w:rPr>
          <w:vertAlign w:val="superscript"/>
        </w:rPr>
        <w:t>4</w:t>
      </w:r>
      <w:r>
        <w:t>, K. M. Gjerde</w:t>
      </w:r>
      <w:r>
        <w:rPr>
          <w:vertAlign w:val="superscript"/>
        </w:rPr>
        <w:t>5</w:t>
      </w:r>
      <w:r>
        <w:t>, A. Jaeckel</w:t>
      </w:r>
      <w:r>
        <w:rPr>
          <w:vertAlign w:val="superscript"/>
        </w:rPr>
        <w:t>6</w:t>
      </w:r>
      <w:r>
        <w:t xml:space="preserve">, D. </w:t>
      </w:r>
      <w:r w:rsidR="003032D7">
        <w:t xml:space="preserve">O. B. </w:t>
      </w:r>
      <w:r>
        <w:t>Jones</w:t>
      </w:r>
      <w:r>
        <w:rPr>
          <w:vertAlign w:val="superscript"/>
        </w:rPr>
        <w:t>2</w:t>
      </w:r>
      <w:r>
        <w:t>, L. A. Levin</w:t>
      </w:r>
      <w:r>
        <w:rPr>
          <w:vertAlign w:val="superscript"/>
        </w:rPr>
        <w:t>7</w:t>
      </w:r>
      <w:r>
        <w:t>, H. Niner</w:t>
      </w:r>
      <w:r>
        <w:rPr>
          <w:vertAlign w:val="superscript"/>
        </w:rPr>
        <w:t>8</w:t>
      </w:r>
      <w:r>
        <w:t>, L. Pendleton</w:t>
      </w:r>
      <w:r>
        <w:rPr>
          <w:vertAlign w:val="superscript"/>
        </w:rPr>
        <w:t>1,9</w:t>
      </w:r>
      <w:r>
        <w:t>, C. R. Smith</w:t>
      </w:r>
      <w:r>
        <w:rPr>
          <w:vertAlign w:val="superscript"/>
        </w:rPr>
        <w:t>20</w:t>
      </w:r>
      <w:r>
        <w:t>, T. Thiele</w:t>
      </w:r>
      <w:r w:rsidRPr="005A4FCB">
        <w:rPr>
          <w:vertAlign w:val="superscript"/>
        </w:rPr>
        <w:t>1</w:t>
      </w:r>
      <w:r>
        <w:rPr>
          <w:vertAlign w:val="superscript"/>
        </w:rPr>
        <w:t>1</w:t>
      </w:r>
      <w:r>
        <w:t>, P. J. Turner</w:t>
      </w:r>
      <w:r>
        <w:rPr>
          <w:vertAlign w:val="superscript"/>
        </w:rPr>
        <w:t>1</w:t>
      </w:r>
      <w:r>
        <w:t>, L. Watling</w:t>
      </w:r>
      <w:r>
        <w:rPr>
          <w:vertAlign w:val="superscript"/>
        </w:rPr>
        <w:t>10</w:t>
      </w:r>
      <w:r>
        <w:t>, P. P. E. Weaver</w:t>
      </w:r>
      <w:r>
        <w:rPr>
          <w:vertAlign w:val="superscript"/>
        </w:rPr>
        <w:t>12</w:t>
      </w:r>
    </w:p>
    <w:p w14:paraId="00890948" w14:textId="77777777" w:rsidR="004F34CB" w:rsidRPr="008E391A" w:rsidRDefault="004F34CB" w:rsidP="004F34CB">
      <w:pPr>
        <w:pStyle w:val="Paragraph"/>
        <w:spacing w:before="0" w:line="480" w:lineRule="auto"/>
        <w:ind w:firstLine="0"/>
        <w:rPr>
          <w:b/>
        </w:rPr>
      </w:pPr>
      <w:r w:rsidRPr="008E391A">
        <w:rPr>
          <w:b/>
        </w:rPr>
        <w:t>Affiliations:</w:t>
      </w:r>
    </w:p>
    <w:p w14:paraId="2435CA0D" w14:textId="77777777" w:rsidR="004F34CB" w:rsidRDefault="004F34CB" w:rsidP="004F34CB">
      <w:pPr>
        <w:pStyle w:val="Paragraph"/>
        <w:spacing w:before="0" w:line="480" w:lineRule="auto"/>
        <w:ind w:firstLine="0"/>
        <w:rPr>
          <w:vertAlign w:val="superscript"/>
        </w:rPr>
      </w:pPr>
      <w:r w:rsidRPr="00B43FDE">
        <w:rPr>
          <w:vertAlign w:val="superscript"/>
        </w:rPr>
        <w:lastRenderedPageBreak/>
        <w:t>1</w:t>
      </w:r>
      <w:r w:rsidRPr="00B71411">
        <w:t>Division of Marine Science and Conservation, Nicholas School of the Environment, Duke University, Beaufort NC 28516, USA</w:t>
      </w:r>
      <w:r>
        <w:t>.</w:t>
      </w:r>
      <w:r w:rsidRPr="00B43FDE">
        <w:rPr>
          <w:vertAlign w:val="superscript"/>
        </w:rPr>
        <w:t xml:space="preserve"> </w:t>
      </w:r>
    </w:p>
    <w:p w14:paraId="3E9525B9" w14:textId="26CBBA65" w:rsidR="004F34CB" w:rsidRDefault="004F34CB" w:rsidP="004F34CB">
      <w:pPr>
        <w:pStyle w:val="Paragraph"/>
        <w:spacing w:before="0" w:line="480" w:lineRule="auto"/>
        <w:ind w:firstLine="0"/>
      </w:pPr>
      <w:r w:rsidRPr="00B43FDE">
        <w:rPr>
          <w:vertAlign w:val="superscript"/>
        </w:rPr>
        <w:t>2</w:t>
      </w:r>
      <w:r w:rsidRPr="00B71411">
        <w:t>National Oceanography Centre Southampton, University of Southampton Waterfront Campus, European Way, Southampton SO14 3ZH, UK</w:t>
      </w:r>
      <w:r>
        <w:t>.</w:t>
      </w:r>
    </w:p>
    <w:p w14:paraId="7AD4F6BE" w14:textId="5CDD3969" w:rsidR="004F34CB" w:rsidRPr="00EE417F" w:rsidRDefault="004F34CB" w:rsidP="004F34CB">
      <w:pPr>
        <w:spacing w:line="480" w:lineRule="auto"/>
        <w:rPr>
          <w:rFonts w:eastAsia="Times New Roman"/>
        </w:rPr>
      </w:pPr>
      <w:r>
        <w:rPr>
          <w:vertAlign w:val="superscript"/>
        </w:rPr>
        <w:t>4</w:t>
      </w:r>
      <w:r w:rsidR="00AC7A2E">
        <w:rPr>
          <w:rFonts w:eastAsia="Times New Roman"/>
        </w:rPr>
        <w:t>Deep-</w:t>
      </w:r>
      <w:r>
        <w:rPr>
          <w:rFonts w:eastAsia="Times New Roman"/>
        </w:rPr>
        <w:t xml:space="preserve">Sea Conservation Coalition, Postbus 59681, </w:t>
      </w:r>
      <w:r w:rsidRPr="00EE417F">
        <w:rPr>
          <w:rFonts w:eastAsia="Times New Roman"/>
        </w:rPr>
        <w:t>1040 LD Amsterda</w:t>
      </w:r>
      <w:r>
        <w:rPr>
          <w:rFonts w:eastAsia="Times New Roman"/>
        </w:rPr>
        <w:t xml:space="preserve">m, </w:t>
      </w:r>
      <w:r w:rsidRPr="00EE417F">
        <w:rPr>
          <w:rFonts w:eastAsia="Times New Roman"/>
        </w:rPr>
        <w:t>Netherlands</w:t>
      </w:r>
      <w:r>
        <w:rPr>
          <w:rFonts w:eastAsia="Times New Roman"/>
        </w:rPr>
        <w:t>.</w:t>
      </w:r>
    </w:p>
    <w:p w14:paraId="570AD8F3" w14:textId="77777777" w:rsidR="004F34CB" w:rsidRDefault="004F34CB" w:rsidP="004F34CB">
      <w:pPr>
        <w:pStyle w:val="Paragraph"/>
        <w:spacing w:before="0" w:line="480" w:lineRule="auto"/>
        <w:ind w:firstLine="0"/>
      </w:pPr>
      <w:r>
        <w:rPr>
          <w:vertAlign w:val="superscript"/>
        </w:rPr>
        <w:t>3</w:t>
      </w:r>
      <w:r>
        <w:t>UNAM ICML-CU,</w:t>
      </w:r>
      <w:r w:rsidRPr="00DF7EF0">
        <w:t xml:space="preserve"> </w:t>
      </w:r>
      <w:proofErr w:type="spellStart"/>
      <w:r>
        <w:t>Biodiversidad</w:t>
      </w:r>
      <w:proofErr w:type="spellEnd"/>
      <w:r>
        <w:t xml:space="preserve"> y </w:t>
      </w:r>
      <w:proofErr w:type="spellStart"/>
      <w:r>
        <w:t>Macroecologia</w:t>
      </w:r>
      <w:proofErr w:type="spellEnd"/>
      <w:r>
        <w:t xml:space="preserve">, </w:t>
      </w:r>
      <w:r w:rsidRPr="00DF7EF0">
        <w:t>04510 Mexico City</w:t>
      </w:r>
      <w:r>
        <w:t>,</w:t>
      </w:r>
      <w:r w:rsidRPr="00DF7EF0">
        <w:t xml:space="preserve"> Mexico</w:t>
      </w:r>
      <w:r>
        <w:t>.</w:t>
      </w:r>
    </w:p>
    <w:p w14:paraId="5631BAEB" w14:textId="77777777" w:rsidR="004F34CB" w:rsidRDefault="004F34CB" w:rsidP="004F34CB">
      <w:pPr>
        <w:pStyle w:val="Paragraph"/>
        <w:spacing w:before="0" w:line="480" w:lineRule="auto"/>
        <w:ind w:firstLine="0"/>
      </w:pPr>
      <w:r>
        <w:rPr>
          <w:vertAlign w:val="superscript"/>
        </w:rPr>
        <w:t>5</w:t>
      </w:r>
      <w:r w:rsidRPr="00DF7EF0">
        <w:t xml:space="preserve">Wycliffe Management and IUCN Global Marine and </w:t>
      </w:r>
      <w:r>
        <w:t>Polar Programme, Warsaw, Poland.</w:t>
      </w:r>
    </w:p>
    <w:p w14:paraId="4CDC9EA4" w14:textId="77777777" w:rsidR="004F34CB" w:rsidRDefault="004F34CB" w:rsidP="004F34CB">
      <w:pPr>
        <w:pStyle w:val="Paragraph"/>
        <w:spacing w:before="0" w:line="480" w:lineRule="auto"/>
        <w:ind w:firstLine="0"/>
      </w:pPr>
      <w:r>
        <w:rPr>
          <w:vertAlign w:val="superscript"/>
        </w:rPr>
        <w:t>6</w:t>
      </w:r>
      <w:r w:rsidRPr="00DF7EF0">
        <w:t>Macquarie Law School,</w:t>
      </w:r>
      <w:r>
        <w:t xml:space="preserve"> Macquarie University, NSW 2109,</w:t>
      </w:r>
      <w:r w:rsidRPr="00DF7EF0">
        <w:t xml:space="preserve"> Australia</w:t>
      </w:r>
      <w:r>
        <w:t>.</w:t>
      </w:r>
    </w:p>
    <w:p w14:paraId="46BEC82E" w14:textId="77777777" w:rsidR="004F34CB" w:rsidRDefault="004F34CB" w:rsidP="004F34CB">
      <w:pPr>
        <w:pStyle w:val="Paragraph"/>
        <w:spacing w:before="0" w:line="480" w:lineRule="auto"/>
        <w:ind w:firstLine="0"/>
      </w:pPr>
      <w:r>
        <w:rPr>
          <w:vertAlign w:val="superscript"/>
        </w:rPr>
        <w:t>7</w:t>
      </w:r>
      <w:r w:rsidRPr="00B71411">
        <w:t>Center for Marine Biodiversity and Conservation, Scripps Institution of Oceanography, UC San Diego, La Jolla, CA 92093-0218 USA</w:t>
      </w:r>
      <w:r>
        <w:t>.</w:t>
      </w:r>
    </w:p>
    <w:p w14:paraId="201254F2" w14:textId="77777777" w:rsidR="004F34CB" w:rsidRDefault="004F34CB" w:rsidP="004F34CB">
      <w:pPr>
        <w:pStyle w:val="Paragraph"/>
        <w:spacing w:before="0" w:line="480" w:lineRule="auto"/>
        <w:ind w:firstLine="0"/>
      </w:pPr>
      <w:r>
        <w:rPr>
          <w:vertAlign w:val="superscript"/>
        </w:rPr>
        <w:t>8</w:t>
      </w:r>
      <w:r w:rsidRPr="00B71411">
        <w:t>University College London, Torrens Building, 220 Victoria Square, Adelaide 5000, Australia</w:t>
      </w:r>
      <w:r>
        <w:t>.</w:t>
      </w:r>
    </w:p>
    <w:p w14:paraId="7A517F48" w14:textId="77777777" w:rsidR="004F34CB" w:rsidRDefault="004F34CB" w:rsidP="004F34CB">
      <w:pPr>
        <w:pStyle w:val="Paragraph"/>
        <w:spacing w:before="0" w:line="480" w:lineRule="auto"/>
        <w:ind w:firstLine="0"/>
      </w:pPr>
      <w:r>
        <w:rPr>
          <w:vertAlign w:val="superscript"/>
        </w:rPr>
        <w:t>9</w:t>
      </w:r>
      <w:r w:rsidRPr="00B71411">
        <w:t xml:space="preserve">Université de Bretagne </w:t>
      </w:r>
      <w:proofErr w:type="spellStart"/>
      <w:r w:rsidRPr="00B71411">
        <w:t>Occidentale</w:t>
      </w:r>
      <w:proofErr w:type="spellEnd"/>
      <w:r w:rsidRPr="00B71411">
        <w:t>, UMR630</w:t>
      </w:r>
      <w:r>
        <w:t xml:space="preserve">8 AMURE, IUEM, </w:t>
      </w:r>
      <w:proofErr w:type="spellStart"/>
      <w:r>
        <w:t>Plouzané</w:t>
      </w:r>
      <w:proofErr w:type="spellEnd"/>
      <w:r>
        <w:t>, France.</w:t>
      </w:r>
    </w:p>
    <w:p w14:paraId="238CF647" w14:textId="0F33B48D" w:rsidR="004F34CB" w:rsidRDefault="004F34CB" w:rsidP="004F34CB">
      <w:pPr>
        <w:pStyle w:val="CommentText"/>
        <w:spacing w:line="480" w:lineRule="auto"/>
      </w:pPr>
      <w:r>
        <w:rPr>
          <w:vertAlign w:val="superscript"/>
        </w:rPr>
        <w:t>10</w:t>
      </w:r>
      <w:r w:rsidRPr="004F34CB">
        <w:t xml:space="preserve"> </w:t>
      </w:r>
      <w:r>
        <w:t xml:space="preserve">Department of Biology, Edmondson Hall, University of Hawaii at </w:t>
      </w:r>
      <w:proofErr w:type="spellStart"/>
      <w:r>
        <w:t>Mānoa</w:t>
      </w:r>
      <w:proofErr w:type="spellEnd"/>
      <w:r>
        <w:t>, Honolulu HI 96822 USA.</w:t>
      </w:r>
    </w:p>
    <w:p w14:paraId="4DA242D0" w14:textId="77777777" w:rsidR="004F34CB" w:rsidRDefault="004F34CB" w:rsidP="004F34CB">
      <w:pPr>
        <w:pStyle w:val="CommentText"/>
      </w:pPr>
    </w:p>
    <w:p w14:paraId="71D0C4DA" w14:textId="77777777" w:rsidR="004F34CB" w:rsidRDefault="004F34CB" w:rsidP="004F34CB">
      <w:pPr>
        <w:pStyle w:val="Paragraph"/>
        <w:spacing w:before="0" w:line="480" w:lineRule="auto"/>
        <w:ind w:firstLine="0"/>
      </w:pPr>
      <w:r>
        <w:rPr>
          <w:vertAlign w:val="superscript"/>
        </w:rPr>
        <w:t>11</w:t>
      </w:r>
      <w:r w:rsidRPr="00B71411">
        <w:t>LSE Institute of Global Affairs, London</w:t>
      </w:r>
      <w:r>
        <w:t xml:space="preserve"> School of Economics, London WC2A 2AZ</w:t>
      </w:r>
      <w:r w:rsidRPr="00B71411">
        <w:t>, UK</w:t>
      </w:r>
      <w:r>
        <w:t>.</w:t>
      </w:r>
    </w:p>
    <w:p w14:paraId="711CCED6" w14:textId="77777777" w:rsidR="004F34CB" w:rsidRDefault="004F34CB" w:rsidP="004F34CB">
      <w:pPr>
        <w:pStyle w:val="Paragraph"/>
        <w:spacing w:before="0" w:line="480" w:lineRule="auto"/>
        <w:ind w:firstLine="0"/>
      </w:pPr>
      <w:r>
        <w:rPr>
          <w:vertAlign w:val="superscript"/>
        </w:rPr>
        <w:t>12</w:t>
      </w:r>
      <w:r w:rsidRPr="00B71411">
        <w:t>Seascape Consultants, Romsey, SO51 0QA</w:t>
      </w:r>
      <w:r>
        <w:t xml:space="preserve"> UK.</w:t>
      </w:r>
    </w:p>
    <w:p w14:paraId="328B48E0" w14:textId="64EA0B3D" w:rsidR="00E0110D" w:rsidRDefault="004F34CB" w:rsidP="004F34CB">
      <w:pPr>
        <w:pStyle w:val="Paragraph"/>
        <w:spacing w:before="0" w:line="480" w:lineRule="auto"/>
        <w:ind w:firstLine="0"/>
      </w:pPr>
      <w:r>
        <w:t xml:space="preserve">*Correspondence to: </w:t>
      </w:r>
      <w:hyperlink r:id="rId7" w:history="1">
        <w:r w:rsidRPr="00CB78B9">
          <w:rPr>
            <w:rStyle w:val="Hyperlink"/>
          </w:rPr>
          <w:t>clv3@duke.edu</w:t>
        </w:r>
      </w:hyperlink>
      <w:r>
        <w:t xml:space="preserve">. </w:t>
      </w:r>
    </w:p>
    <w:p w14:paraId="24778F65" w14:textId="77777777" w:rsidR="00E0110D" w:rsidRDefault="00E0110D">
      <w:pPr>
        <w:pStyle w:val="Paragraph"/>
        <w:ind w:firstLine="0"/>
      </w:pPr>
    </w:p>
    <w:p w14:paraId="19C4DD40" w14:textId="505A248D" w:rsidR="00E0110D" w:rsidRDefault="007E17EC">
      <w:pPr>
        <w:pStyle w:val="Refhead"/>
        <w:rPr>
          <w:i/>
          <w:iCs/>
        </w:rPr>
      </w:pPr>
      <w:r>
        <w:t xml:space="preserve">References </w:t>
      </w:r>
    </w:p>
    <w:p w14:paraId="3068A5A3" w14:textId="77777777" w:rsidR="00E0110D" w:rsidRDefault="007E17EC">
      <w:pPr>
        <w:pStyle w:val="Body"/>
        <w:widowControl w:val="0"/>
        <w:spacing w:after="120" w:line="480" w:lineRule="auto"/>
        <w:ind w:left="640" w:hanging="640"/>
        <w:rPr>
          <w:sz w:val="24"/>
          <w:szCs w:val="24"/>
        </w:rPr>
      </w:pPr>
      <w:r>
        <w:rPr>
          <w:sz w:val="24"/>
          <w:szCs w:val="24"/>
          <w:lang w:val="it-IT"/>
        </w:rPr>
        <w:t>1.</w:t>
      </w:r>
      <w:r>
        <w:rPr>
          <w:sz w:val="24"/>
          <w:szCs w:val="24"/>
          <w:lang w:val="it-IT"/>
        </w:rPr>
        <w:tab/>
        <w:t xml:space="preserve">European Commission. </w:t>
      </w:r>
      <w:r>
        <w:rPr>
          <w:i/>
          <w:iCs/>
          <w:sz w:val="24"/>
          <w:szCs w:val="24"/>
        </w:rPr>
        <w:t>Blue Growth - Opportunities for marine and maritime sustainable growth</w:t>
      </w:r>
      <w:r>
        <w:rPr>
          <w:sz w:val="24"/>
          <w:szCs w:val="24"/>
        </w:rPr>
        <w:t>. (2012). doi</w:t>
      </w:r>
      <w:proofErr w:type="gramStart"/>
      <w:r>
        <w:rPr>
          <w:sz w:val="24"/>
          <w:szCs w:val="24"/>
        </w:rPr>
        <w:t>:10.2771</w:t>
      </w:r>
      <w:proofErr w:type="gramEnd"/>
      <w:r>
        <w:rPr>
          <w:sz w:val="24"/>
          <w:szCs w:val="24"/>
        </w:rPr>
        <w:t>/43949</w:t>
      </w:r>
    </w:p>
    <w:p w14:paraId="61F13C9D" w14:textId="0EE71F24" w:rsidR="008706AF" w:rsidRDefault="007E17EC">
      <w:pPr>
        <w:pStyle w:val="Body"/>
        <w:widowControl w:val="0"/>
        <w:spacing w:after="120" w:line="480" w:lineRule="auto"/>
        <w:ind w:left="640" w:hanging="64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8706AF">
        <w:rPr>
          <w:sz w:val="24"/>
          <w:szCs w:val="24"/>
        </w:rPr>
        <w:t xml:space="preserve">Levin, L. A. </w:t>
      </w:r>
      <w:r w:rsidR="008706AF">
        <w:rPr>
          <w:i/>
          <w:iCs/>
          <w:sz w:val="24"/>
          <w:szCs w:val="24"/>
        </w:rPr>
        <w:t>et al.</w:t>
      </w:r>
      <w:r w:rsidR="008706AF">
        <w:rPr>
          <w:sz w:val="24"/>
          <w:szCs w:val="24"/>
        </w:rPr>
        <w:t xml:space="preserve"> Defining “serious harm’ to the marine environment in the context of deep-seabed mining. </w:t>
      </w:r>
      <w:r w:rsidR="008706AF">
        <w:rPr>
          <w:i/>
          <w:iCs/>
          <w:sz w:val="24"/>
          <w:szCs w:val="24"/>
        </w:rPr>
        <w:t>Mar. Policy</w:t>
      </w:r>
      <w:r w:rsidR="008706AF">
        <w:rPr>
          <w:sz w:val="24"/>
          <w:szCs w:val="24"/>
        </w:rPr>
        <w:t xml:space="preserve"> </w:t>
      </w:r>
      <w:r w:rsidR="008706AF">
        <w:rPr>
          <w:b/>
          <w:bCs/>
          <w:sz w:val="24"/>
          <w:szCs w:val="24"/>
          <w:lang w:val="ru-RU"/>
        </w:rPr>
        <w:t>74,</w:t>
      </w:r>
      <w:r w:rsidR="008706AF">
        <w:rPr>
          <w:sz w:val="24"/>
          <w:szCs w:val="24"/>
          <w:lang w:val="it-IT"/>
        </w:rPr>
        <w:t xml:space="preserve"> </w:t>
      </w:r>
      <w:r w:rsidR="008C1C8F">
        <w:rPr>
          <w:sz w:val="24"/>
          <w:szCs w:val="24"/>
          <w:lang w:val="it-IT"/>
        </w:rPr>
        <w:t>245-259</w:t>
      </w:r>
      <w:r w:rsidR="008706AF">
        <w:rPr>
          <w:sz w:val="24"/>
          <w:szCs w:val="24"/>
          <w:lang w:val="it-IT"/>
        </w:rPr>
        <w:t xml:space="preserve"> (2016).</w:t>
      </w:r>
    </w:p>
    <w:p w14:paraId="5A83B7C8" w14:textId="07BAF6C5" w:rsidR="00E0110D" w:rsidRPr="008C1C8F" w:rsidRDefault="007E17EC">
      <w:pPr>
        <w:pStyle w:val="Body"/>
        <w:widowControl w:val="0"/>
        <w:spacing w:after="120" w:line="480" w:lineRule="auto"/>
        <w:ind w:left="640" w:hanging="640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AD697F">
        <w:rPr>
          <w:sz w:val="24"/>
          <w:szCs w:val="24"/>
        </w:rPr>
        <w:t>.</w:t>
      </w:r>
      <w:r w:rsidR="00AD697F">
        <w:rPr>
          <w:sz w:val="24"/>
          <w:szCs w:val="24"/>
        </w:rPr>
        <w:tab/>
      </w:r>
      <w:r w:rsidR="008C1C8F">
        <w:rPr>
          <w:sz w:val="24"/>
          <w:szCs w:val="24"/>
        </w:rPr>
        <w:t xml:space="preserve">Rainey, H. J. </w:t>
      </w:r>
      <w:r w:rsidR="008C1C8F">
        <w:rPr>
          <w:i/>
          <w:sz w:val="24"/>
          <w:szCs w:val="24"/>
        </w:rPr>
        <w:t xml:space="preserve">et al. </w:t>
      </w:r>
      <w:r w:rsidR="008C1C8F">
        <w:rPr>
          <w:sz w:val="24"/>
          <w:szCs w:val="24"/>
        </w:rPr>
        <w:t xml:space="preserve">A review of corporate goals of No Net Loss and Net Positive Impact on biodiversity.  </w:t>
      </w:r>
      <w:r w:rsidR="008C1C8F" w:rsidRPr="008C1C8F">
        <w:rPr>
          <w:i/>
          <w:sz w:val="24"/>
          <w:szCs w:val="24"/>
        </w:rPr>
        <w:t>Oryx</w:t>
      </w:r>
      <w:r w:rsidR="008C1C8F">
        <w:rPr>
          <w:sz w:val="24"/>
          <w:szCs w:val="24"/>
        </w:rPr>
        <w:t xml:space="preserve"> </w:t>
      </w:r>
      <w:r w:rsidR="008C1C8F">
        <w:rPr>
          <w:b/>
          <w:sz w:val="24"/>
          <w:szCs w:val="24"/>
        </w:rPr>
        <w:t>49</w:t>
      </w:r>
      <w:r w:rsidR="008C1C8F">
        <w:rPr>
          <w:sz w:val="24"/>
          <w:szCs w:val="24"/>
        </w:rPr>
        <w:t>, 232-238 (2015).</w:t>
      </w:r>
    </w:p>
    <w:p w14:paraId="0A2E4EB3" w14:textId="77777777" w:rsidR="00E0110D" w:rsidRDefault="007E17EC">
      <w:pPr>
        <w:pStyle w:val="Body"/>
        <w:widowControl w:val="0"/>
        <w:spacing w:after="120" w:line="480" w:lineRule="auto"/>
        <w:ind w:left="640" w:hanging="640"/>
        <w:rPr>
          <w:sz w:val="24"/>
          <w:szCs w:val="24"/>
        </w:rPr>
      </w:pPr>
      <w:r>
        <w:rPr>
          <w:sz w:val="24"/>
          <w:szCs w:val="24"/>
          <w:lang w:val="de-DE"/>
        </w:rPr>
        <w:t>4.</w:t>
      </w:r>
      <w:r>
        <w:rPr>
          <w:sz w:val="24"/>
          <w:szCs w:val="24"/>
          <w:lang w:val="de-DE"/>
        </w:rPr>
        <w:tab/>
        <w:t xml:space="preserve">Ekstrom, J., Bennun, L. &amp; Mitchell, R. </w:t>
      </w:r>
      <w:r>
        <w:rPr>
          <w:i/>
          <w:iCs/>
          <w:sz w:val="24"/>
          <w:szCs w:val="24"/>
        </w:rPr>
        <w:t>A cross-sector guide for implementing the Mitigation Hierarchy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Cross Sector Biodiversity Initiative</w:t>
      </w:r>
      <w:r>
        <w:rPr>
          <w:sz w:val="24"/>
          <w:szCs w:val="24"/>
        </w:rPr>
        <w:t xml:space="preserve"> (2015).</w:t>
      </w:r>
    </w:p>
    <w:p w14:paraId="02D302F9" w14:textId="77777777" w:rsidR="00025EBF" w:rsidRDefault="007E17EC" w:rsidP="00025EBF">
      <w:pPr>
        <w:pStyle w:val="Body"/>
        <w:widowControl w:val="0"/>
        <w:spacing w:after="120" w:line="480" w:lineRule="auto"/>
        <w:ind w:left="640" w:hanging="640"/>
        <w:rPr>
          <w:sz w:val="24"/>
          <w:szCs w:val="24"/>
        </w:rPr>
      </w:pPr>
      <w:r>
        <w:rPr>
          <w:sz w:val="24"/>
          <w:szCs w:val="24"/>
          <w:lang w:val="fr-FR"/>
        </w:rPr>
        <w:t>5.</w:t>
      </w:r>
      <w:r>
        <w:rPr>
          <w:sz w:val="24"/>
          <w:szCs w:val="24"/>
          <w:lang w:val="fr-FR"/>
        </w:rPr>
        <w:tab/>
        <w:t xml:space="preserve">IFC (International Finance Corporation). </w:t>
      </w:r>
      <w:r>
        <w:rPr>
          <w:i/>
          <w:iCs/>
          <w:sz w:val="24"/>
          <w:szCs w:val="24"/>
        </w:rPr>
        <w:t>Performance Standard 6: Biodiversity Conservation and Sustainable Management of Living Natural Resources</w:t>
      </w:r>
      <w:r>
        <w:rPr>
          <w:sz w:val="24"/>
          <w:szCs w:val="24"/>
        </w:rPr>
        <w:t>. (2012).</w:t>
      </w:r>
    </w:p>
    <w:p w14:paraId="16EA0094" w14:textId="664AB320" w:rsidR="008706AF" w:rsidRDefault="00025EBF" w:rsidP="00025EBF">
      <w:pPr>
        <w:pStyle w:val="Body"/>
        <w:widowControl w:val="0"/>
        <w:spacing w:after="120" w:line="480" w:lineRule="auto"/>
        <w:ind w:left="640" w:hanging="64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8706AF">
        <w:rPr>
          <w:sz w:val="24"/>
          <w:szCs w:val="24"/>
        </w:rPr>
        <w:t xml:space="preserve">C. R. Smith, L. A. Levin, A. </w:t>
      </w:r>
      <w:proofErr w:type="spellStart"/>
      <w:r w:rsidR="008706AF">
        <w:rPr>
          <w:sz w:val="24"/>
          <w:szCs w:val="24"/>
        </w:rPr>
        <w:t>Koslow</w:t>
      </w:r>
      <w:proofErr w:type="spellEnd"/>
      <w:r w:rsidR="008706AF">
        <w:rPr>
          <w:sz w:val="24"/>
          <w:szCs w:val="24"/>
        </w:rPr>
        <w:t>, P. A. Tyler, A. G. Glover, "The near future of the deep seafloor Ecosystems" in Aquatic Ecosystems: Trends and Global Prospects, N. Polunin, Ed. (Cambridge 2008), pp. 334–349.</w:t>
      </w:r>
    </w:p>
    <w:p w14:paraId="3E11FA53" w14:textId="4BA2612C" w:rsidR="00E0110D" w:rsidRDefault="007E17EC">
      <w:pPr>
        <w:pStyle w:val="Body"/>
        <w:widowControl w:val="0"/>
        <w:spacing w:after="120" w:line="480" w:lineRule="auto"/>
        <w:ind w:left="640" w:hanging="640"/>
        <w:rPr>
          <w:sz w:val="24"/>
          <w:szCs w:val="24"/>
        </w:rPr>
      </w:pPr>
      <w:r>
        <w:rPr>
          <w:sz w:val="24"/>
          <w:szCs w:val="24"/>
          <w:lang w:val="da-DK"/>
        </w:rPr>
        <w:t>7.</w:t>
      </w:r>
      <w:r>
        <w:rPr>
          <w:sz w:val="24"/>
          <w:szCs w:val="24"/>
          <w:lang w:val="da-DK"/>
        </w:rPr>
        <w:tab/>
        <w:t>Van</w:t>
      </w:r>
      <w:r w:rsidR="00E03CC7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 xml:space="preserve">Dover, C. L. </w:t>
      </w:r>
      <w:proofErr w:type="gramStart"/>
      <w:r>
        <w:rPr>
          <w:i/>
          <w:iCs/>
          <w:sz w:val="24"/>
          <w:szCs w:val="24"/>
        </w:rPr>
        <w:t>et</w:t>
      </w:r>
      <w:proofErr w:type="gramEnd"/>
      <w:r>
        <w:rPr>
          <w:i/>
          <w:iCs/>
          <w:sz w:val="24"/>
          <w:szCs w:val="24"/>
        </w:rPr>
        <w:t xml:space="preserve"> al.</w:t>
      </w:r>
      <w:r>
        <w:rPr>
          <w:sz w:val="24"/>
          <w:szCs w:val="24"/>
        </w:rPr>
        <w:t xml:space="preserve"> Ecological restoration in the deep sea: Desiderata. </w:t>
      </w:r>
      <w:r>
        <w:rPr>
          <w:i/>
          <w:iCs/>
          <w:sz w:val="24"/>
          <w:szCs w:val="24"/>
        </w:rPr>
        <w:t>Mar. Policy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44,</w:t>
      </w:r>
      <w:r>
        <w:rPr>
          <w:sz w:val="24"/>
          <w:szCs w:val="24"/>
        </w:rPr>
        <w:t xml:space="preserve"> 98–106 (2014).</w:t>
      </w:r>
    </w:p>
    <w:p w14:paraId="52BD2249" w14:textId="77777777" w:rsidR="00E0110D" w:rsidRDefault="007E17EC">
      <w:pPr>
        <w:pStyle w:val="Body"/>
        <w:widowControl w:val="0"/>
        <w:spacing w:after="120" w:line="480" w:lineRule="auto"/>
        <w:ind w:left="640" w:hanging="64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Str</w:t>
      </w:r>
      <w:proofErr w:type="spellEnd"/>
      <w:r>
        <w:rPr>
          <w:sz w:val="24"/>
          <w:szCs w:val="24"/>
          <w:lang w:val="sv-SE"/>
        </w:rPr>
        <w:t>ö</w:t>
      </w:r>
      <w:proofErr w:type="spellStart"/>
      <w:r>
        <w:rPr>
          <w:sz w:val="24"/>
          <w:szCs w:val="24"/>
        </w:rPr>
        <w:t>mberg</w:t>
      </w:r>
      <w:proofErr w:type="spellEnd"/>
      <w:r>
        <w:rPr>
          <w:sz w:val="24"/>
          <w:szCs w:val="24"/>
        </w:rPr>
        <w:t xml:space="preserve">, S. M., </w:t>
      </w:r>
      <w:proofErr w:type="spellStart"/>
      <w:r>
        <w:rPr>
          <w:sz w:val="24"/>
          <w:szCs w:val="24"/>
        </w:rPr>
        <w:t>Lundälv</w:t>
      </w:r>
      <w:proofErr w:type="spellEnd"/>
      <w:r>
        <w:rPr>
          <w:sz w:val="24"/>
          <w:szCs w:val="24"/>
        </w:rPr>
        <w:t xml:space="preserve">, T. &amp; </w:t>
      </w:r>
      <w:proofErr w:type="spellStart"/>
      <w:r>
        <w:rPr>
          <w:sz w:val="24"/>
          <w:szCs w:val="24"/>
        </w:rPr>
        <w:t>Goreau</w:t>
      </w:r>
      <w:proofErr w:type="spellEnd"/>
      <w:r>
        <w:rPr>
          <w:sz w:val="24"/>
          <w:szCs w:val="24"/>
        </w:rPr>
        <w:t xml:space="preserve">, T. J. Suitability of mineral accretion as a rehabilitation method for cold-water coral reefs. </w:t>
      </w:r>
      <w:r>
        <w:rPr>
          <w:i/>
          <w:iCs/>
          <w:sz w:val="24"/>
          <w:szCs w:val="24"/>
          <w:lang w:val="pt-PT"/>
        </w:rPr>
        <w:t>J. Exp. Mar. Bio. Ecol.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395,</w:t>
      </w:r>
      <w:r>
        <w:rPr>
          <w:sz w:val="24"/>
          <w:szCs w:val="24"/>
        </w:rPr>
        <w:t xml:space="preserve"> 153–161 (2010).</w:t>
      </w:r>
    </w:p>
    <w:p w14:paraId="3CD92615" w14:textId="5B036489" w:rsidR="00E0110D" w:rsidRDefault="007E17EC" w:rsidP="004E43C0">
      <w:pPr>
        <w:pStyle w:val="NormalWeb"/>
        <w:spacing w:line="480" w:lineRule="auto"/>
        <w:ind w:left="640" w:hanging="640"/>
      </w:pPr>
      <w:r>
        <w:rPr>
          <w:lang w:val="es-ES_tradnl"/>
        </w:rPr>
        <w:t>9.</w:t>
      </w:r>
      <w:r>
        <w:rPr>
          <w:lang w:val="es-ES_tradnl"/>
        </w:rPr>
        <w:tab/>
      </w:r>
      <w:r w:rsidR="004E43C0">
        <w:t xml:space="preserve">Pilgrim, J. D. </w:t>
      </w:r>
      <w:r w:rsidR="004E43C0">
        <w:rPr>
          <w:i/>
          <w:iCs/>
        </w:rPr>
        <w:t>et al.</w:t>
      </w:r>
      <w:r w:rsidR="004E43C0">
        <w:t xml:space="preserve"> A process for assessing the </w:t>
      </w:r>
      <w:proofErr w:type="spellStart"/>
      <w:r w:rsidR="004E43C0">
        <w:t>offsetability</w:t>
      </w:r>
      <w:proofErr w:type="spellEnd"/>
      <w:r w:rsidR="004E43C0">
        <w:t xml:space="preserve"> of biodiversity impacts. </w:t>
      </w:r>
      <w:proofErr w:type="spellStart"/>
      <w:r w:rsidR="004E43C0">
        <w:rPr>
          <w:i/>
          <w:iCs/>
        </w:rPr>
        <w:t>Conserv</w:t>
      </w:r>
      <w:proofErr w:type="spellEnd"/>
      <w:r w:rsidR="004E43C0">
        <w:rPr>
          <w:i/>
          <w:iCs/>
        </w:rPr>
        <w:t>. Lett.</w:t>
      </w:r>
      <w:r w:rsidR="004E43C0">
        <w:t xml:space="preserve"> </w:t>
      </w:r>
      <w:r w:rsidR="004E43C0">
        <w:rPr>
          <w:b/>
          <w:bCs/>
        </w:rPr>
        <w:t>6,</w:t>
      </w:r>
      <w:r w:rsidR="004E43C0">
        <w:t xml:space="preserve"> 376–384 (2013).</w:t>
      </w:r>
    </w:p>
    <w:p w14:paraId="3E820610" w14:textId="774EE17B" w:rsidR="00E0110D" w:rsidRDefault="007E17EC" w:rsidP="00025EBF">
      <w:pPr>
        <w:pStyle w:val="Body"/>
        <w:widowControl w:val="0"/>
        <w:spacing w:after="120" w:line="480" w:lineRule="auto"/>
        <w:ind w:left="640" w:hanging="64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 xml:space="preserve">Business and Biodiversity Offsets Program (BBOP). </w:t>
      </w:r>
      <w:r>
        <w:rPr>
          <w:i/>
          <w:iCs/>
          <w:sz w:val="24"/>
          <w:szCs w:val="24"/>
        </w:rPr>
        <w:t>Guidance Notes to the Standard on Biodiversity Offsets</w:t>
      </w:r>
      <w:r>
        <w:rPr>
          <w:sz w:val="24"/>
          <w:szCs w:val="24"/>
        </w:rPr>
        <w:t>. (2012).</w:t>
      </w:r>
    </w:p>
    <w:p w14:paraId="4589A593" w14:textId="4FC35634" w:rsidR="008706AF" w:rsidRPr="00F04352" w:rsidRDefault="00F04352" w:rsidP="00B62605">
      <w:pPr>
        <w:pStyle w:val="Body"/>
        <w:widowControl w:val="0"/>
        <w:spacing w:after="120" w:line="480" w:lineRule="auto"/>
        <w:ind w:left="640" w:hanging="640"/>
        <w:rPr>
          <w:b/>
          <w:sz w:val="24"/>
          <w:szCs w:val="24"/>
        </w:rPr>
      </w:pPr>
      <w:r>
        <w:rPr>
          <w:b/>
          <w:sz w:val="24"/>
          <w:szCs w:val="24"/>
        </w:rPr>
        <w:t>Acknowledgments:</w:t>
      </w:r>
    </w:p>
    <w:p w14:paraId="1BEDF238" w14:textId="252E3D60" w:rsidR="00F04352" w:rsidRPr="00F04352" w:rsidRDefault="00F04352" w:rsidP="00830069">
      <w:pPr>
        <w:pStyle w:val="Body"/>
        <w:widowControl w:val="0"/>
        <w:spacing w:after="120" w:line="480" w:lineRule="auto"/>
        <w:ind w:left="640" w:hanging="640"/>
        <w:rPr>
          <w:sz w:val="24"/>
          <w:szCs w:val="24"/>
        </w:rPr>
      </w:pPr>
      <w:r>
        <w:tab/>
      </w:r>
      <w:r w:rsidR="00A04FF7" w:rsidRPr="00A04FF7">
        <w:rPr>
          <w:sz w:val="24"/>
          <w:szCs w:val="24"/>
        </w:rPr>
        <w:t xml:space="preserve">Research leading to these findings was supported by the National Science Foundation (C.L.V.D.), Pew Charitable Trusts (C.L.V.D.), International Climate Initiative (GOBI; </w:t>
      </w:r>
      <w:r w:rsidR="00A04FF7" w:rsidRPr="00A04FF7">
        <w:rPr>
          <w:sz w:val="24"/>
          <w:szCs w:val="24"/>
        </w:rPr>
        <w:lastRenderedPageBreak/>
        <w:t xml:space="preserve">C.L.V.D.), </w:t>
      </w:r>
      <w:proofErr w:type="spellStart"/>
      <w:r w:rsidR="00A04FF7" w:rsidRPr="00A04FF7">
        <w:rPr>
          <w:sz w:val="24"/>
          <w:szCs w:val="24"/>
        </w:rPr>
        <w:t>Université</w:t>
      </w:r>
      <w:proofErr w:type="spellEnd"/>
      <w:r w:rsidR="00A04FF7" w:rsidRPr="00A04FF7">
        <w:rPr>
          <w:sz w:val="24"/>
          <w:szCs w:val="24"/>
        </w:rPr>
        <w:t xml:space="preserve"> Occidental de Bretagne and </w:t>
      </w:r>
      <w:proofErr w:type="spellStart"/>
      <w:r w:rsidR="00A04FF7" w:rsidRPr="00A04FF7">
        <w:rPr>
          <w:sz w:val="24"/>
          <w:szCs w:val="24"/>
        </w:rPr>
        <w:t>Institut</w:t>
      </w:r>
      <w:proofErr w:type="spellEnd"/>
      <w:r w:rsidR="00A04FF7" w:rsidRPr="00A04FF7">
        <w:rPr>
          <w:sz w:val="24"/>
          <w:szCs w:val="24"/>
        </w:rPr>
        <w:t xml:space="preserve"> </w:t>
      </w:r>
      <w:proofErr w:type="spellStart"/>
      <w:r w:rsidR="00A04FF7" w:rsidRPr="00A04FF7">
        <w:rPr>
          <w:sz w:val="24"/>
          <w:szCs w:val="24"/>
        </w:rPr>
        <w:t>Universitaire</w:t>
      </w:r>
      <w:proofErr w:type="spellEnd"/>
      <w:r w:rsidR="00A04FF7" w:rsidRPr="00A04FF7">
        <w:rPr>
          <w:sz w:val="24"/>
          <w:szCs w:val="24"/>
        </w:rPr>
        <w:t xml:space="preserve"> </w:t>
      </w:r>
      <w:proofErr w:type="spellStart"/>
      <w:r w:rsidR="00A04FF7" w:rsidRPr="00A04FF7">
        <w:rPr>
          <w:sz w:val="24"/>
          <w:szCs w:val="24"/>
        </w:rPr>
        <w:t>Européen</w:t>
      </w:r>
      <w:proofErr w:type="spellEnd"/>
      <w:r w:rsidR="00A04FF7" w:rsidRPr="00A04FF7">
        <w:rPr>
          <w:sz w:val="24"/>
          <w:szCs w:val="24"/>
        </w:rPr>
        <w:t xml:space="preserve"> de la </w:t>
      </w:r>
      <w:proofErr w:type="spellStart"/>
      <w:r w:rsidR="00A04FF7" w:rsidRPr="00A04FF7">
        <w:rPr>
          <w:sz w:val="24"/>
          <w:szCs w:val="24"/>
        </w:rPr>
        <w:t>Mer</w:t>
      </w:r>
      <w:proofErr w:type="spellEnd"/>
      <w:r w:rsidR="00A04FF7" w:rsidRPr="00A04FF7">
        <w:rPr>
          <w:sz w:val="24"/>
          <w:szCs w:val="24"/>
        </w:rPr>
        <w:t xml:space="preserve"> (C.L.V.D., L.P.), 7th EU Framework (MIDAS #603418; J.A.A., D.O.B.J., M.G., K.M.G., P.P.E.W.), EU Horizon 2020 (MERCES #689518, D.O.B.J.) and the J.M. Kaplan Fund (L.A.L.).</w:t>
      </w:r>
      <w:bookmarkStart w:id="0" w:name="_GoBack"/>
      <w:bookmarkEnd w:id="0"/>
    </w:p>
    <w:p w14:paraId="1D2F5B4C" w14:textId="79978FE7" w:rsidR="00E0110D" w:rsidRPr="00F04352" w:rsidRDefault="00E0110D">
      <w:pPr>
        <w:pStyle w:val="Body"/>
        <w:widowControl w:val="0"/>
        <w:spacing w:after="120" w:line="480" w:lineRule="auto"/>
        <w:ind w:left="640" w:hanging="640"/>
        <w:rPr>
          <w:sz w:val="24"/>
          <w:szCs w:val="24"/>
        </w:rPr>
      </w:pPr>
    </w:p>
    <w:p w14:paraId="3CCE3106" w14:textId="29F62260" w:rsidR="00E0110D" w:rsidRDefault="007E17EC">
      <w:pPr>
        <w:pStyle w:val="Acknowledgement"/>
        <w:spacing w:line="480" w:lineRule="auto"/>
      </w:pPr>
      <w:r>
        <w:rPr>
          <w:b/>
          <w:bCs/>
        </w:rPr>
        <w:t>Competing Interests:</w:t>
      </w:r>
      <w:r>
        <w:t xml:space="preserve"> C</w:t>
      </w:r>
      <w:r w:rsidR="00386B75">
        <w:t>VD and LL</w:t>
      </w:r>
      <w:r>
        <w:t xml:space="preserve"> received research sup</w:t>
      </w:r>
      <w:r w:rsidR="00563595">
        <w:t>port from Nautilus Minerals;</w:t>
      </w:r>
      <w:r w:rsidR="00386B75">
        <w:t xml:space="preserve"> C</w:t>
      </w:r>
      <w:r w:rsidR="00563595">
        <w:t>S</w:t>
      </w:r>
      <w:r>
        <w:t xml:space="preserve"> received research support from UK Seabed Resources Development Limited.</w:t>
      </w:r>
      <w:r w:rsidR="00684F9F">
        <w:t xml:space="preserve">  </w:t>
      </w:r>
    </w:p>
    <w:p w14:paraId="4A45382F" w14:textId="77777777" w:rsidR="002E47E1" w:rsidRDefault="002E47E1">
      <w:pPr>
        <w:pStyle w:val="Acknowledgement"/>
        <w:spacing w:line="480" w:lineRule="auto"/>
      </w:pPr>
    </w:p>
    <w:p w14:paraId="5C8948D3" w14:textId="77777777" w:rsidR="002E47E1" w:rsidRDefault="002E47E1">
      <w:pPr>
        <w:pStyle w:val="Acknowledgement"/>
        <w:spacing w:line="480" w:lineRule="auto"/>
      </w:pPr>
    </w:p>
    <w:p w14:paraId="1D29A6DD" w14:textId="77777777" w:rsidR="00A04FF7" w:rsidRDefault="00A04FF7" w:rsidP="00830069">
      <w:pPr>
        <w:spacing w:line="480" w:lineRule="auto"/>
      </w:pPr>
    </w:p>
    <w:p w14:paraId="4A214A77" w14:textId="77777777" w:rsidR="00A04FF7" w:rsidRDefault="00A04FF7">
      <w:r>
        <w:br w:type="page"/>
      </w:r>
    </w:p>
    <w:p w14:paraId="4DBC1073" w14:textId="7C3F5766" w:rsidR="00803921" w:rsidRDefault="002E47E1" w:rsidP="00830069">
      <w:pPr>
        <w:spacing w:line="480" w:lineRule="auto"/>
      </w:pPr>
      <w:r>
        <w:lastRenderedPageBreak/>
        <w:t>FIGURE</w:t>
      </w:r>
      <w:r w:rsidR="00A730D3">
        <w:t xml:space="preserve">: </w:t>
      </w:r>
    </w:p>
    <w:p w14:paraId="41207BC1" w14:textId="38038B19" w:rsidR="00A04FF7" w:rsidRDefault="00A04FF7" w:rsidP="00830069">
      <w:pPr>
        <w:spacing w:line="480" w:lineRule="auto"/>
      </w:pPr>
      <w:r>
        <w:rPr>
          <w:i/>
          <w:iCs/>
          <w:noProof/>
          <w:lang w:val="en-GB" w:eastAsia="en-GB"/>
        </w:rPr>
        <w:drawing>
          <wp:inline distT="0" distB="0" distL="0" distR="0" wp14:anchorId="562FC0E7" wp14:editId="304DE97F">
            <wp:extent cx="3200400" cy="4080510"/>
            <wp:effectExtent l="0" t="0" r="0" b="0"/>
            <wp:docPr id="1" name="Picture 1" descr="C:\Users\dj1\AppData\Local\Microsoft\Windows\INetCache\Content.Word\Jacobsen ar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j1\AppData\Local\Microsoft\Windows\INetCache\Content.Word\Jacobsen artwo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768DC" w14:textId="42CFE000" w:rsidR="002E47E1" w:rsidRDefault="002E47E1" w:rsidP="00830069">
      <w:pPr>
        <w:spacing w:line="480" w:lineRule="auto"/>
        <w:rPr>
          <w:rFonts w:eastAsia="Times New Roman"/>
          <w:color w:val="000000"/>
          <w:bdr w:val="none" w:sz="0" w:space="0" w:color="auto"/>
        </w:rPr>
      </w:pPr>
      <w:r>
        <w:t xml:space="preserve">Endemic fauna at the </w:t>
      </w:r>
      <w:proofErr w:type="spellStart"/>
      <w:r>
        <w:t>Tahi</w:t>
      </w:r>
      <w:proofErr w:type="spellEnd"/>
      <w:r>
        <w:t xml:space="preserve"> Moana vent field (Lau Basin).  Black snails (</w:t>
      </w:r>
      <w:proofErr w:type="spellStart"/>
      <w:r w:rsidRPr="002E47E1">
        <w:rPr>
          <w:i/>
        </w:rPr>
        <w:t>Ifremeria</w:t>
      </w:r>
      <w:proofErr w:type="spellEnd"/>
      <w:r w:rsidRPr="002E47E1">
        <w:rPr>
          <w:i/>
        </w:rPr>
        <w:t xml:space="preserve"> </w:t>
      </w:r>
      <w:proofErr w:type="spellStart"/>
      <w:r w:rsidRPr="002E47E1">
        <w:rPr>
          <w:i/>
        </w:rPr>
        <w:t>nautilei</w:t>
      </w:r>
      <w:proofErr w:type="spellEnd"/>
      <w:r>
        <w:t>), Hairy snails (</w:t>
      </w:r>
      <w:proofErr w:type="spellStart"/>
      <w:r w:rsidRPr="002E47E1">
        <w:rPr>
          <w:i/>
        </w:rPr>
        <w:t>Alviniconcha</w:t>
      </w:r>
      <w:proofErr w:type="spellEnd"/>
      <w:r>
        <w:t xml:space="preserve"> spp.), and mussels (</w:t>
      </w:r>
      <w:proofErr w:type="spellStart"/>
      <w:r w:rsidRPr="002E47E1">
        <w:rPr>
          <w:i/>
        </w:rPr>
        <w:t>Bathymodiolus</w:t>
      </w:r>
      <w:proofErr w:type="spellEnd"/>
      <w:r w:rsidRPr="002E47E1">
        <w:rPr>
          <w:i/>
        </w:rPr>
        <w:t xml:space="preserve"> </w:t>
      </w:r>
      <w:proofErr w:type="spellStart"/>
      <w:r w:rsidRPr="002E47E1">
        <w:rPr>
          <w:i/>
        </w:rPr>
        <w:t>spetemdierum</w:t>
      </w:r>
      <w:proofErr w:type="spellEnd"/>
      <w:r>
        <w:t xml:space="preserve">) all host chemoautotrophic, endosymbiotic bacteria and live on sulfide deposits that are a target for deep-sea mining.  </w:t>
      </w:r>
      <w:r w:rsidRPr="002E47E1">
        <w:t xml:space="preserve">Photo credit: </w:t>
      </w:r>
      <w:r w:rsidRPr="002E47E1">
        <w:rPr>
          <w:rFonts w:eastAsia="Times New Roman"/>
          <w:color w:val="000000"/>
          <w:bdr w:val="none" w:sz="0" w:space="0" w:color="auto"/>
        </w:rPr>
        <w:t>S</w:t>
      </w:r>
      <w:r>
        <w:rPr>
          <w:rFonts w:eastAsia="Times New Roman"/>
          <w:color w:val="000000"/>
          <w:bdr w:val="none" w:sz="0" w:space="0" w:color="auto"/>
        </w:rPr>
        <w:t>chmidt Ocean Institute (SOI)</w:t>
      </w:r>
      <w:r w:rsidRPr="002E47E1">
        <w:rPr>
          <w:rFonts w:eastAsia="Times New Roman"/>
          <w:color w:val="000000"/>
          <w:bdr w:val="none" w:sz="0" w:space="0" w:color="auto"/>
        </w:rPr>
        <w:t xml:space="preserve"> / </w:t>
      </w:r>
      <w:proofErr w:type="spellStart"/>
      <w:r w:rsidRPr="002E47E1">
        <w:rPr>
          <w:rFonts w:eastAsia="Times New Roman"/>
          <w:color w:val="000000"/>
          <w:bdr w:val="none" w:sz="0" w:space="0" w:color="auto"/>
        </w:rPr>
        <w:t>Cherisse</w:t>
      </w:r>
      <w:proofErr w:type="spellEnd"/>
      <w:r w:rsidRPr="002E47E1">
        <w:rPr>
          <w:rFonts w:eastAsia="Times New Roman"/>
          <w:color w:val="000000"/>
          <w:bdr w:val="none" w:sz="0" w:space="0" w:color="auto"/>
        </w:rPr>
        <w:t xml:space="preserve"> Du </w:t>
      </w:r>
      <w:proofErr w:type="spellStart"/>
      <w:r w:rsidRPr="002E47E1">
        <w:rPr>
          <w:rFonts w:eastAsia="Times New Roman"/>
          <w:color w:val="000000"/>
          <w:bdr w:val="none" w:sz="0" w:space="0" w:color="auto"/>
        </w:rPr>
        <w:t>Preez</w:t>
      </w:r>
      <w:proofErr w:type="spellEnd"/>
      <w:r w:rsidRPr="002E47E1">
        <w:rPr>
          <w:rFonts w:eastAsia="Times New Roman"/>
          <w:color w:val="000000"/>
          <w:bdr w:val="none" w:sz="0" w:space="0" w:color="auto"/>
        </w:rPr>
        <w:t>, Pennsylvania State University, and the Canadian Scientific Submersible Facility (ROPOS)</w:t>
      </w:r>
      <w:r w:rsidR="008F4502">
        <w:rPr>
          <w:rFonts w:eastAsia="Times New Roman"/>
          <w:color w:val="000000"/>
          <w:bdr w:val="none" w:sz="0" w:space="0" w:color="auto"/>
        </w:rPr>
        <w:t>.</w:t>
      </w:r>
    </w:p>
    <w:p w14:paraId="3C4BF1A7" w14:textId="77777777" w:rsidR="00FD4181" w:rsidRDefault="00FD4181" w:rsidP="002E47E1">
      <w:pPr>
        <w:rPr>
          <w:rFonts w:eastAsia="Times New Roman"/>
          <w:color w:val="000000"/>
          <w:bdr w:val="none" w:sz="0" w:space="0" w:color="auto"/>
        </w:rPr>
      </w:pPr>
    </w:p>
    <w:p w14:paraId="488262F1" w14:textId="0281EF0A" w:rsidR="00FD4181" w:rsidRPr="002E47E1" w:rsidRDefault="00FD4181" w:rsidP="002E47E1">
      <w:pPr>
        <w:rPr>
          <w:rFonts w:eastAsia="Times New Roman"/>
          <w:bdr w:val="none" w:sz="0" w:space="0" w:color="auto"/>
        </w:rPr>
      </w:pPr>
    </w:p>
    <w:p w14:paraId="19BBBA1F" w14:textId="559E5A50" w:rsidR="002E47E1" w:rsidRDefault="002E47E1">
      <w:pPr>
        <w:pStyle w:val="Acknowledgement"/>
        <w:spacing w:line="480" w:lineRule="auto"/>
      </w:pPr>
    </w:p>
    <w:sectPr w:rsidR="002E47E1">
      <w:footerReference w:type="default" r:id="rId9"/>
      <w:pgSz w:w="12240" w:h="15840"/>
      <w:pgMar w:top="1440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AD865" w14:textId="77777777" w:rsidR="004335F7" w:rsidRDefault="004335F7">
      <w:r>
        <w:separator/>
      </w:r>
    </w:p>
  </w:endnote>
  <w:endnote w:type="continuationSeparator" w:id="0">
    <w:p w14:paraId="4ADAF5C5" w14:textId="77777777" w:rsidR="004335F7" w:rsidRDefault="0043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9F21" w14:textId="22995BEB" w:rsidR="00E0110D" w:rsidRDefault="007E17EC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04FF7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5257C" w14:textId="77777777" w:rsidR="004335F7" w:rsidRDefault="004335F7">
      <w:r>
        <w:separator/>
      </w:r>
    </w:p>
  </w:footnote>
  <w:footnote w:type="continuationSeparator" w:id="0">
    <w:p w14:paraId="4FF302B1" w14:textId="77777777" w:rsidR="004335F7" w:rsidRDefault="0043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7404"/>
    <w:multiLevelType w:val="hybridMultilevel"/>
    <w:tmpl w:val="12824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0D"/>
    <w:rsid w:val="00025EBF"/>
    <w:rsid w:val="000325EB"/>
    <w:rsid w:val="00056A15"/>
    <w:rsid w:val="000742B4"/>
    <w:rsid w:val="00084AFC"/>
    <w:rsid w:val="00090135"/>
    <w:rsid w:val="000B71BD"/>
    <w:rsid w:val="000D0010"/>
    <w:rsid w:val="00116DB2"/>
    <w:rsid w:val="0019064B"/>
    <w:rsid w:val="00195023"/>
    <w:rsid w:val="001F57E2"/>
    <w:rsid w:val="00266796"/>
    <w:rsid w:val="002E47E1"/>
    <w:rsid w:val="00300CD6"/>
    <w:rsid w:val="003032D7"/>
    <w:rsid w:val="0035400A"/>
    <w:rsid w:val="00386B75"/>
    <w:rsid w:val="0041303E"/>
    <w:rsid w:val="004335F7"/>
    <w:rsid w:val="00437D5B"/>
    <w:rsid w:val="00480D27"/>
    <w:rsid w:val="004E43C0"/>
    <w:rsid w:val="004F34CB"/>
    <w:rsid w:val="00515D7F"/>
    <w:rsid w:val="00556551"/>
    <w:rsid w:val="00563595"/>
    <w:rsid w:val="0058319E"/>
    <w:rsid w:val="00597217"/>
    <w:rsid w:val="005975D4"/>
    <w:rsid w:val="005B6B6F"/>
    <w:rsid w:val="005B735A"/>
    <w:rsid w:val="006102A2"/>
    <w:rsid w:val="00616C84"/>
    <w:rsid w:val="00637880"/>
    <w:rsid w:val="00684F9F"/>
    <w:rsid w:val="006C19CF"/>
    <w:rsid w:val="00751218"/>
    <w:rsid w:val="00792641"/>
    <w:rsid w:val="007E17EC"/>
    <w:rsid w:val="00803921"/>
    <w:rsid w:val="00830069"/>
    <w:rsid w:val="008706AF"/>
    <w:rsid w:val="008B6C90"/>
    <w:rsid w:val="008C1C8F"/>
    <w:rsid w:val="008C734B"/>
    <w:rsid w:val="008D36F7"/>
    <w:rsid w:val="008E463B"/>
    <w:rsid w:val="008F4502"/>
    <w:rsid w:val="009101D6"/>
    <w:rsid w:val="00946E9A"/>
    <w:rsid w:val="00960E72"/>
    <w:rsid w:val="009B7FCD"/>
    <w:rsid w:val="009E2081"/>
    <w:rsid w:val="009E3564"/>
    <w:rsid w:val="00A04FF7"/>
    <w:rsid w:val="00A53A80"/>
    <w:rsid w:val="00A730D3"/>
    <w:rsid w:val="00A92FFC"/>
    <w:rsid w:val="00AC7A2E"/>
    <w:rsid w:val="00AD697F"/>
    <w:rsid w:val="00B02F7C"/>
    <w:rsid w:val="00B27F2E"/>
    <w:rsid w:val="00B62605"/>
    <w:rsid w:val="00BC24D7"/>
    <w:rsid w:val="00BF77D9"/>
    <w:rsid w:val="00C31357"/>
    <w:rsid w:val="00C367BB"/>
    <w:rsid w:val="00C57F71"/>
    <w:rsid w:val="00CC41C6"/>
    <w:rsid w:val="00D620DF"/>
    <w:rsid w:val="00DB6D07"/>
    <w:rsid w:val="00E0110D"/>
    <w:rsid w:val="00E03CC7"/>
    <w:rsid w:val="00E12CFA"/>
    <w:rsid w:val="00EB0102"/>
    <w:rsid w:val="00EE2438"/>
    <w:rsid w:val="00EF3BCC"/>
    <w:rsid w:val="00F0155F"/>
    <w:rsid w:val="00F04352"/>
    <w:rsid w:val="00F16146"/>
    <w:rsid w:val="00F219F5"/>
    <w:rsid w:val="00F27C28"/>
    <w:rsid w:val="00F44050"/>
    <w:rsid w:val="00F75FF3"/>
    <w:rsid w:val="00FA7AA7"/>
    <w:rsid w:val="00F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4535"/>
  <w15:docId w15:val="{5AE11C3A-E3E9-46CD-B85A-15E28B94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u w:color="000000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Authors">
    <w:name w:val="Authors"/>
    <w:pPr>
      <w:spacing w:before="120" w:after="360"/>
      <w:jc w:val="center"/>
    </w:pPr>
    <w:rPr>
      <w:rFonts w:cs="Arial Unicode MS"/>
      <w:color w:val="000000"/>
      <w:sz w:val="24"/>
      <w:szCs w:val="24"/>
      <w:u w:color="000000"/>
    </w:rPr>
  </w:style>
  <w:style w:type="paragraph" w:customStyle="1" w:styleId="Paragraph">
    <w:name w:val="Paragraph"/>
    <w:pPr>
      <w:spacing w:before="120"/>
      <w:ind w:firstLine="72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Teaser">
    <w:name w:val="Teaser"/>
    <w:pPr>
      <w:spacing w:before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Refhead">
    <w:name w:val="Ref head"/>
    <w:pPr>
      <w:keepNext/>
      <w:spacing w:before="120" w:after="120"/>
      <w:outlineLvl w:val="0"/>
    </w:pPr>
    <w:rPr>
      <w:rFonts w:cs="Arial Unicode MS"/>
      <w:b/>
      <w:bCs/>
      <w:color w:val="000000"/>
      <w:kern w:val="28"/>
      <w:sz w:val="24"/>
      <w:szCs w:val="24"/>
      <w:u w:color="000000"/>
    </w:rPr>
  </w:style>
  <w:style w:type="paragraph" w:customStyle="1" w:styleId="Acknowledgement">
    <w:name w:val="Acknowledgement"/>
    <w:pPr>
      <w:spacing w:before="120"/>
      <w:ind w:left="720" w:hanging="72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Hyperlink0"/>
    <w:rPr>
      <w:rFonts w:ascii="Times New Roman" w:eastAsia="Times New Roman" w:hAnsi="Times New Roman" w:cs="Times New Roman"/>
      <w:b/>
      <w:bCs/>
      <w:i/>
      <w:iCs/>
      <w:color w:val="0000FF"/>
      <w:u w:val="single" w:color="0000FF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5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551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1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19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E4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v3@duk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Oceanography Centre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Ardron, Jeff</dc:creator>
  <cp:lastModifiedBy>Jones, Daniel O.B.</cp:lastModifiedBy>
  <cp:revision>3</cp:revision>
  <dcterms:created xsi:type="dcterms:W3CDTF">2017-08-21T12:44:00Z</dcterms:created>
  <dcterms:modified xsi:type="dcterms:W3CDTF">2017-08-21T12:49:00Z</dcterms:modified>
</cp:coreProperties>
</file>